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3F51" w14:textId="620FE424" w:rsidR="00BE2A86" w:rsidRPr="00BE2A86" w:rsidRDefault="00BE2A86" w:rsidP="00BE2A86">
      <w:pPr>
        <w:jc w:val="center"/>
        <w:rPr>
          <w:rFonts w:ascii="Verdana" w:hAnsi="Verdana"/>
          <w:b/>
          <w:bCs/>
          <w:sz w:val="22"/>
          <w:szCs w:val="22"/>
        </w:rPr>
      </w:pPr>
      <w:r w:rsidRPr="00BE2A86">
        <w:rPr>
          <w:rFonts w:ascii="Verdana" w:hAnsi="Verdana"/>
          <w:b/>
          <w:bCs/>
          <w:sz w:val="22"/>
          <w:szCs w:val="22"/>
        </w:rPr>
        <w:t>RESOLUCIÓN 6211 DE 2013</w:t>
      </w:r>
    </w:p>
    <w:p w14:paraId="007F583D" w14:textId="39A95C2A" w:rsidR="003B1AF9" w:rsidRPr="00BE2A86" w:rsidRDefault="003B1AF9" w:rsidP="00C50937">
      <w:pPr>
        <w:rPr>
          <w:rFonts w:ascii="Verdana" w:hAnsi="Verdana"/>
          <w:sz w:val="20"/>
          <w:szCs w:val="20"/>
        </w:rPr>
      </w:pPr>
      <w:r w:rsidRPr="00BE2A86">
        <w:rPr>
          <w:rFonts w:ascii="Verdana" w:hAnsi="Verdana"/>
          <w:sz w:val="20"/>
          <w:szCs w:val="20"/>
        </w:rPr>
        <w:t xml:space="preserve">Fecha de Expedición: </w:t>
      </w:r>
      <w:r w:rsidR="00BE2A86">
        <w:rPr>
          <w:rFonts w:ascii="Verdana" w:hAnsi="Verdana"/>
          <w:sz w:val="20"/>
          <w:szCs w:val="20"/>
        </w:rPr>
        <w:t>1 de agosto</w:t>
      </w:r>
      <w:r w:rsidRPr="00BE2A86">
        <w:rPr>
          <w:rFonts w:ascii="Verdana" w:hAnsi="Verdana"/>
          <w:sz w:val="20"/>
          <w:szCs w:val="20"/>
        </w:rPr>
        <w:t xml:space="preserve"> de 2013</w:t>
      </w:r>
    </w:p>
    <w:p w14:paraId="3068CC57" w14:textId="2A677C40" w:rsidR="003B1AF9" w:rsidRPr="00BE2A86" w:rsidRDefault="003B1AF9" w:rsidP="00C50937">
      <w:pPr>
        <w:rPr>
          <w:rFonts w:ascii="Verdana" w:hAnsi="Verdana"/>
          <w:sz w:val="20"/>
          <w:szCs w:val="20"/>
        </w:rPr>
      </w:pPr>
      <w:r w:rsidRPr="00BE2A86">
        <w:rPr>
          <w:rFonts w:ascii="Verdana" w:hAnsi="Verdana"/>
          <w:sz w:val="20"/>
          <w:szCs w:val="20"/>
        </w:rPr>
        <w:t xml:space="preserve">Fecha de </w:t>
      </w:r>
      <w:proofErr w:type="gramStart"/>
      <w:r w:rsidRPr="00BE2A86">
        <w:rPr>
          <w:rFonts w:ascii="Verdana" w:hAnsi="Verdana"/>
          <w:sz w:val="20"/>
          <w:szCs w:val="20"/>
        </w:rPr>
        <w:t>entrada en vigencia</w:t>
      </w:r>
      <w:proofErr w:type="gramEnd"/>
      <w:r w:rsidRPr="00BE2A86">
        <w:rPr>
          <w:rFonts w:ascii="Verdana" w:hAnsi="Verdana"/>
          <w:sz w:val="20"/>
          <w:szCs w:val="20"/>
        </w:rPr>
        <w:t xml:space="preserve">: </w:t>
      </w:r>
      <w:r w:rsidR="00BE2A86">
        <w:rPr>
          <w:rFonts w:ascii="Verdana" w:hAnsi="Verdana"/>
          <w:sz w:val="20"/>
          <w:szCs w:val="20"/>
        </w:rPr>
        <w:t>1 de agosto</w:t>
      </w:r>
      <w:r w:rsidRPr="00BE2A86">
        <w:rPr>
          <w:rFonts w:ascii="Verdana" w:hAnsi="Verdana"/>
          <w:sz w:val="20"/>
          <w:szCs w:val="20"/>
        </w:rPr>
        <w:t xml:space="preserve"> de 2013</w:t>
      </w:r>
    </w:p>
    <w:p w14:paraId="3F73F794" w14:textId="77777777" w:rsidR="003B1AF9" w:rsidRPr="00BE2A86" w:rsidRDefault="003B1AF9" w:rsidP="00C50937">
      <w:pPr>
        <w:rPr>
          <w:rFonts w:ascii="Verdana" w:hAnsi="Verdana"/>
          <w:sz w:val="20"/>
          <w:szCs w:val="20"/>
        </w:rPr>
      </w:pPr>
      <w:r w:rsidRPr="00BE2A86">
        <w:rPr>
          <w:rFonts w:ascii="Verdana" w:hAnsi="Verdana"/>
          <w:sz w:val="20"/>
          <w:szCs w:val="20"/>
        </w:rPr>
        <w:t>Estado de la vigencia: vigente</w:t>
      </w:r>
    </w:p>
    <w:p w14:paraId="5EEDC32A" w14:textId="77777777" w:rsidR="003B1AF9" w:rsidRPr="00BE2A86" w:rsidRDefault="003B1AF9" w:rsidP="00C50937">
      <w:pPr>
        <w:rPr>
          <w:rFonts w:ascii="Verdana" w:hAnsi="Verdana"/>
          <w:sz w:val="20"/>
          <w:szCs w:val="20"/>
        </w:rPr>
      </w:pPr>
    </w:p>
    <w:p w14:paraId="6265150C" w14:textId="77777777" w:rsidR="003B1AF9" w:rsidRPr="00BE2A86" w:rsidRDefault="003B1AF9" w:rsidP="00C50937">
      <w:pPr>
        <w:rPr>
          <w:rFonts w:ascii="Verdana" w:hAnsi="Verdana"/>
          <w:sz w:val="20"/>
          <w:szCs w:val="20"/>
        </w:rPr>
      </w:pPr>
      <w:r w:rsidRPr="00BE2A86">
        <w:rPr>
          <w:rFonts w:ascii="Verdana" w:hAnsi="Verdana"/>
          <w:sz w:val="20"/>
          <w:szCs w:val="20"/>
        </w:rPr>
        <w:t>Fecha de publicación en Diario Oficial: N/A</w:t>
      </w:r>
    </w:p>
    <w:p w14:paraId="5AE551B0" w14:textId="77777777" w:rsidR="003B1AF9" w:rsidRPr="00BE2A86" w:rsidRDefault="003B1AF9" w:rsidP="00C50937">
      <w:pPr>
        <w:rPr>
          <w:rFonts w:ascii="Verdana" w:hAnsi="Verdana"/>
          <w:sz w:val="20"/>
          <w:szCs w:val="20"/>
        </w:rPr>
      </w:pPr>
      <w:r w:rsidRPr="00BE2A86">
        <w:rPr>
          <w:rFonts w:ascii="Verdana" w:hAnsi="Verdana"/>
          <w:sz w:val="20"/>
          <w:szCs w:val="20"/>
        </w:rPr>
        <w:t>Número del Diario Oficial: N/A</w:t>
      </w:r>
    </w:p>
    <w:p w14:paraId="09A8A559" w14:textId="7F75F42E" w:rsidR="00C50937" w:rsidRPr="00BE2A86" w:rsidRDefault="00C50937" w:rsidP="00BE2A86">
      <w:pPr>
        <w:jc w:val="center"/>
        <w:rPr>
          <w:rFonts w:ascii="Verdana" w:hAnsi="Verdana"/>
          <w:b/>
          <w:bCs/>
          <w:sz w:val="22"/>
          <w:szCs w:val="22"/>
        </w:rPr>
      </w:pPr>
      <w:r w:rsidRPr="00BE2A86">
        <w:rPr>
          <w:rFonts w:ascii="Verdana" w:hAnsi="Verdana"/>
          <w:b/>
          <w:bCs/>
          <w:sz w:val="22"/>
          <w:szCs w:val="22"/>
        </w:rPr>
        <w:t>RESOLUCIÓN 6211 DE 2013</w:t>
      </w:r>
    </w:p>
    <w:p w14:paraId="1790B5F6" w14:textId="5DF5D00C" w:rsidR="00C50937" w:rsidRPr="00BE2A86" w:rsidRDefault="00C50937" w:rsidP="00BE2A86">
      <w:pPr>
        <w:jc w:val="center"/>
        <w:rPr>
          <w:rFonts w:ascii="Verdana" w:hAnsi="Verdana"/>
          <w:b/>
          <w:bCs/>
          <w:sz w:val="22"/>
          <w:szCs w:val="22"/>
        </w:rPr>
      </w:pPr>
      <w:r w:rsidRPr="00BE2A86">
        <w:rPr>
          <w:rFonts w:ascii="Verdana" w:hAnsi="Verdana"/>
          <w:b/>
          <w:bCs/>
          <w:sz w:val="22"/>
          <w:szCs w:val="22"/>
        </w:rPr>
        <w:t>(</w:t>
      </w:r>
      <w:r w:rsidR="00BE2A86" w:rsidRPr="00BE2A86">
        <w:rPr>
          <w:rFonts w:ascii="Verdana" w:hAnsi="Verdana"/>
          <w:b/>
          <w:bCs/>
          <w:sz w:val="22"/>
          <w:szCs w:val="22"/>
        </w:rPr>
        <w:t>1 de a</w:t>
      </w:r>
      <w:r w:rsidRPr="00BE2A86">
        <w:rPr>
          <w:rFonts w:ascii="Verdana" w:hAnsi="Verdana"/>
          <w:b/>
          <w:bCs/>
          <w:sz w:val="22"/>
          <w:szCs w:val="22"/>
        </w:rPr>
        <w:t>gosto)</w:t>
      </w:r>
    </w:p>
    <w:p w14:paraId="394EF752" w14:textId="5C93B8F6" w:rsidR="00C50937" w:rsidRPr="00BE2A86" w:rsidRDefault="00C50937" w:rsidP="00BE2A86">
      <w:pPr>
        <w:jc w:val="center"/>
        <w:rPr>
          <w:rFonts w:ascii="Verdana" w:hAnsi="Verdana"/>
          <w:b/>
          <w:bCs/>
          <w:sz w:val="22"/>
          <w:szCs w:val="22"/>
        </w:rPr>
      </w:pPr>
      <w:r w:rsidRPr="00BE2A86">
        <w:rPr>
          <w:rFonts w:ascii="Verdana" w:hAnsi="Verdana"/>
          <w:b/>
          <w:bCs/>
          <w:sz w:val="22"/>
          <w:szCs w:val="22"/>
        </w:rPr>
        <w:t>INSTITUTO COLOMBIANO DE BIENESTAR FAMILIAR – ICBF</w:t>
      </w:r>
    </w:p>
    <w:p w14:paraId="43B6ADF2" w14:textId="5A6CC781" w:rsidR="00C50937" w:rsidRPr="00C50937" w:rsidRDefault="00BE2A86" w:rsidP="00BE2A86">
      <w:pPr>
        <w:jc w:val="center"/>
        <w:rPr>
          <w:rFonts w:ascii="Verdana" w:hAnsi="Verdana"/>
          <w:sz w:val="22"/>
          <w:szCs w:val="22"/>
        </w:rPr>
      </w:pPr>
      <w:r>
        <w:rPr>
          <w:rFonts w:ascii="Verdana" w:hAnsi="Verdana"/>
          <w:sz w:val="22"/>
          <w:szCs w:val="22"/>
        </w:rPr>
        <w:t>“</w:t>
      </w:r>
      <w:r w:rsidR="00C50937" w:rsidRPr="00C50937">
        <w:rPr>
          <w:rFonts w:ascii="Verdana" w:hAnsi="Verdana"/>
          <w:sz w:val="22"/>
          <w:szCs w:val="22"/>
        </w:rPr>
        <w:t>Por la cual se estructura y actualiza el Comité de Registro de Beneficiarios y se deroga una Resolución</w:t>
      </w:r>
      <w:r>
        <w:rPr>
          <w:rFonts w:ascii="Verdana" w:hAnsi="Verdana"/>
          <w:sz w:val="22"/>
          <w:szCs w:val="22"/>
        </w:rPr>
        <w:t>”</w:t>
      </w:r>
    </w:p>
    <w:p w14:paraId="5E991CC3" w14:textId="02D66C80" w:rsidR="00C50937" w:rsidRPr="00BE2A86" w:rsidRDefault="00C50937" w:rsidP="00BE2A86">
      <w:pPr>
        <w:jc w:val="center"/>
        <w:rPr>
          <w:rFonts w:ascii="Verdana" w:hAnsi="Verdana"/>
          <w:b/>
          <w:bCs/>
          <w:sz w:val="22"/>
          <w:szCs w:val="22"/>
        </w:rPr>
      </w:pPr>
      <w:r w:rsidRPr="00BE2A86">
        <w:rPr>
          <w:rFonts w:ascii="Verdana" w:hAnsi="Verdana"/>
          <w:b/>
          <w:bCs/>
          <w:sz w:val="22"/>
          <w:szCs w:val="22"/>
        </w:rPr>
        <w:t>LA SUBDIRECTORA GENERAL ENCARGADA DE LAS FUNCIONES DEL DESPACHO DE LA DIRECCIÓN GENERAL DEL INSTITUTO COLOMBIANO DE BIENESTAR FAMILIAR CECILIA DE LA FUENTE DE LLERAS,</w:t>
      </w:r>
    </w:p>
    <w:p w14:paraId="6E2EF1A9" w14:textId="45836C87" w:rsidR="00C50937" w:rsidRPr="00C50937" w:rsidRDefault="00C50937" w:rsidP="00BE2A86">
      <w:pPr>
        <w:jc w:val="center"/>
        <w:rPr>
          <w:rFonts w:ascii="Verdana" w:hAnsi="Verdana"/>
          <w:sz w:val="22"/>
          <w:szCs w:val="22"/>
        </w:rPr>
      </w:pPr>
      <w:r w:rsidRPr="00C50937">
        <w:rPr>
          <w:rFonts w:ascii="Verdana" w:hAnsi="Verdana"/>
          <w:sz w:val="22"/>
          <w:szCs w:val="22"/>
        </w:rPr>
        <w:t>En uso de sus facultades legales y estatutarias, en especial las conferidas en el artículo 78 de la Ley 489 de 1998 y el Decreto 987 de 2012, y</w:t>
      </w:r>
    </w:p>
    <w:p w14:paraId="22667C8A" w14:textId="5C83214E" w:rsidR="00C50937" w:rsidRPr="00BE2A86" w:rsidRDefault="00C50937" w:rsidP="00BE2A86">
      <w:pPr>
        <w:jc w:val="center"/>
        <w:rPr>
          <w:rFonts w:ascii="Verdana" w:hAnsi="Verdana"/>
          <w:b/>
          <w:bCs/>
          <w:sz w:val="22"/>
          <w:szCs w:val="22"/>
        </w:rPr>
      </w:pPr>
      <w:r w:rsidRPr="00BE2A86">
        <w:rPr>
          <w:rFonts w:ascii="Verdana" w:hAnsi="Verdana"/>
          <w:b/>
          <w:bCs/>
          <w:sz w:val="22"/>
          <w:szCs w:val="22"/>
        </w:rPr>
        <w:t>CONSIDERANDO:</w:t>
      </w:r>
    </w:p>
    <w:p w14:paraId="1EE3BAD9" w14:textId="2F0CE819"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Que el artículo 209 de la Constitución Política ordena que la función administrativa esté al servicio de los intereses generales y se desarrolle con fundamento en los principios de igualdad, moralidad, eficacia, economía, celeridad, imparcialidad y publicidad, mediante la descentralización, delegación y desconcentración de funciones.</w:t>
      </w:r>
    </w:p>
    <w:p w14:paraId="5C02BBAF" w14:textId="7884247F"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 xml:space="preserve">Que mediante Resolución No. 5185 de 2010, se creó el Comité del Registro Único de beneficiarios del ICBF, siendo el </w:t>
      </w:r>
      <w:proofErr w:type="gramStart"/>
      <w:r w:rsidRPr="00BE2A86">
        <w:rPr>
          <w:rFonts w:ascii="Verdana" w:hAnsi="Verdana"/>
          <w:sz w:val="22"/>
          <w:szCs w:val="22"/>
        </w:rPr>
        <w:t>Director</w:t>
      </w:r>
      <w:proofErr w:type="gramEnd"/>
      <w:r w:rsidRPr="00BE2A86">
        <w:rPr>
          <w:rFonts w:ascii="Verdana" w:hAnsi="Verdana"/>
          <w:sz w:val="22"/>
          <w:szCs w:val="22"/>
        </w:rPr>
        <w:t xml:space="preserve"> de Información y Tecnología el encargado de presidirlo.</w:t>
      </w:r>
    </w:p>
    <w:p w14:paraId="0D880058" w14:textId="188E6A6D"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Que mediante el Decreto No. 4155 de 2011 y de conformidad con lo establecido en el inciso 2o del artículo 170 de la Ley 1448 de 2011, se transformó el establecimiento público Agencia Presidencial para la Acción Social y la Cooperación Internacional (Acción Social), en el Departamento Administrativo para la Prosperidad Social, como organismo principal de la administración pública del Sector Administrativo de Inclusión Social y Reconciliación.</w:t>
      </w:r>
    </w:p>
    <w:p w14:paraId="55D97D3C" w14:textId="04074DE9"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 xml:space="preserve">Que mediante el Decreto No. 4156 del 3 de noviembre de 2011, se determinó </w:t>
      </w:r>
      <w:proofErr w:type="gramStart"/>
      <w:r w:rsidRPr="00BE2A86">
        <w:rPr>
          <w:rFonts w:ascii="Verdana" w:hAnsi="Verdana"/>
          <w:sz w:val="22"/>
          <w:szCs w:val="22"/>
        </w:rPr>
        <w:t>la  adscripción</w:t>
      </w:r>
      <w:proofErr w:type="gramEnd"/>
      <w:r w:rsidRPr="00BE2A86">
        <w:rPr>
          <w:rFonts w:ascii="Verdana" w:hAnsi="Verdana"/>
          <w:sz w:val="22"/>
          <w:szCs w:val="22"/>
        </w:rPr>
        <w:t xml:space="preserve"> del ICBF al Departamento Administrativo para la Prosperidad Social - DPS-, formando parte del Sector Administrativo de la Inclusión Social y Reconciliación.</w:t>
      </w:r>
    </w:p>
    <w:p w14:paraId="13A65B9D" w14:textId="77777777"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lastRenderedPageBreak/>
        <w:t>Que teniendo en cuenta la necesidad de una adecuación organizacional basada en la modernización y el fortalecimiento del gobierno, la gerencia y la calidad de los servicios que presta el ICBF, el instituto modificó su estructura y determinó las funciones de sus dependencias mediante el Decreto No. 987 de 2012.</w:t>
      </w:r>
    </w:p>
    <w:p w14:paraId="28959FDB" w14:textId="4F663C33"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Que en el artículo 18 del Decreto en mención se establecieron como funciones de la Dirección de Planeación y Control de gestión, entre otras, de definir en coordinación con la Dirección de Información y Tecnología, y de acuerdo con el sistema de focalización, la metodología e instrumentos para la captura de la información de los usuarios atendidos en el Registro Único de Beneficiarios.</w:t>
      </w:r>
    </w:p>
    <w:p w14:paraId="359EDFFD" w14:textId="61BD8668"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 xml:space="preserve">Que la Dirección de Información y Tecnología es la encargada de apoyar tecnológicamente los requerimientos de las áreas misionales para la consecución del registro de beneficiarios, mediante la adquisición o construcción de instrumentos tecnológicos, y brindar el soporte para garantizar la captura de la información de </w:t>
      </w:r>
      <w:proofErr w:type="gramStart"/>
      <w:r w:rsidRPr="00BE2A86">
        <w:rPr>
          <w:rFonts w:ascii="Verdana" w:hAnsi="Verdana"/>
          <w:sz w:val="22"/>
          <w:szCs w:val="22"/>
        </w:rPr>
        <w:t>los  usuarios</w:t>
      </w:r>
      <w:proofErr w:type="gramEnd"/>
      <w:r w:rsidRPr="00BE2A86">
        <w:rPr>
          <w:rFonts w:ascii="Verdana" w:hAnsi="Verdana"/>
          <w:sz w:val="22"/>
          <w:szCs w:val="22"/>
        </w:rPr>
        <w:t xml:space="preserve"> de los programas del ICBF a través del Registro Único de Beneficiarios conforme al numeral 7 del Artículo 22 del Decreto 987 de 2012.</w:t>
      </w:r>
    </w:p>
    <w:p w14:paraId="48FE1BAA" w14:textId="6B7D1787"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 xml:space="preserve">Que de acuerdo a lo establecido en los artículos 28, 31 y 34 el Decreto 987 de 2012 la </w:t>
      </w:r>
      <w:r w:rsidR="00BE2A86">
        <w:rPr>
          <w:rFonts w:ascii="Verdana" w:hAnsi="Verdana"/>
          <w:sz w:val="22"/>
          <w:szCs w:val="22"/>
        </w:rPr>
        <w:t>[</w:t>
      </w:r>
      <w:r w:rsidRPr="00BE2A86">
        <w:rPr>
          <w:rFonts w:ascii="Verdana" w:hAnsi="Verdana"/>
          <w:sz w:val="22"/>
          <w:szCs w:val="22"/>
        </w:rPr>
        <w:t>sic</w:t>
      </w:r>
      <w:r w:rsidR="00BE2A86">
        <w:rPr>
          <w:rFonts w:ascii="Verdana" w:hAnsi="Verdana"/>
          <w:sz w:val="22"/>
          <w:szCs w:val="22"/>
        </w:rPr>
        <w:t>]</w:t>
      </w:r>
      <w:r w:rsidRPr="00BE2A86">
        <w:rPr>
          <w:rFonts w:ascii="Verdana" w:hAnsi="Verdana"/>
          <w:sz w:val="22"/>
          <w:szCs w:val="22"/>
        </w:rPr>
        <w:t xml:space="preserve"> Direcciones de Primera Infancia, Niñez y Adolescencia y Familia y Comunidades del ICBF deben establecer en Coordinación con la Dirección de Planeación y Control Gestión, las variables, indicadores e instrumentos que se requieran para la evaluación y monitoreo de la Política Pública a la Primera Infancia, Niñez y Adolescencia y Familias y Comunidad, y a través de sus subdirecciones de Gestión Técnica deberán participar en la definición e implementación de los sistemas de información misionales y demás herramientas tecnológicas, velar por la calidad y oportunidad de los datos, y hacer uso de los sistemas para la producción de informes de planeación, seguimiento y control</w:t>
      </w:r>
    </w:p>
    <w:p w14:paraId="39803A7A" w14:textId="792A5E42"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Que de conformidad con lo señalado en los numerales 31 y 38 de los Artículo 37 y 38 del Decreto 987 de 2012, se establece que la Dirección de Nutrición y la Dirección de Protección deberán garantizar continuamente la información requerida de cada uno de los usuarios de los programas de atención para el Registro Único de Beneficiarios.</w:t>
      </w:r>
    </w:p>
    <w:p w14:paraId="279B00D9" w14:textId="2854DCE3"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Que durante la vigencia 2012 operó el proyecto RUB a cargo de la Dirección de Información y Tecnología y a partir de la vigencia 2013 se asumió el registro en cada una de las áreas misionales según disposición de las funciones asignadas por el Decreto 987 do 2012.</w:t>
      </w:r>
    </w:p>
    <w:p w14:paraId="3D0C8C62" w14:textId="196DE086"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Que a partir de la expedición del Decreto 987 de 2012, el ICBF inició el proceso de revisión y adecuación de todos los comités creados para su respectiva actualización bajo la actual legislación y esquema de operación.</w:t>
      </w:r>
    </w:p>
    <w:p w14:paraId="2F8B0A1F" w14:textId="0BFFB493"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lastRenderedPageBreak/>
        <w:t xml:space="preserve">Que teniendo en cuenta </w:t>
      </w:r>
      <w:proofErr w:type="gramStart"/>
      <w:r w:rsidRPr="00BE2A86">
        <w:rPr>
          <w:rFonts w:ascii="Verdana" w:hAnsi="Verdana"/>
          <w:sz w:val="22"/>
          <w:szCs w:val="22"/>
        </w:rPr>
        <w:t>que</w:t>
      </w:r>
      <w:proofErr w:type="gramEnd"/>
      <w:r w:rsidRPr="00BE2A86">
        <w:rPr>
          <w:rFonts w:ascii="Verdana" w:hAnsi="Verdana"/>
          <w:sz w:val="22"/>
          <w:szCs w:val="22"/>
        </w:rPr>
        <w:t xml:space="preserve"> durante el primer semestre de 2012, las herramientas tecnológicas para la captura de registros administrativos se encontraban en diseño y pruebas, lo cual hacía parte del proceso de transición de un modelo a otro.</w:t>
      </w:r>
    </w:p>
    <w:p w14:paraId="771273CD" w14:textId="5044C746" w:rsidR="00C50937" w:rsidRPr="00BE2A86" w:rsidRDefault="00C50937" w:rsidP="00BE2A86">
      <w:pPr>
        <w:pStyle w:val="Prrafodelista"/>
        <w:numPr>
          <w:ilvl w:val="0"/>
          <w:numId w:val="1"/>
        </w:numPr>
        <w:jc w:val="both"/>
        <w:rPr>
          <w:rFonts w:ascii="Verdana" w:hAnsi="Verdana"/>
          <w:sz w:val="22"/>
          <w:szCs w:val="22"/>
        </w:rPr>
      </w:pPr>
      <w:r w:rsidRPr="00BE2A86">
        <w:rPr>
          <w:rFonts w:ascii="Verdana" w:hAnsi="Verdana"/>
          <w:sz w:val="22"/>
          <w:szCs w:val="22"/>
        </w:rPr>
        <w:t>Por lo anterior se hace necesario actualizar y estructurar el comité con la finalidad de coordinar y articular las acciones entre las dependencias involucradas para garantizar el diseño, recolección, captura y análisis de resultados del registro de beneficiarios atendidos por el ICBF en sus programas misionales.</w:t>
      </w:r>
    </w:p>
    <w:p w14:paraId="5CBF6F6E" w14:textId="28A553A9" w:rsidR="00C50937" w:rsidRPr="00BE2A86" w:rsidRDefault="00C50937" w:rsidP="00C50937">
      <w:pPr>
        <w:pStyle w:val="Prrafodelista"/>
        <w:numPr>
          <w:ilvl w:val="0"/>
          <w:numId w:val="1"/>
        </w:numPr>
        <w:jc w:val="both"/>
        <w:rPr>
          <w:rFonts w:ascii="Verdana" w:hAnsi="Verdana"/>
          <w:sz w:val="22"/>
          <w:szCs w:val="22"/>
        </w:rPr>
      </w:pPr>
      <w:proofErr w:type="gramStart"/>
      <w:r w:rsidRPr="00BE2A86">
        <w:rPr>
          <w:rFonts w:ascii="Verdana" w:hAnsi="Verdana"/>
          <w:sz w:val="22"/>
          <w:szCs w:val="22"/>
        </w:rPr>
        <w:t>Que</w:t>
      </w:r>
      <w:proofErr w:type="gramEnd"/>
      <w:r w:rsidRPr="00BE2A86">
        <w:rPr>
          <w:rFonts w:ascii="Verdana" w:hAnsi="Verdana"/>
          <w:sz w:val="22"/>
          <w:szCs w:val="22"/>
        </w:rPr>
        <w:t xml:space="preserve"> en mérito de lo expuesto,</w:t>
      </w:r>
    </w:p>
    <w:p w14:paraId="3722AD85" w14:textId="77777777" w:rsidR="00C50937" w:rsidRPr="00BE2A86" w:rsidRDefault="00C50937" w:rsidP="00BE2A86">
      <w:pPr>
        <w:jc w:val="center"/>
        <w:rPr>
          <w:rFonts w:ascii="Verdana" w:hAnsi="Verdana"/>
          <w:b/>
          <w:bCs/>
          <w:sz w:val="22"/>
          <w:szCs w:val="22"/>
        </w:rPr>
      </w:pPr>
      <w:r w:rsidRPr="00BE2A86">
        <w:rPr>
          <w:rFonts w:ascii="Verdana" w:hAnsi="Verdana"/>
          <w:b/>
          <w:bCs/>
          <w:sz w:val="22"/>
          <w:szCs w:val="22"/>
        </w:rPr>
        <w:t>RESUELVE:</w:t>
      </w:r>
    </w:p>
    <w:p w14:paraId="6F3F994E" w14:textId="24BF44E3" w:rsidR="00C50937" w:rsidRPr="00C50937" w:rsidRDefault="00C50937" w:rsidP="00C50937">
      <w:pPr>
        <w:rPr>
          <w:rFonts w:ascii="Verdana" w:hAnsi="Verdana"/>
          <w:sz w:val="22"/>
          <w:szCs w:val="22"/>
        </w:rPr>
      </w:pPr>
      <w:r w:rsidRPr="00BE2A86">
        <w:rPr>
          <w:rFonts w:ascii="Verdana" w:hAnsi="Verdana"/>
          <w:b/>
          <w:bCs/>
          <w:sz w:val="22"/>
          <w:szCs w:val="22"/>
        </w:rPr>
        <w:t>ARTÍCULO 1o. OBJETO.</w:t>
      </w:r>
      <w:r w:rsidRPr="00C50937">
        <w:rPr>
          <w:rFonts w:ascii="Verdana" w:hAnsi="Verdana"/>
          <w:sz w:val="22"/>
          <w:szCs w:val="22"/>
        </w:rPr>
        <w:t xml:space="preserve"> El ICBF continuará operando el Comité del Registro de Beneficiarios del Instituto Colombiano de Bienestar Familiar, Cecilia de la Fuente de Lleras, ICBF, con el objeto de coordinar las actividades de consolidación, acceso y uso de la información de beneficiarios para garantizar el diseño, operación y evaluación de los programas y servicios del Instituto, y articular las acciones entre las dependencias involucradas para garantizar el diseño, recolección, captura y análisis de resultados del registro de beneficiarios atendidos por el ICBF en sus programas misionales.</w:t>
      </w:r>
    </w:p>
    <w:p w14:paraId="0FF85E13" w14:textId="53CF0365" w:rsidR="00C50937" w:rsidRPr="00C50937" w:rsidRDefault="00C50937" w:rsidP="00C50937">
      <w:pPr>
        <w:rPr>
          <w:rFonts w:ascii="Verdana" w:hAnsi="Verdana"/>
          <w:sz w:val="22"/>
          <w:szCs w:val="22"/>
        </w:rPr>
      </w:pPr>
      <w:r w:rsidRPr="00BE2A86">
        <w:rPr>
          <w:rFonts w:ascii="Verdana" w:hAnsi="Verdana"/>
          <w:b/>
          <w:bCs/>
          <w:sz w:val="22"/>
          <w:szCs w:val="22"/>
        </w:rPr>
        <w:t>ARTÍCULO 2o. OBJETIVOS.</w:t>
      </w:r>
      <w:r w:rsidRPr="00C50937">
        <w:rPr>
          <w:rFonts w:ascii="Verdana" w:hAnsi="Verdana"/>
          <w:sz w:val="22"/>
          <w:szCs w:val="22"/>
        </w:rPr>
        <w:t xml:space="preserve"> Los objetivos del Comité del Registro de Beneficiarios del </w:t>
      </w:r>
      <w:proofErr w:type="gramStart"/>
      <w:r w:rsidRPr="00C50937">
        <w:rPr>
          <w:rFonts w:ascii="Verdana" w:hAnsi="Verdana"/>
          <w:sz w:val="22"/>
          <w:szCs w:val="22"/>
        </w:rPr>
        <w:t>ICBF,</w:t>
      </w:r>
      <w:proofErr w:type="gramEnd"/>
      <w:r w:rsidRPr="00C50937">
        <w:rPr>
          <w:rFonts w:ascii="Verdana" w:hAnsi="Verdana"/>
          <w:sz w:val="22"/>
          <w:szCs w:val="22"/>
        </w:rPr>
        <w:t xml:space="preserve"> son los siguientes:</w:t>
      </w:r>
    </w:p>
    <w:p w14:paraId="48AEBC60" w14:textId="3C6F9C97"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t>Promover el acceso, uso y aprovechamiento de la información del Registro Único de Beneficiarios del ICBF para la toma de decisiones por parte de los dueños de los procesos y los responsables del diseño, operación y evaluación de los programas y servicios del Instituto.</w:t>
      </w:r>
    </w:p>
    <w:p w14:paraId="545D2CE0" w14:textId="349EA763"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t>Realizar seguimiento, evaluación y monitoreo periódico a las metodologías, procedimientos, instrumentos y planes de acción para la captura, consolidación y reporte de información de beneficiarios.</w:t>
      </w:r>
    </w:p>
    <w:p w14:paraId="3CCA545F" w14:textId="0734DEDF"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t>Definir estrategias que garanticen la familiarización y entrenamiento en la necesidad e importancia de recolectar y utilizar la información de los beneficiarios con oportunidad y calidad a los funcionarios responsables del Registro de Beneficiarios en el ICBF y los demás actores de la Entidad.</w:t>
      </w:r>
    </w:p>
    <w:p w14:paraId="412EF3B2" w14:textId="5FBA8B80"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t>Liderar la implantación y uso permanente de tecnologías de punta para la actualización y consulta de la información de beneficiarios.</w:t>
      </w:r>
    </w:p>
    <w:p w14:paraId="778A433A" w14:textId="72EDD800"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t>Promover la colaboración y articulación de las Direcciones del Instituto, las Direcciones Regionales, los Centros Zonales, las Entidades Contratistas, las Unidades de Servicio y más actores responsables del Registro de Beneficiarios.</w:t>
      </w:r>
    </w:p>
    <w:p w14:paraId="142D8F3C" w14:textId="4076C653"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lastRenderedPageBreak/>
        <w:t>Promover el registro, uso, administración y transparencia de la información del Registro de Beneficiarios, por medio de los procesos y procedimientos que se ejecutan en los niveles nacional, regional y zonal.</w:t>
      </w:r>
    </w:p>
    <w:p w14:paraId="32DCAA0B" w14:textId="15495C62" w:rsidR="00C50937" w:rsidRPr="00BE2A86" w:rsidRDefault="00C50937" w:rsidP="00BE2A86">
      <w:pPr>
        <w:pStyle w:val="Prrafodelista"/>
        <w:numPr>
          <w:ilvl w:val="0"/>
          <w:numId w:val="3"/>
        </w:numPr>
        <w:rPr>
          <w:rFonts w:ascii="Verdana" w:hAnsi="Verdana"/>
          <w:sz w:val="22"/>
          <w:szCs w:val="22"/>
        </w:rPr>
      </w:pPr>
      <w:r w:rsidRPr="00BE2A86">
        <w:rPr>
          <w:rFonts w:ascii="Verdana" w:hAnsi="Verdana"/>
          <w:sz w:val="22"/>
          <w:szCs w:val="22"/>
        </w:rPr>
        <w:t>El comité constituirá el órgano de decisión transversal de acciones en materia de la captura, consolidación, análisis y reporte de información de beneficiarios.</w:t>
      </w:r>
    </w:p>
    <w:p w14:paraId="26AF5D43" w14:textId="2C0CD937" w:rsidR="00C50937" w:rsidRPr="00C50937" w:rsidRDefault="00C50937" w:rsidP="00C50937">
      <w:pPr>
        <w:rPr>
          <w:rFonts w:ascii="Verdana" w:hAnsi="Verdana"/>
          <w:sz w:val="22"/>
          <w:szCs w:val="22"/>
        </w:rPr>
      </w:pPr>
      <w:r w:rsidRPr="00BE2A86">
        <w:rPr>
          <w:rFonts w:ascii="Verdana" w:hAnsi="Verdana"/>
          <w:b/>
          <w:bCs/>
          <w:sz w:val="22"/>
          <w:szCs w:val="22"/>
        </w:rPr>
        <w:t>ARTÍCULO 3o. INTEGRACIÓN DEL COMITÉ.</w:t>
      </w:r>
      <w:r w:rsidRPr="00C50937">
        <w:rPr>
          <w:rFonts w:ascii="Verdana" w:hAnsi="Verdana"/>
          <w:sz w:val="22"/>
          <w:szCs w:val="22"/>
        </w:rPr>
        <w:t xml:space="preserve"> El Comité del Registro Único de Beneficiarios del ICBF estará integrado así:</w:t>
      </w:r>
    </w:p>
    <w:p w14:paraId="0E73BEFA" w14:textId="4C7087C2" w:rsidR="00C50937" w:rsidRPr="00C50937" w:rsidRDefault="00C50937" w:rsidP="00C50937">
      <w:pPr>
        <w:rPr>
          <w:rFonts w:ascii="Verdana" w:hAnsi="Verdana"/>
          <w:sz w:val="22"/>
          <w:szCs w:val="22"/>
        </w:rPr>
      </w:pPr>
      <w:r w:rsidRPr="00C50937">
        <w:rPr>
          <w:rFonts w:ascii="Verdana" w:hAnsi="Verdana"/>
          <w:sz w:val="22"/>
          <w:szCs w:val="22"/>
        </w:rPr>
        <w:t xml:space="preserve">El </w:t>
      </w:r>
      <w:proofErr w:type="gramStart"/>
      <w:r w:rsidRPr="00C50937">
        <w:rPr>
          <w:rFonts w:ascii="Verdana" w:hAnsi="Verdana"/>
          <w:sz w:val="22"/>
          <w:szCs w:val="22"/>
        </w:rPr>
        <w:t>Director</w:t>
      </w:r>
      <w:proofErr w:type="gramEnd"/>
      <w:r w:rsidRPr="00C50937">
        <w:rPr>
          <w:rFonts w:ascii="Verdana" w:hAnsi="Verdana"/>
          <w:sz w:val="22"/>
          <w:szCs w:val="22"/>
        </w:rPr>
        <w:t xml:space="preserve"> de Planeación y Control de Gestión, quien presidirá el Comité.</w:t>
      </w:r>
    </w:p>
    <w:p w14:paraId="7FB042E1" w14:textId="24775E3A" w:rsidR="00C50937" w:rsidRPr="00C50937" w:rsidRDefault="00C50937" w:rsidP="00C50937">
      <w:pPr>
        <w:rPr>
          <w:rFonts w:ascii="Verdana" w:hAnsi="Verdana"/>
          <w:sz w:val="22"/>
          <w:szCs w:val="22"/>
        </w:rPr>
      </w:pPr>
      <w:r w:rsidRPr="00C50937">
        <w:rPr>
          <w:rFonts w:ascii="Verdana" w:hAnsi="Verdana"/>
          <w:sz w:val="22"/>
          <w:szCs w:val="22"/>
        </w:rPr>
        <w:t xml:space="preserve">El </w:t>
      </w:r>
      <w:proofErr w:type="gramStart"/>
      <w:r w:rsidRPr="00C50937">
        <w:rPr>
          <w:rFonts w:ascii="Verdana" w:hAnsi="Verdana"/>
          <w:sz w:val="22"/>
          <w:szCs w:val="22"/>
        </w:rPr>
        <w:t>Director</w:t>
      </w:r>
      <w:proofErr w:type="gramEnd"/>
      <w:r w:rsidRPr="00C50937">
        <w:rPr>
          <w:rFonts w:ascii="Verdana" w:hAnsi="Verdana"/>
          <w:sz w:val="22"/>
          <w:szCs w:val="22"/>
        </w:rPr>
        <w:t xml:space="preserve"> de Información y Tecnología.</w:t>
      </w:r>
    </w:p>
    <w:p w14:paraId="0712E319" w14:textId="1B9A826C" w:rsidR="00C50937" w:rsidRPr="00C50937" w:rsidRDefault="00C50937" w:rsidP="00C50937">
      <w:pPr>
        <w:rPr>
          <w:rFonts w:ascii="Verdana" w:hAnsi="Verdana"/>
          <w:sz w:val="22"/>
          <w:szCs w:val="22"/>
        </w:rPr>
      </w:pPr>
      <w:r w:rsidRPr="00C50937">
        <w:rPr>
          <w:rFonts w:ascii="Verdana" w:hAnsi="Verdana"/>
          <w:sz w:val="22"/>
          <w:szCs w:val="22"/>
        </w:rPr>
        <w:t>E</w:t>
      </w:r>
      <w:r w:rsidR="00BE2A86">
        <w:rPr>
          <w:rFonts w:ascii="Verdana" w:hAnsi="Verdana"/>
          <w:sz w:val="22"/>
          <w:szCs w:val="22"/>
        </w:rPr>
        <w:t>l</w:t>
      </w:r>
      <w:r w:rsidRPr="00C50937">
        <w:rPr>
          <w:rFonts w:ascii="Verdana" w:hAnsi="Verdana"/>
          <w:sz w:val="22"/>
          <w:szCs w:val="22"/>
        </w:rPr>
        <w:t xml:space="preserve"> </w:t>
      </w:r>
      <w:proofErr w:type="gramStart"/>
      <w:r w:rsidRPr="00C50937">
        <w:rPr>
          <w:rFonts w:ascii="Verdana" w:hAnsi="Verdana"/>
          <w:sz w:val="22"/>
          <w:szCs w:val="22"/>
        </w:rPr>
        <w:t>Subdirector</w:t>
      </w:r>
      <w:proofErr w:type="gramEnd"/>
      <w:r w:rsidRPr="00C50937">
        <w:rPr>
          <w:rFonts w:ascii="Verdana" w:hAnsi="Verdana"/>
          <w:sz w:val="22"/>
          <w:szCs w:val="22"/>
        </w:rPr>
        <w:t xml:space="preserve"> General del ICBF</w:t>
      </w:r>
    </w:p>
    <w:p w14:paraId="3FBA6A5E" w14:textId="58FB9782" w:rsidR="00C50937" w:rsidRPr="00C50937" w:rsidRDefault="00C50937" w:rsidP="00C50937">
      <w:pPr>
        <w:rPr>
          <w:rFonts w:ascii="Verdana" w:hAnsi="Verdana"/>
          <w:sz w:val="22"/>
          <w:szCs w:val="22"/>
        </w:rPr>
      </w:pPr>
      <w:r w:rsidRPr="00C50937">
        <w:rPr>
          <w:rFonts w:ascii="Verdana" w:hAnsi="Verdana"/>
          <w:sz w:val="22"/>
          <w:szCs w:val="22"/>
        </w:rPr>
        <w:t xml:space="preserve">El </w:t>
      </w:r>
      <w:proofErr w:type="gramStart"/>
      <w:r w:rsidRPr="00C50937">
        <w:rPr>
          <w:rFonts w:ascii="Verdana" w:hAnsi="Verdana"/>
          <w:sz w:val="22"/>
          <w:szCs w:val="22"/>
        </w:rPr>
        <w:t>Director</w:t>
      </w:r>
      <w:proofErr w:type="gramEnd"/>
      <w:r w:rsidRPr="00C50937">
        <w:rPr>
          <w:rFonts w:ascii="Verdana" w:hAnsi="Verdana"/>
          <w:sz w:val="22"/>
          <w:szCs w:val="22"/>
        </w:rPr>
        <w:t xml:space="preserve"> de Primera Infancia.</w:t>
      </w:r>
    </w:p>
    <w:p w14:paraId="3422FC6D" w14:textId="489662D9" w:rsidR="00C50937" w:rsidRPr="00C50937" w:rsidRDefault="00C50937" w:rsidP="00C50937">
      <w:pPr>
        <w:rPr>
          <w:rFonts w:ascii="Verdana" w:hAnsi="Verdana"/>
          <w:sz w:val="22"/>
          <w:szCs w:val="22"/>
        </w:rPr>
      </w:pPr>
      <w:r w:rsidRPr="00C50937">
        <w:rPr>
          <w:rFonts w:ascii="Verdana" w:hAnsi="Verdana"/>
          <w:sz w:val="22"/>
          <w:szCs w:val="22"/>
        </w:rPr>
        <w:t xml:space="preserve">EI </w:t>
      </w:r>
      <w:proofErr w:type="gramStart"/>
      <w:r w:rsidRPr="00C50937">
        <w:rPr>
          <w:rFonts w:ascii="Verdana" w:hAnsi="Verdana"/>
          <w:sz w:val="22"/>
          <w:szCs w:val="22"/>
        </w:rPr>
        <w:t>Director</w:t>
      </w:r>
      <w:proofErr w:type="gramEnd"/>
      <w:r w:rsidRPr="00C50937">
        <w:rPr>
          <w:rFonts w:ascii="Verdana" w:hAnsi="Verdana"/>
          <w:sz w:val="22"/>
          <w:szCs w:val="22"/>
        </w:rPr>
        <w:t xml:space="preserve"> de Niñez y Adolescencia.</w:t>
      </w:r>
    </w:p>
    <w:p w14:paraId="1094909B" w14:textId="398D6500" w:rsidR="00C50937" w:rsidRPr="00C50937" w:rsidRDefault="00C50937" w:rsidP="00C50937">
      <w:pPr>
        <w:rPr>
          <w:rFonts w:ascii="Verdana" w:hAnsi="Verdana"/>
          <w:sz w:val="22"/>
          <w:szCs w:val="22"/>
        </w:rPr>
      </w:pPr>
      <w:r w:rsidRPr="00C50937">
        <w:rPr>
          <w:rFonts w:ascii="Verdana" w:hAnsi="Verdana"/>
          <w:sz w:val="22"/>
          <w:szCs w:val="22"/>
        </w:rPr>
        <w:t xml:space="preserve">El </w:t>
      </w:r>
      <w:proofErr w:type="gramStart"/>
      <w:r w:rsidRPr="00C50937">
        <w:rPr>
          <w:rFonts w:ascii="Verdana" w:hAnsi="Verdana"/>
          <w:sz w:val="22"/>
          <w:szCs w:val="22"/>
        </w:rPr>
        <w:t>Director</w:t>
      </w:r>
      <w:proofErr w:type="gramEnd"/>
      <w:r w:rsidRPr="00C50937">
        <w:rPr>
          <w:rFonts w:ascii="Verdana" w:hAnsi="Verdana"/>
          <w:sz w:val="22"/>
          <w:szCs w:val="22"/>
        </w:rPr>
        <w:t xml:space="preserve"> de Nutrición.</w:t>
      </w:r>
    </w:p>
    <w:p w14:paraId="6F60D96E" w14:textId="47143F08" w:rsidR="00C50937" w:rsidRPr="00C50937" w:rsidRDefault="00C50937" w:rsidP="00C50937">
      <w:pPr>
        <w:rPr>
          <w:rFonts w:ascii="Verdana" w:hAnsi="Verdana"/>
          <w:sz w:val="22"/>
          <w:szCs w:val="22"/>
        </w:rPr>
      </w:pPr>
      <w:r w:rsidRPr="00C50937">
        <w:rPr>
          <w:rFonts w:ascii="Verdana" w:hAnsi="Verdana"/>
          <w:sz w:val="22"/>
          <w:szCs w:val="22"/>
        </w:rPr>
        <w:t xml:space="preserve">El </w:t>
      </w:r>
      <w:proofErr w:type="gramStart"/>
      <w:r w:rsidRPr="00C50937">
        <w:rPr>
          <w:rFonts w:ascii="Verdana" w:hAnsi="Verdana"/>
          <w:sz w:val="22"/>
          <w:szCs w:val="22"/>
        </w:rPr>
        <w:t>Director</w:t>
      </w:r>
      <w:proofErr w:type="gramEnd"/>
      <w:r w:rsidRPr="00C50937">
        <w:rPr>
          <w:rFonts w:ascii="Verdana" w:hAnsi="Verdana"/>
          <w:sz w:val="22"/>
          <w:szCs w:val="22"/>
        </w:rPr>
        <w:t xml:space="preserve"> de Familia y Comunidades.</w:t>
      </w:r>
    </w:p>
    <w:p w14:paraId="2E231902" w14:textId="7A021894" w:rsidR="00C50937" w:rsidRPr="00C50937" w:rsidRDefault="00C50937" w:rsidP="00C50937">
      <w:pPr>
        <w:rPr>
          <w:rFonts w:ascii="Verdana" w:hAnsi="Verdana"/>
          <w:sz w:val="22"/>
          <w:szCs w:val="22"/>
        </w:rPr>
      </w:pPr>
      <w:r w:rsidRPr="00C50937">
        <w:rPr>
          <w:rFonts w:ascii="Verdana" w:hAnsi="Verdana"/>
          <w:sz w:val="22"/>
          <w:szCs w:val="22"/>
        </w:rPr>
        <w:t xml:space="preserve">El </w:t>
      </w:r>
      <w:proofErr w:type="gramStart"/>
      <w:r w:rsidRPr="00C50937">
        <w:rPr>
          <w:rFonts w:ascii="Verdana" w:hAnsi="Verdana"/>
          <w:sz w:val="22"/>
          <w:szCs w:val="22"/>
        </w:rPr>
        <w:t>Director</w:t>
      </w:r>
      <w:proofErr w:type="gramEnd"/>
      <w:r w:rsidRPr="00C50937">
        <w:rPr>
          <w:rFonts w:ascii="Verdana" w:hAnsi="Verdana"/>
          <w:sz w:val="22"/>
          <w:szCs w:val="22"/>
        </w:rPr>
        <w:t xml:space="preserve"> de Protección.</w:t>
      </w:r>
    </w:p>
    <w:p w14:paraId="2A7493AA" w14:textId="2441572E" w:rsidR="00C50937" w:rsidRPr="00C50937" w:rsidRDefault="00C50937" w:rsidP="00C50937">
      <w:pPr>
        <w:rPr>
          <w:rFonts w:ascii="Verdana" w:hAnsi="Verdana"/>
          <w:sz w:val="22"/>
          <w:szCs w:val="22"/>
        </w:rPr>
      </w:pPr>
      <w:r w:rsidRPr="00BE2A86">
        <w:rPr>
          <w:rFonts w:ascii="Verdana" w:hAnsi="Verdana"/>
          <w:b/>
          <w:bCs/>
          <w:sz w:val="22"/>
          <w:szCs w:val="22"/>
        </w:rPr>
        <w:t xml:space="preserve">PARÁGRAFO </w:t>
      </w:r>
      <w:r w:rsidR="00BE2A86" w:rsidRPr="00BE2A86">
        <w:rPr>
          <w:rFonts w:ascii="Verdana" w:hAnsi="Verdana"/>
          <w:b/>
          <w:bCs/>
          <w:sz w:val="22"/>
          <w:szCs w:val="22"/>
        </w:rPr>
        <w:t>PRIMERO</w:t>
      </w:r>
      <w:r w:rsidRPr="00BE2A86">
        <w:rPr>
          <w:rFonts w:ascii="Verdana" w:hAnsi="Verdana"/>
          <w:b/>
          <w:bCs/>
          <w:sz w:val="22"/>
          <w:szCs w:val="22"/>
        </w:rPr>
        <w:t>.</w:t>
      </w:r>
      <w:r w:rsidRPr="00C50937">
        <w:rPr>
          <w:rFonts w:ascii="Verdana" w:hAnsi="Verdana"/>
          <w:sz w:val="22"/>
          <w:szCs w:val="22"/>
        </w:rPr>
        <w:t xml:space="preserve"> Concurrirán con </w:t>
      </w:r>
      <w:proofErr w:type="gramStart"/>
      <w:r w:rsidRPr="00C50937">
        <w:rPr>
          <w:rFonts w:ascii="Verdana" w:hAnsi="Verdana"/>
          <w:sz w:val="22"/>
          <w:szCs w:val="22"/>
        </w:rPr>
        <w:t>voz</w:t>
      </w:r>
      <w:proofErr w:type="gramEnd"/>
      <w:r w:rsidRPr="00C50937">
        <w:rPr>
          <w:rFonts w:ascii="Verdana" w:hAnsi="Verdana"/>
          <w:sz w:val="22"/>
          <w:szCs w:val="22"/>
        </w:rPr>
        <w:t xml:space="preserve"> pero sin voto los colaboradores del ICBF que por su condición de jerarquía y funcional deban asistir según la agenda de cada comité.</w:t>
      </w:r>
    </w:p>
    <w:p w14:paraId="36BEC750" w14:textId="691913E7" w:rsidR="00C50937" w:rsidRPr="00C50937" w:rsidRDefault="00C50937" w:rsidP="00C50937">
      <w:pPr>
        <w:rPr>
          <w:rFonts w:ascii="Verdana" w:hAnsi="Verdana"/>
          <w:sz w:val="22"/>
          <w:szCs w:val="22"/>
        </w:rPr>
      </w:pPr>
      <w:r w:rsidRPr="00BE2A86">
        <w:rPr>
          <w:rFonts w:ascii="Verdana" w:hAnsi="Verdana"/>
          <w:b/>
          <w:bCs/>
          <w:sz w:val="22"/>
          <w:szCs w:val="22"/>
        </w:rPr>
        <w:t xml:space="preserve">PARÁGRAFO </w:t>
      </w:r>
      <w:r w:rsidR="00BE2A86" w:rsidRPr="00BE2A86">
        <w:rPr>
          <w:rFonts w:ascii="Verdana" w:hAnsi="Verdana"/>
          <w:b/>
          <w:bCs/>
          <w:sz w:val="22"/>
          <w:szCs w:val="22"/>
        </w:rPr>
        <w:t>SEGUNDO</w:t>
      </w:r>
      <w:r w:rsidRPr="00BE2A86">
        <w:rPr>
          <w:rFonts w:ascii="Verdana" w:hAnsi="Verdana"/>
          <w:b/>
          <w:bCs/>
          <w:sz w:val="22"/>
          <w:szCs w:val="22"/>
        </w:rPr>
        <w:t>.</w:t>
      </w:r>
      <w:r w:rsidRPr="00C50937">
        <w:rPr>
          <w:rFonts w:ascii="Verdana" w:hAnsi="Verdana"/>
          <w:sz w:val="22"/>
          <w:szCs w:val="22"/>
        </w:rPr>
        <w:t xml:space="preserve"> El </w:t>
      </w:r>
      <w:proofErr w:type="gramStart"/>
      <w:r w:rsidRPr="00C50937">
        <w:rPr>
          <w:rFonts w:ascii="Verdana" w:hAnsi="Verdana"/>
          <w:sz w:val="22"/>
          <w:szCs w:val="22"/>
        </w:rPr>
        <w:t>Director</w:t>
      </w:r>
      <w:proofErr w:type="gramEnd"/>
      <w:r w:rsidRPr="00C50937">
        <w:rPr>
          <w:rFonts w:ascii="Verdana" w:hAnsi="Verdana"/>
          <w:sz w:val="22"/>
          <w:szCs w:val="22"/>
        </w:rPr>
        <w:t xml:space="preserve"> de Planeación y Control de Gestión designará a un colaborador de su equipo para ejercer las funciones de </w:t>
      </w:r>
      <w:proofErr w:type="gramStart"/>
      <w:r w:rsidRPr="00C50937">
        <w:rPr>
          <w:rFonts w:ascii="Verdana" w:hAnsi="Verdana"/>
          <w:sz w:val="22"/>
          <w:szCs w:val="22"/>
        </w:rPr>
        <w:t>Secretario Técnico</w:t>
      </w:r>
      <w:proofErr w:type="gramEnd"/>
      <w:r w:rsidRPr="00C50937">
        <w:rPr>
          <w:rFonts w:ascii="Verdana" w:hAnsi="Verdana"/>
          <w:sz w:val="22"/>
          <w:szCs w:val="22"/>
        </w:rPr>
        <w:t xml:space="preserve"> el cual invocará a las reuniones del comité con agenda definida para cada sesión.</w:t>
      </w:r>
    </w:p>
    <w:p w14:paraId="4F218C5E" w14:textId="18B5F1CD" w:rsidR="00C50937" w:rsidRPr="00C50937" w:rsidRDefault="00C50937" w:rsidP="00C50937">
      <w:pPr>
        <w:rPr>
          <w:rFonts w:ascii="Verdana" w:hAnsi="Verdana"/>
          <w:sz w:val="22"/>
          <w:szCs w:val="22"/>
        </w:rPr>
      </w:pPr>
      <w:r w:rsidRPr="00BE2A86">
        <w:rPr>
          <w:rFonts w:ascii="Verdana" w:hAnsi="Verdana"/>
          <w:b/>
          <w:bCs/>
          <w:sz w:val="22"/>
          <w:szCs w:val="22"/>
        </w:rPr>
        <w:t>ARTÍCULO 4o. FUNCIONES DEL COMITÉ.</w:t>
      </w:r>
      <w:r w:rsidRPr="00C50937">
        <w:rPr>
          <w:rFonts w:ascii="Verdana" w:hAnsi="Verdana"/>
          <w:sz w:val="22"/>
          <w:szCs w:val="22"/>
        </w:rPr>
        <w:t xml:space="preserve"> Son funciones del Comité del Registro de Beneficiarios del ICBF las siguientes:</w:t>
      </w:r>
    </w:p>
    <w:p w14:paraId="4E08B07E" w14:textId="568A4B35"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Determinar su propio reglamento y modo de operación.</w:t>
      </w:r>
    </w:p>
    <w:p w14:paraId="2DB04F5C" w14:textId="3FA4BF23"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Definir y divulgar las políticas y los lineamientos técnicos que afecten la conformación del Registro de Beneficiarios.</w:t>
      </w:r>
    </w:p>
    <w:p w14:paraId="5FAEFCEE" w14:textId="37971186"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Definir y divulgar las políticas, los mecanismos y procedimientos para la administración, actualización e intercambio de información del Registro de Beneficiarios.</w:t>
      </w:r>
    </w:p>
    <w:p w14:paraId="03B4AC2A" w14:textId="7C54DB0A"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Realizar seguimiento a los procesos asociados al Registro de Beneficiarios, proponer alternativas y retroalimentar a los actores responsables de ellos.</w:t>
      </w:r>
    </w:p>
    <w:p w14:paraId="453D8AC5" w14:textId="1EFDCC87"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Definir lineamientos para la utilización del Registro de Beneficiarios como instrumento para la definición de políticas de atención, la priorización de recursos y el establecimiento de coberturas de atención.</w:t>
      </w:r>
    </w:p>
    <w:p w14:paraId="6501744B" w14:textId="77777777" w:rsidR="00C50937" w:rsidRPr="00C50937" w:rsidRDefault="00C50937" w:rsidP="00C50937">
      <w:pPr>
        <w:rPr>
          <w:rFonts w:ascii="Verdana" w:hAnsi="Verdana"/>
          <w:sz w:val="22"/>
          <w:szCs w:val="22"/>
        </w:rPr>
      </w:pPr>
    </w:p>
    <w:p w14:paraId="73028CA9" w14:textId="2765158E"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Promover el uso de tecnologías y herramientas que faciliten y optimicen la obtención, el registro y la consulta de la información.</w:t>
      </w:r>
    </w:p>
    <w:p w14:paraId="4AAC931B" w14:textId="256F5311" w:rsidR="00C50937" w:rsidRPr="00BE2A86" w:rsidRDefault="00C50937" w:rsidP="00BE2A86">
      <w:pPr>
        <w:pStyle w:val="Prrafodelista"/>
        <w:numPr>
          <w:ilvl w:val="0"/>
          <w:numId w:val="5"/>
        </w:numPr>
        <w:rPr>
          <w:rFonts w:ascii="Verdana" w:hAnsi="Verdana"/>
          <w:sz w:val="22"/>
          <w:szCs w:val="22"/>
        </w:rPr>
      </w:pPr>
      <w:r w:rsidRPr="00BE2A86">
        <w:rPr>
          <w:rFonts w:ascii="Verdana" w:hAnsi="Verdana"/>
          <w:sz w:val="22"/>
          <w:szCs w:val="22"/>
        </w:rPr>
        <w:t>Las demás que le sean asignadas por la Dirección General del Instituto, de acuerdo con su naturaleza.</w:t>
      </w:r>
    </w:p>
    <w:p w14:paraId="2993FD99" w14:textId="13794A29" w:rsidR="00C50937" w:rsidRPr="00C50937" w:rsidRDefault="00C50937" w:rsidP="00C50937">
      <w:pPr>
        <w:rPr>
          <w:rFonts w:ascii="Verdana" w:hAnsi="Verdana"/>
          <w:sz w:val="22"/>
          <w:szCs w:val="22"/>
        </w:rPr>
      </w:pPr>
      <w:r w:rsidRPr="00BE2A86">
        <w:rPr>
          <w:rFonts w:ascii="Verdana" w:hAnsi="Verdana"/>
          <w:b/>
          <w:bCs/>
          <w:sz w:val="22"/>
          <w:szCs w:val="22"/>
        </w:rPr>
        <w:t>ARTÍCULO 5o. REUNIONES.</w:t>
      </w:r>
      <w:r w:rsidRPr="00C50937">
        <w:rPr>
          <w:rFonts w:ascii="Verdana" w:hAnsi="Verdana"/>
          <w:sz w:val="22"/>
          <w:szCs w:val="22"/>
        </w:rPr>
        <w:t xml:space="preserve"> El Comité del Registro de Beneficiarios se reunirá previa convocatoria de la Secretaría Técnica cuando se requiera.</w:t>
      </w:r>
    </w:p>
    <w:p w14:paraId="6F4DC02A" w14:textId="77777777" w:rsidR="00C50937" w:rsidRPr="00C50937" w:rsidRDefault="00C50937" w:rsidP="00C50937">
      <w:pPr>
        <w:rPr>
          <w:rFonts w:ascii="Verdana" w:hAnsi="Verdana"/>
          <w:sz w:val="22"/>
          <w:szCs w:val="22"/>
        </w:rPr>
      </w:pPr>
      <w:r w:rsidRPr="00BE2A86">
        <w:rPr>
          <w:rFonts w:ascii="Verdana" w:hAnsi="Verdana"/>
          <w:b/>
          <w:bCs/>
          <w:sz w:val="22"/>
          <w:szCs w:val="22"/>
        </w:rPr>
        <w:t>ARTÍCULO 6o. DELIBERACIÓN Y DECISIÓN.</w:t>
      </w:r>
      <w:r w:rsidRPr="00C50937">
        <w:rPr>
          <w:rFonts w:ascii="Verdana" w:hAnsi="Verdana"/>
          <w:sz w:val="22"/>
          <w:szCs w:val="22"/>
        </w:rPr>
        <w:t xml:space="preserve"> El Comité sesionará válidamente con la mitad más uno de los integrantes que sean convocados y las decisiones se adoptarán por mayoría simple de los asistentes.</w:t>
      </w:r>
    </w:p>
    <w:p w14:paraId="04F36534" w14:textId="77777777" w:rsidR="00C50937" w:rsidRPr="00C50937" w:rsidRDefault="00C50937" w:rsidP="00C50937">
      <w:pPr>
        <w:rPr>
          <w:rFonts w:ascii="Verdana" w:hAnsi="Verdana"/>
          <w:sz w:val="22"/>
          <w:szCs w:val="22"/>
        </w:rPr>
      </w:pPr>
      <w:r w:rsidRPr="00BE2A86">
        <w:rPr>
          <w:rFonts w:ascii="Verdana" w:hAnsi="Verdana"/>
          <w:b/>
          <w:bCs/>
          <w:sz w:val="22"/>
          <w:szCs w:val="22"/>
        </w:rPr>
        <w:t xml:space="preserve">ARTICULO 7o. SECRETARIA TECNICA. </w:t>
      </w:r>
      <w:r w:rsidRPr="00C50937">
        <w:rPr>
          <w:rFonts w:ascii="Verdana" w:hAnsi="Verdana"/>
          <w:sz w:val="22"/>
          <w:szCs w:val="22"/>
        </w:rPr>
        <w:t xml:space="preserve">La </w:t>
      </w:r>
      <w:proofErr w:type="gramStart"/>
      <w:r w:rsidRPr="00C50937">
        <w:rPr>
          <w:rFonts w:ascii="Verdana" w:hAnsi="Verdana"/>
          <w:sz w:val="22"/>
          <w:szCs w:val="22"/>
        </w:rPr>
        <w:t>Secretaria Técnica</w:t>
      </w:r>
      <w:proofErr w:type="gramEnd"/>
      <w:r w:rsidRPr="00C50937">
        <w:rPr>
          <w:rFonts w:ascii="Verdana" w:hAnsi="Verdana"/>
          <w:sz w:val="22"/>
          <w:szCs w:val="22"/>
        </w:rPr>
        <w:t xml:space="preserve"> del Comité, será desempeñada por un colaborador designado por el </w:t>
      </w:r>
      <w:proofErr w:type="gramStart"/>
      <w:r w:rsidRPr="00C50937">
        <w:rPr>
          <w:rFonts w:ascii="Verdana" w:hAnsi="Verdana"/>
          <w:sz w:val="22"/>
          <w:szCs w:val="22"/>
        </w:rPr>
        <w:t>Director</w:t>
      </w:r>
      <w:proofErr w:type="gramEnd"/>
      <w:r w:rsidRPr="00C50937">
        <w:rPr>
          <w:rFonts w:ascii="Verdana" w:hAnsi="Verdana"/>
          <w:sz w:val="22"/>
          <w:szCs w:val="22"/>
        </w:rPr>
        <w:t xml:space="preserve"> de Planeación y Control de Gestión.</w:t>
      </w:r>
    </w:p>
    <w:p w14:paraId="70692F2E" w14:textId="1DB910DD" w:rsidR="00C50937" w:rsidRPr="00C50937" w:rsidRDefault="00C50937" w:rsidP="00C50937">
      <w:pPr>
        <w:rPr>
          <w:rFonts w:ascii="Verdana" w:hAnsi="Verdana"/>
          <w:sz w:val="22"/>
          <w:szCs w:val="22"/>
        </w:rPr>
      </w:pPr>
      <w:r w:rsidRPr="00BE2A86">
        <w:rPr>
          <w:rFonts w:ascii="Verdana" w:hAnsi="Verdana"/>
          <w:b/>
          <w:bCs/>
          <w:sz w:val="22"/>
          <w:szCs w:val="22"/>
        </w:rPr>
        <w:t>ARTÍCULO 8o. FUNCIONES DE LA SECRETARÍA TÉCNICA.</w:t>
      </w:r>
      <w:r w:rsidRPr="00C50937">
        <w:rPr>
          <w:rFonts w:ascii="Verdana" w:hAnsi="Verdana"/>
          <w:sz w:val="22"/>
          <w:szCs w:val="22"/>
        </w:rPr>
        <w:t xml:space="preserve"> Son funciones de la </w:t>
      </w:r>
      <w:proofErr w:type="gramStart"/>
      <w:r w:rsidRPr="00C50937">
        <w:rPr>
          <w:rFonts w:ascii="Verdana" w:hAnsi="Verdana"/>
          <w:sz w:val="22"/>
          <w:szCs w:val="22"/>
        </w:rPr>
        <w:t>Secretaria Técnica</w:t>
      </w:r>
      <w:proofErr w:type="gramEnd"/>
      <w:r w:rsidRPr="00C50937">
        <w:rPr>
          <w:rFonts w:ascii="Verdana" w:hAnsi="Verdana"/>
          <w:sz w:val="22"/>
          <w:szCs w:val="22"/>
        </w:rPr>
        <w:t xml:space="preserve"> del Comité:</w:t>
      </w:r>
    </w:p>
    <w:p w14:paraId="60C13B5F" w14:textId="248366D7" w:rsidR="00C50937" w:rsidRPr="00BE2A86" w:rsidRDefault="00C50937" w:rsidP="00C50937">
      <w:pPr>
        <w:pStyle w:val="Prrafodelista"/>
        <w:numPr>
          <w:ilvl w:val="0"/>
          <w:numId w:val="7"/>
        </w:numPr>
        <w:rPr>
          <w:rFonts w:ascii="Verdana" w:hAnsi="Verdana"/>
          <w:sz w:val="22"/>
          <w:szCs w:val="22"/>
        </w:rPr>
      </w:pPr>
      <w:r w:rsidRPr="00BE2A86">
        <w:rPr>
          <w:rFonts w:ascii="Verdana" w:hAnsi="Verdana"/>
          <w:sz w:val="22"/>
          <w:szCs w:val="22"/>
        </w:rPr>
        <w:t>Convocar a sesiones ordinarias y extraordinarias.</w:t>
      </w:r>
    </w:p>
    <w:p w14:paraId="2044AACE" w14:textId="43D05CD0" w:rsidR="00C50937" w:rsidRPr="00BE2A86" w:rsidRDefault="00C50937" w:rsidP="00C50937">
      <w:pPr>
        <w:pStyle w:val="Prrafodelista"/>
        <w:numPr>
          <w:ilvl w:val="0"/>
          <w:numId w:val="7"/>
        </w:numPr>
        <w:rPr>
          <w:rFonts w:ascii="Verdana" w:hAnsi="Verdana"/>
          <w:sz w:val="22"/>
          <w:szCs w:val="22"/>
        </w:rPr>
      </w:pPr>
      <w:r w:rsidRPr="00BE2A86">
        <w:rPr>
          <w:rFonts w:ascii="Verdana" w:hAnsi="Verdana"/>
          <w:sz w:val="22"/>
          <w:szCs w:val="22"/>
        </w:rPr>
        <w:t>Elaborar la agenda de los temas a tratar en cada una de las reuniones. La agenda de las reuniones ordinarias deberá ser enviada con la convocatoria, con antelación a la fecha de la reunión.</w:t>
      </w:r>
    </w:p>
    <w:p w14:paraId="543FD678" w14:textId="3108BE7A" w:rsidR="00C50937" w:rsidRPr="00BE2A86" w:rsidRDefault="00C50937" w:rsidP="00C50937">
      <w:pPr>
        <w:pStyle w:val="Prrafodelista"/>
        <w:numPr>
          <w:ilvl w:val="0"/>
          <w:numId w:val="7"/>
        </w:numPr>
        <w:rPr>
          <w:rFonts w:ascii="Verdana" w:hAnsi="Verdana"/>
          <w:sz w:val="22"/>
          <w:szCs w:val="22"/>
        </w:rPr>
      </w:pPr>
      <w:r w:rsidRPr="00BE2A86">
        <w:rPr>
          <w:rFonts w:ascii="Verdana" w:hAnsi="Verdana"/>
          <w:sz w:val="22"/>
          <w:szCs w:val="22"/>
        </w:rPr>
        <w:t xml:space="preserve">Elaborar las actas de cada sesión, las cuales deberán ser suscritas por el </w:t>
      </w:r>
      <w:proofErr w:type="gramStart"/>
      <w:r w:rsidRPr="00BE2A86">
        <w:rPr>
          <w:rFonts w:ascii="Verdana" w:hAnsi="Verdana"/>
          <w:sz w:val="22"/>
          <w:szCs w:val="22"/>
        </w:rPr>
        <w:t>Presidente</w:t>
      </w:r>
      <w:proofErr w:type="gramEnd"/>
      <w:r w:rsidRPr="00BE2A86">
        <w:rPr>
          <w:rFonts w:ascii="Verdana" w:hAnsi="Verdana"/>
          <w:sz w:val="22"/>
          <w:szCs w:val="22"/>
        </w:rPr>
        <w:t xml:space="preserve"> y </w:t>
      </w:r>
      <w:proofErr w:type="gramStart"/>
      <w:r w:rsidRPr="00BE2A86">
        <w:rPr>
          <w:rFonts w:ascii="Verdana" w:hAnsi="Verdana"/>
          <w:sz w:val="22"/>
          <w:szCs w:val="22"/>
        </w:rPr>
        <w:t>Secretario Técnico</w:t>
      </w:r>
      <w:proofErr w:type="gramEnd"/>
      <w:r w:rsidRPr="00BE2A86">
        <w:rPr>
          <w:rFonts w:ascii="Verdana" w:hAnsi="Verdana"/>
          <w:sz w:val="22"/>
          <w:szCs w:val="22"/>
        </w:rPr>
        <w:t>, previa aprobación de los integrantes que asistieron a la respectiva reunión y, deberá contener los aspectos tratados y acordados.</w:t>
      </w:r>
    </w:p>
    <w:p w14:paraId="79A45FA6" w14:textId="35E3A92A" w:rsidR="00C50937" w:rsidRPr="00BE2A86" w:rsidRDefault="00C50937" w:rsidP="00C50937">
      <w:pPr>
        <w:pStyle w:val="Prrafodelista"/>
        <w:numPr>
          <w:ilvl w:val="0"/>
          <w:numId w:val="7"/>
        </w:numPr>
        <w:rPr>
          <w:rFonts w:ascii="Verdana" w:hAnsi="Verdana"/>
          <w:sz w:val="22"/>
          <w:szCs w:val="22"/>
        </w:rPr>
      </w:pPr>
      <w:r w:rsidRPr="00BE2A86">
        <w:rPr>
          <w:rFonts w:ascii="Verdana" w:hAnsi="Verdana"/>
          <w:sz w:val="22"/>
          <w:szCs w:val="22"/>
        </w:rPr>
        <w:t>Hacer seguimiento a las decisiones, recomendaciones y compromisos acordados.</w:t>
      </w:r>
    </w:p>
    <w:p w14:paraId="537F8D8B" w14:textId="12771B8F" w:rsidR="00C50937" w:rsidRPr="00BE2A86" w:rsidRDefault="00C50937" w:rsidP="00C50937">
      <w:pPr>
        <w:pStyle w:val="Prrafodelista"/>
        <w:numPr>
          <w:ilvl w:val="0"/>
          <w:numId w:val="7"/>
        </w:numPr>
        <w:rPr>
          <w:rFonts w:ascii="Verdana" w:hAnsi="Verdana"/>
          <w:sz w:val="22"/>
          <w:szCs w:val="22"/>
        </w:rPr>
      </w:pPr>
      <w:r w:rsidRPr="00BE2A86">
        <w:rPr>
          <w:rFonts w:ascii="Verdana" w:hAnsi="Verdana"/>
          <w:sz w:val="22"/>
          <w:szCs w:val="22"/>
        </w:rPr>
        <w:t>Someter a consideración del Comité la información que este requiera para el cumplimiento de su función.</w:t>
      </w:r>
    </w:p>
    <w:p w14:paraId="6417F806" w14:textId="470FF28B" w:rsidR="00C50937" w:rsidRPr="00BE2A86" w:rsidRDefault="00C50937" w:rsidP="00C50937">
      <w:pPr>
        <w:pStyle w:val="Prrafodelista"/>
        <w:numPr>
          <w:ilvl w:val="0"/>
          <w:numId w:val="7"/>
        </w:numPr>
        <w:rPr>
          <w:rFonts w:ascii="Verdana" w:hAnsi="Verdana"/>
          <w:sz w:val="22"/>
          <w:szCs w:val="22"/>
        </w:rPr>
      </w:pPr>
      <w:r w:rsidRPr="00BE2A86">
        <w:rPr>
          <w:rFonts w:ascii="Verdana" w:hAnsi="Verdana"/>
          <w:sz w:val="22"/>
          <w:szCs w:val="22"/>
        </w:rPr>
        <w:t>Registrar, custodiar, archivar y conservar la documentación del Comité.</w:t>
      </w:r>
    </w:p>
    <w:p w14:paraId="0692E8BB" w14:textId="0B8C38E6" w:rsidR="00C50937" w:rsidRPr="00BE2A86" w:rsidRDefault="00C50937" w:rsidP="00BE2A86">
      <w:pPr>
        <w:pStyle w:val="Prrafodelista"/>
        <w:numPr>
          <w:ilvl w:val="0"/>
          <w:numId w:val="7"/>
        </w:numPr>
        <w:rPr>
          <w:rFonts w:ascii="Verdana" w:hAnsi="Verdana"/>
          <w:sz w:val="22"/>
          <w:szCs w:val="22"/>
        </w:rPr>
      </w:pPr>
      <w:r w:rsidRPr="00BE2A86">
        <w:rPr>
          <w:rFonts w:ascii="Verdana" w:hAnsi="Verdana"/>
          <w:sz w:val="22"/>
          <w:szCs w:val="22"/>
        </w:rPr>
        <w:t>Las demás que le sean asignadas por el Comité.</w:t>
      </w:r>
    </w:p>
    <w:p w14:paraId="545C4911" w14:textId="0F748C95" w:rsidR="00C50937" w:rsidRPr="00C50937" w:rsidRDefault="00C50937" w:rsidP="00C50937">
      <w:pPr>
        <w:rPr>
          <w:rFonts w:ascii="Verdana" w:hAnsi="Verdana"/>
          <w:sz w:val="22"/>
          <w:szCs w:val="22"/>
        </w:rPr>
      </w:pPr>
      <w:r w:rsidRPr="00BE2A86">
        <w:rPr>
          <w:rFonts w:ascii="Verdana" w:hAnsi="Verdana"/>
          <w:b/>
          <w:bCs/>
          <w:sz w:val="22"/>
          <w:szCs w:val="22"/>
        </w:rPr>
        <w:t>ARTÍCULO 9o. VIGENCIA.</w:t>
      </w:r>
      <w:r w:rsidRPr="00C50937">
        <w:rPr>
          <w:rFonts w:ascii="Verdana" w:hAnsi="Verdana"/>
          <w:sz w:val="22"/>
          <w:szCs w:val="22"/>
        </w:rPr>
        <w:t xml:space="preserve"> La presente resolución rige a partir de la fecha de su publicación y deroga la Resolución No. 5185 de 2010 y demás disposiciones que le sean contrarias.</w:t>
      </w:r>
    </w:p>
    <w:p w14:paraId="0D5A932E" w14:textId="06C7F0A3" w:rsidR="00C50937" w:rsidRPr="00BE2A86" w:rsidRDefault="00C50937" w:rsidP="00BE2A86">
      <w:pPr>
        <w:jc w:val="center"/>
        <w:rPr>
          <w:rFonts w:ascii="Verdana" w:hAnsi="Verdana"/>
          <w:b/>
          <w:bCs/>
          <w:sz w:val="22"/>
          <w:szCs w:val="22"/>
        </w:rPr>
      </w:pPr>
      <w:r w:rsidRPr="00BE2A86">
        <w:rPr>
          <w:rFonts w:ascii="Verdana" w:hAnsi="Verdana"/>
          <w:b/>
          <w:bCs/>
          <w:sz w:val="22"/>
          <w:szCs w:val="22"/>
        </w:rPr>
        <w:t>COMUNÍQUESE Y CÚMPLASE</w:t>
      </w:r>
      <w:r w:rsidR="00BE2A86" w:rsidRPr="00BE2A86">
        <w:rPr>
          <w:rFonts w:ascii="Verdana" w:hAnsi="Verdana"/>
          <w:b/>
          <w:bCs/>
          <w:sz w:val="22"/>
          <w:szCs w:val="22"/>
        </w:rPr>
        <w:t>,</w:t>
      </w:r>
    </w:p>
    <w:p w14:paraId="6452047C" w14:textId="044F9B16" w:rsidR="00C50937" w:rsidRPr="00C50937" w:rsidRDefault="00C50937" w:rsidP="00BE2A86">
      <w:pPr>
        <w:jc w:val="center"/>
        <w:rPr>
          <w:rFonts w:ascii="Verdana" w:hAnsi="Verdana"/>
          <w:sz w:val="22"/>
          <w:szCs w:val="22"/>
        </w:rPr>
      </w:pPr>
      <w:r w:rsidRPr="00C50937">
        <w:rPr>
          <w:rFonts w:ascii="Verdana" w:hAnsi="Verdana"/>
          <w:sz w:val="22"/>
          <w:szCs w:val="22"/>
        </w:rPr>
        <w:t xml:space="preserve">Dada en Bogotá D.C., </w:t>
      </w:r>
      <w:r w:rsidR="00BE2A86" w:rsidRPr="00C50937">
        <w:rPr>
          <w:rFonts w:ascii="Verdana" w:hAnsi="Verdana"/>
          <w:sz w:val="22"/>
          <w:szCs w:val="22"/>
        </w:rPr>
        <w:t>A</w:t>
      </w:r>
      <w:r w:rsidR="00BE2A86">
        <w:rPr>
          <w:rFonts w:ascii="Verdana" w:hAnsi="Verdana"/>
          <w:sz w:val="22"/>
          <w:szCs w:val="22"/>
        </w:rPr>
        <w:t>l 1 día del mes de agosto del año</w:t>
      </w:r>
      <w:r w:rsidRPr="00C50937">
        <w:rPr>
          <w:rFonts w:ascii="Verdana" w:hAnsi="Verdana"/>
          <w:sz w:val="22"/>
          <w:szCs w:val="22"/>
        </w:rPr>
        <w:t xml:space="preserve"> 2013</w:t>
      </w:r>
    </w:p>
    <w:p w14:paraId="6D9D2C41" w14:textId="3F693FF8" w:rsidR="00C50937" w:rsidRPr="00BE2A86" w:rsidRDefault="00C50937" w:rsidP="00BE2A86">
      <w:pPr>
        <w:jc w:val="center"/>
        <w:rPr>
          <w:rFonts w:ascii="Verdana" w:hAnsi="Verdana"/>
          <w:b/>
          <w:bCs/>
          <w:sz w:val="22"/>
          <w:szCs w:val="22"/>
        </w:rPr>
      </w:pPr>
      <w:r w:rsidRPr="00BE2A86">
        <w:rPr>
          <w:rFonts w:ascii="Verdana" w:hAnsi="Verdana"/>
          <w:b/>
          <w:bCs/>
          <w:sz w:val="22"/>
          <w:szCs w:val="22"/>
        </w:rPr>
        <w:t>ADRIANA MARÌA GONZALEZ MAXCYCLAK</w:t>
      </w:r>
    </w:p>
    <w:p w14:paraId="0D3297ED" w14:textId="684F00D8" w:rsidR="00A724C4" w:rsidRPr="00C50937" w:rsidRDefault="00BE2A86" w:rsidP="00BE2A86">
      <w:pPr>
        <w:jc w:val="center"/>
        <w:rPr>
          <w:rFonts w:ascii="Verdana" w:hAnsi="Verdana"/>
          <w:sz w:val="22"/>
          <w:szCs w:val="22"/>
        </w:rPr>
      </w:pPr>
      <w:r w:rsidRPr="00C50937">
        <w:rPr>
          <w:rFonts w:ascii="Verdana" w:hAnsi="Verdana"/>
          <w:sz w:val="22"/>
          <w:szCs w:val="22"/>
        </w:rPr>
        <w:t>SUBDIRECTORA GENERAL – ENCARGADA DE LAS FUNCIONES DE LA DIRECCIÓN GENERAL</w:t>
      </w:r>
    </w:p>
    <w:sectPr w:rsidR="00A724C4" w:rsidRPr="00C509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66BC"/>
    <w:multiLevelType w:val="hybridMultilevel"/>
    <w:tmpl w:val="C7965C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1129E9"/>
    <w:multiLevelType w:val="hybridMultilevel"/>
    <w:tmpl w:val="866438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7F3B23"/>
    <w:multiLevelType w:val="hybridMultilevel"/>
    <w:tmpl w:val="DAE64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0B0780F"/>
    <w:multiLevelType w:val="hybridMultilevel"/>
    <w:tmpl w:val="721062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3D6D8E"/>
    <w:multiLevelType w:val="hybridMultilevel"/>
    <w:tmpl w:val="5E0ED8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1041AA"/>
    <w:multiLevelType w:val="hybridMultilevel"/>
    <w:tmpl w:val="BEC4F2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50286C"/>
    <w:multiLevelType w:val="hybridMultilevel"/>
    <w:tmpl w:val="588C79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46516667">
    <w:abstractNumId w:val="5"/>
  </w:num>
  <w:num w:numId="2" w16cid:durableId="159925481">
    <w:abstractNumId w:val="4"/>
  </w:num>
  <w:num w:numId="3" w16cid:durableId="944658400">
    <w:abstractNumId w:val="0"/>
  </w:num>
  <w:num w:numId="4" w16cid:durableId="1070231260">
    <w:abstractNumId w:val="2"/>
  </w:num>
  <w:num w:numId="5" w16cid:durableId="1625035654">
    <w:abstractNumId w:val="6"/>
  </w:num>
  <w:num w:numId="6" w16cid:durableId="207299595">
    <w:abstractNumId w:val="3"/>
  </w:num>
  <w:num w:numId="7" w16cid:durableId="72930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A5"/>
    <w:rsid w:val="00243CB4"/>
    <w:rsid w:val="003B1AF9"/>
    <w:rsid w:val="00424613"/>
    <w:rsid w:val="0096095D"/>
    <w:rsid w:val="00A724C4"/>
    <w:rsid w:val="00BE2A86"/>
    <w:rsid w:val="00C50937"/>
    <w:rsid w:val="00C82354"/>
    <w:rsid w:val="00FA0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9A36"/>
  <w15:chartTrackingRefBased/>
  <w15:docId w15:val="{4DEB32F2-3740-478C-8E1C-E73C6D3C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F9"/>
    <w:pPr>
      <w:spacing w:line="240" w:lineRule="auto"/>
      <w:jc w:val="both"/>
    </w:pPr>
    <w:rPr>
      <w:rFonts w:ascii="Arial" w:hAnsi="Arial" w:cs="Arial"/>
    </w:rPr>
  </w:style>
  <w:style w:type="paragraph" w:styleId="Ttulo1">
    <w:name w:val="heading 1"/>
    <w:basedOn w:val="Normal"/>
    <w:next w:val="Normal"/>
    <w:link w:val="Ttulo1Car"/>
    <w:uiPriority w:val="9"/>
    <w:qFormat/>
    <w:rsid w:val="00FA04A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4A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4A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4A5"/>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A04A5"/>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A04A5"/>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A04A5"/>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A04A5"/>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A04A5"/>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4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4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4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4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4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4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4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4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4A5"/>
    <w:rPr>
      <w:rFonts w:eastAsiaTheme="majorEastAsia" w:cstheme="majorBidi"/>
      <w:color w:val="272727" w:themeColor="text1" w:themeTint="D8"/>
    </w:rPr>
  </w:style>
  <w:style w:type="paragraph" w:styleId="Ttulo">
    <w:name w:val="Title"/>
    <w:basedOn w:val="Normal"/>
    <w:next w:val="Normal"/>
    <w:link w:val="TtuloCar"/>
    <w:uiPriority w:val="10"/>
    <w:qFormat/>
    <w:rsid w:val="00FA04A5"/>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4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4A5"/>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4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4A5"/>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FA04A5"/>
    <w:rPr>
      <w:i/>
      <w:iCs/>
      <w:color w:val="404040" w:themeColor="text1" w:themeTint="BF"/>
    </w:rPr>
  </w:style>
  <w:style w:type="paragraph" w:styleId="Prrafodelista">
    <w:name w:val="List Paragraph"/>
    <w:basedOn w:val="Normal"/>
    <w:uiPriority w:val="34"/>
    <w:qFormat/>
    <w:rsid w:val="00FA04A5"/>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FA04A5"/>
    <w:rPr>
      <w:i/>
      <w:iCs/>
      <w:color w:val="0F4761" w:themeColor="accent1" w:themeShade="BF"/>
    </w:rPr>
  </w:style>
  <w:style w:type="paragraph" w:styleId="Citadestacada">
    <w:name w:val="Intense Quote"/>
    <w:basedOn w:val="Normal"/>
    <w:next w:val="Normal"/>
    <w:link w:val="CitadestacadaCar"/>
    <w:uiPriority w:val="30"/>
    <w:qFormat/>
    <w:rsid w:val="00FA0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FA04A5"/>
    <w:rPr>
      <w:i/>
      <w:iCs/>
      <w:color w:val="0F4761" w:themeColor="accent1" w:themeShade="BF"/>
    </w:rPr>
  </w:style>
  <w:style w:type="character" w:styleId="Referenciaintensa">
    <w:name w:val="Intense Reference"/>
    <w:basedOn w:val="Fuentedeprrafopredeter"/>
    <w:uiPriority w:val="32"/>
    <w:qFormat/>
    <w:rsid w:val="00FA0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F13F4-FCC8-459F-9C2E-9AF9D90903B2}"/>
</file>

<file path=customXml/itemProps2.xml><?xml version="1.0" encoding="utf-8"?>
<ds:datastoreItem xmlns:ds="http://schemas.openxmlformats.org/officeDocument/2006/customXml" ds:itemID="{C6A9608E-C55A-45AF-A9FC-7E967259583D}"/>
</file>

<file path=customXml/itemProps3.xml><?xml version="1.0" encoding="utf-8"?>
<ds:datastoreItem xmlns:ds="http://schemas.openxmlformats.org/officeDocument/2006/customXml" ds:itemID="{E66EAF56-7E63-4D58-8AD9-4736FC5EE972}"/>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9424</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2026-01-20T16:48:00Z</dcterms:created>
  <dcterms:modified xsi:type="dcterms:W3CDTF">2026-01-20T16:48:00Z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