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BF54" w14:textId="6392B023" w:rsidR="002908F0" w:rsidRPr="00547200" w:rsidRDefault="002908F0" w:rsidP="002908F0">
      <w:pPr>
        <w:spacing w:after="0"/>
        <w:jc w:val="center"/>
        <w:rPr>
          <w:rFonts w:ascii="Verdana" w:hAnsi="Verdana"/>
          <w:b/>
          <w:bCs/>
          <w:sz w:val="22"/>
          <w:szCs w:val="22"/>
        </w:rPr>
      </w:pPr>
      <w:r w:rsidRPr="00547200">
        <w:rPr>
          <w:rFonts w:ascii="Verdana" w:hAnsi="Verdana"/>
          <w:b/>
          <w:bCs/>
          <w:sz w:val="22"/>
          <w:szCs w:val="22"/>
        </w:rPr>
        <w:t>RESOLUCIÓN 619 DE 1994</w:t>
      </w:r>
    </w:p>
    <w:p w14:paraId="0D7C1884" w14:textId="77777777" w:rsidR="002908F0" w:rsidRPr="00547200" w:rsidRDefault="002908F0" w:rsidP="002908F0">
      <w:pPr>
        <w:spacing w:after="0"/>
        <w:jc w:val="center"/>
        <w:rPr>
          <w:rFonts w:ascii="Verdana" w:hAnsi="Verdana"/>
          <w:b/>
          <w:bCs/>
          <w:sz w:val="22"/>
          <w:szCs w:val="22"/>
        </w:rPr>
      </w:pPr>
    </w:p>
    <w:p w14:paraId="60157C0C" w14:textId="77777777" w:rsidR="00D0220F" w:rsidRPr="00D0220F" w:rsidRDefault="00D0220F" w:rsidP="00D0220F">
      <w:pPr>
        <w:spacing w:after="0"/>
        <w:jc w:val="both"/>
        <w:rPr>
          <w:rFonts w:ascii="Verdana" w:hAnsi="Verdana"/>
          <w:sz w:val="20"/>
          <w:szCs w:val="20"/>
        </w:rPr>
      </w:pPr>
      <w:r w:rsidRPr="00D0220F">
        <w:rPr>
          <w:rFonts w:ascii="Verdana" w:hAnsi="Verdana"/>
          <w:sz w:val="20"/>
          <w:szCs w:val="20"/>
        </w:rPr>
        <w:t>Fecha de Expedición: 17 de marzo 1994</w:t>
      </w:r>
    </w:p>
    <w:p w14:paraId="3344BA24" w14:textId="77777777" w:rsidR="00D0220F" w:rsidRPr="00D0220F" w:rsidRDefault="00D0220F" w:rsidP="00D0220F">
      <w:pPr>
        <w:spacing w:after="0"/>
        <w:jc w:val="both"/>
        <w:rPr>
          <w:rFonts w:ascii="Verdana" w:hAnsi="Verdana"/>
          <w:sz w:val="20"/>
          <w:szCs w:val="20"/>
        </w:rPr>
      </w:pPr>
      <w:r w:rsidRPr="00D0220F">
        <w:rPr>
          <w:rFonts w:ascii="Verdana" w:hAnsi="Verdana"/>
          <w:sz w:val="20"/>
          <w:szCs w:val="20"/>
        </w:rPr>
        <w:t xml:space="preserve">Fecha de </w:t>
      </w:r>
      <w:proofErr w:type="gramStart"/>
      <w:r w:rsidRPr="00D0220F">
        <w:rPr>
          <w:rFonts w:ascii="Verdana" w:hAnsi="Verdana"/>
          <w:sz w:val="20"/>
          <w:szCs w:val="20"/>
        </w:rPr>
        <w:t>entrada en vigencia</w:t>
      </w:r>
      <w:proofErr w:type="gramEnd"/>
      <w:r w:rsidRPr="00D0220F">
        <w:rPr>
          <w:rFonts w:ascii="Verdana" w:hAnsi="Verdana"/>
          <w:sz w:val="20"/>
          <w:szCs w:val="20"/>
        </w:rPr>
        <w:t>: 17 de marzo de 1994</w:t>
      </w:r>
    </w:p>
    <w:p w14:paraId="6EA5D27D" w14:textId="20304419" w:rsidR="00D0220F" w:rsidRPr="00D0220F" w:rsidRDefault="00D0220F" w:rsidP="00D0220F">
      <w:pPr>
        <w:spacing w:after="0"/>
        <w:jc w:val="both"/>
        <w:rPr>
          <w:rFonts w:ascii="Verdana" w:hAnsi="Verdana"/>
          <w:sz w:val="20"/>
          <w:szCs w:val="20"/>
        </w:rPr>
      </w:pPr>
      <w:r w:rsidRPr="00D0220F">
        <w:rPr>
          <w:rFonts w:ascii="Verdana" w:hAnsi="Verdana"/>
          <w:sz w:val="20"/>
          <w:szCs w:val="20"/>
        </w:rPr>
        <w:t>Estado de la vigencia: Modificada por la Resolución 1038 de 27 de abril de 1997</w:t>
      </w:r>
    </w:p>
    <w:p w14:paraId="7C103F26" w14:textId="77777777" w:rsidR="00D0220F" w:rsidRDefault="00D0220F" w:rsidP="00D0220F">
      <w:pPr>
        <w:spacing w:after="0"/>
        <w:jc w:val="both"/>
        <w:rPr>
          <w:rFonts w:ascii="Verdana" w:hAnsi="Verdana"/>
          <w:sz w:val="20"/>
          <w:szCs w:val="20"/>
        </w:rPr>
      </w:pPr>
    </w:p>
    <w:p w14:paraId="6A88F653" w14:textId="62915254" w:rsidR="00D0220F" w:rsidRPr="00D0220F" w:rsidRDefault="00D0220F" w:rsidP="00D0220F">
      <w:pPr>
        <w:spacing w:after="0"/>
        <w:jc w:val="both"/>
        <w:rPr>
          <w:rFonts w:ascii="Verdana" w:hAnsi="Verdana"/>
          <w:sz w:val="20"/>
          <w:szCs w:val="20"/>
        </w:rPr>
      </w:pPr>
      <w:r w:rsidRPr="00D0220F">
        <w:rPr>
          <w:rFonts w:ascii="Verdana" w:hAnsi="Verdana"/>
          <w:sz w:val="20"/>
          <w:szCs w:val="20"/>
        </w:rPr>
        <w:t>Fecha de publicación en Diario Oficial: N/A</w:t>
      </w:r>
    </w:p>
    <w:p w14:paraId="30B4BFCD" w14:textId="77777777" w:rsidR="00D0220F" w:rsidRPr="00D0220F" w:rsidRDefault="00D0220F" w:rsidP="00D0220F">
      <w:pPr>
        <w:spacing w:after="0"/>
        <w:jc w:val="both"/>
        <w:rPr>
          <w:rFonts w:ascii="Verdana" w:hAnsi="Verdana"/>
          <w:b/>
          <w:bCs/>
          <w:sz w:val="20"/>
          <w:szCs w:val="20"/>
        </w:rPr>
      </w:pPr>
      <w:r w:rsidRPr="00D0220F">
        <w:rPr>
          <w:rFonts w:ascii="Verdana" w:hAnsi="Verdana"/>
          <w:sz w:val="20"/>
          <w:szCs w:val="20"/>
        </w:rPr>
        <w:t>Número del Diario Oficial: N/A</w:t>
      </w:r>
      <w:r w:rsidRPr="00D0220F">
        <w:rPr>
          <w:rFonts w:ascii="Verdana" w:hAnsi="Verdana"/>
          <w:b/>
          <w:bCs/>
          <w:sz w:val="20"/>
          <w:szCs w:val="20"/>
        </w:rPr>
        <w:t xml:space="preserve"> </w:t>
      </w:r>
    </w:p>
    <w:p w14:paraId="223247FA" w14:textId="77777777" w:rsidR="00D0220F" w:rsidRDefault="00D0220F" w:rsidP="00D0220F">
      <w:pPr>
        <w:spacing w:after="0"/>
        <w:jc w:val="center"/>
        <w:rPr>
          <w:rFonts w:ascii="Verdana" w:hAnsi="Verdana"/>
          <w:b/>
          <w:bCs/>
          <w:sz w:val="22"/>
          <w:szCs w:val="22"/>
        </w:rPr>
      </w:pPr>
    </w:p>
    <w:p w14:paraId="7B992D11" w14:textId="212EF9CF" w:rsidR="008316FF" w:rsidRPr="00547200" w:rsidRDefault="008316FF" w:rsidP="00D0220F">
      <w:pPr>
        <w:spacing w:after="0"/>
        <w:jc w:val="center"/>
        <w:rPr>
          <w:rFonts w:ascii="Verdana" w:hAnsi="Verdana"/>
          <w:b/>
          <w:bCs/>
          <w:sz w:val="22"/>
          <w:szCs w:val="22"/>
        </w:rPr>
      </w:pPr>
      <w:r w:rsidRPr="00547200">
        <w:rPr>
          <w:rFonts w:ascii="Verdana" w:hAnsi="Verdana"/>
          <w:b/>
          <w:bCs/>
          <w:sz w:val="22"/>
          <w:szCs w:val="22"/>
        </w:rPr>
        <w:t>RESOLUCIÓN 619 DE 1994</w:t>
      </w:r>
    </w:p>
    <w:p w14:paraId="697510F6" w14:textId="77777777" w:rsidR="008316FF" w:rsidRPr="00547200" w:rsidRDefault="008316FF" w:rsidP="008316FF">
      <w:pPr>
        <w:spacing w:after="0"/>
        <w:jc w:val="center"/>
        <w:rPr>
          <w:rFonts w:ascii="Verdana" w:hAnsi="Verdana"/>
          <w:b/>
          <w:bCs/>
          <w:sz w:val="22"/>
          <w:szCs w:val="22"/>
        </w:rPr>
      </w:pPr>
    </w:p>
    <w:p w14:paraId="6F57B667" w14:textId="4B188B54" w:rsidR="008316FF" w:rsidRPr="00547200" w:rsidRDefault="008316FF" w:rsidP="008316FF">
      <w:pPr>
        <w:spacing w:after="0"/>
        <w:jc w:val="center"/>
        <w:rPr>
          <w:rFonts w:ascii="Verdana" w:hAnsi="Verdana"/>
          <w:bCs/>
          <w:sz w:val="22"/>
          <w:szCs w:val="22"/>
        </w:rPr>
      </w:pPr>
      <w:r w:rsidRPr="00547200">
        <w:rPr>
          <w:rFonts w:ascii="Verdana" w:hAnsi="Verdana"/>
          <w:bCs/>
          <w:sz w:val="22"/>
          <w:szCs w:val="22"/>
        </w:rPr>
        <w:t>(17 marzo)</w:t>
      </w:r>
    </w:p>
    <w:p w14:paraId="07A5E6D1" w14:textId="77777777" w:rsidR="008316FF" w:rsidRPr="00547200" w:rsidRDefault="008316FF" w:rsidP="008316FF">
      <w:pPr>
        <w:spacing w:after="0"/>
        <w:jc w:val="center"/>
        <w:rPr>
          <w:rFonts w:ascii="Verdana" w:hAnsi="Verdana"/>
          <w:bCs/>
          <w:sz w:val="22"/>
          <w:szCs w:val="22"/>
        </w:rPr>
      </w:pPr>
    </w:p>
    <w:p w14:paraId="5339B8CD" w14:textId="472AF50E" w:rsidR="008316FF" w:rsidRPr="00547200" w:rsidRDefault="008316FF" w:rsidP="008316FF">
      <w:pPr>
        <w:spacing w:after="0"/>
        <w:jc w:val="center"/>
        <w:rPr>
          <w:rFonts w:ascii="Verdana" w:hAnsi="Verdana"/>
          <w:b/>
          <w:bCs/>
          <w:sz w:val="22"/>
          <w:szCs w:val="22"/>
        </w:rPr>
      </w:pPr>
      <w:r w:rsidRPr="00547200">
        <w:rPr>
          <w:rFonts w:ascii="Verdana" w:hAnsi="Verdana"/>
          <w:b/>
          <w:bCs/>
          <w:sz w:val="22"/>
          <w:szCs w:val="22"/>
        </w:rPr>
        <w:t>INSTITUTO COLOMBIANO DE BIENESTAR FAMILIAR – ICBF</w:t>
      </w:r>
    </w:p>
    <w:p w14:paraId="68737DA4" w14:textId="77777777" w:rsidR="008316FF" w:rsidRPr="00547200" w:rsidRDefault="008316FF" w:rsidP="008316FF">
      <w:pPr>
        <w:spacing w:after="0"/>
        <w:jc w:val="center"/>
        <w:rPr>
          <w:rFonts w:ascii="Verdana" w:hAnsi="Verdana"/>
          <w:b/>
          <w:bCs/>
          <w:sz w:val="22"/>
          <w:szCs w:val="22"/>
        </w:rPr>
      </w:pPr>
    </w:p>
    <w:p w14:paraId="31A7EF5F" w14:textId="77777777" w:rsidR="008316FF" w:rsidRPr="00547200" w:rsidRDefault="008316FF" w:rsidP="008316FF">
      <w:pPr>
        <w:spacing w:after="0"/>
        <w:jc w:val="center"/>
        <w:rPr>
          <w:rFonts w:ascii="Verdana" w:hAnsi="Verdana"/>
          <w:bCs/>
          <w:sz w:val="22"/>
          <w:szCs w:val="22"/>
        </w:rPr>
      </w:pPr>
      <w:r w:rsidRPr="00547200">
        <w:rPr>
          <w:rFonts w:ascii="Verdana" w:hAnsi="Verdana"/>
          <w:bCs/>
          <w:sz w:val="22"/>
          <w:szCs w:val="22"/>
        </w:rPr>
        <w:t>“Por la cual se autoriza y se establece procedimiento para la venta de desechos, empaques usados, materias primas y/o alimentos no aptos para el consumo humano, provenientes de las Plantas de Bienestarina, retal de papel del Grupo de Publicaciones de la Sede Nacional y Regionales”.</w:t>
      </w:r>
    </w:p>
    <w:p w14:paraId="1296CD7B" w14:textId="77777777" w:rsidR="008316FF" w:rsidRPr="00547200" w:rsidRDefault="008316FF" w:rsidP="008316FF">
      <w:pPr>
        <w:spacing w:after="0"/>
        <w:jc w:val="center"/>
        <w:rPr>
          <w:rFonts w:ascii="Verdana" w:hAnsi="Verdana"/>
          <w:b/>
          <w:bCs/>
          <w:sz w:val="22"/>
          <w:szCs w:val="22"/>
        </w:rPr>
      </w:pPr>
    </w:p>
    <w:p w14:paraId="7FD428DB" w14:textId="77777777" w:rsidR="00420A8D" w:rsidRPr="00547200" w:rsidRDefault="008316FF" w:rsidP="00420A8D">
      <w:pPr>
        <w:spacing w:after="0"/>
        <w:jc w:val="center"/>
        <w:rPr>
          <w:rFonts w:ascii="Verdana" w:hAnsi="Verdana"/>
          <w:b/>
          <w:bCs/>
          <w:sz w:val="22"/>
          <w:szCs w:val="22"/>
        </w:rPr>
      </w:pPr>
      <w:r w:rsidRPr="00547200">
        <w:rPr>
          <w:rFonts w:ascii="Verdana" w:hAnsi="Verdana"/>
          <w:b/>
          <w:bCs/>
          <w:sz w:val="22"/>
          <w:szCs w:val="22"/>
        </w:rPr>
        <w:t>EL DIRECTOR GENERAL DEL INSTITUTO COLOMBIANO DE BIENESTAR FAMILIAR</w:t>
      </w:r>
    </w:p>
    <w:p w14:paraId="1F607A9F" w14:textId="77777777" w:rsidR="00420A8D" w:rsidRPr="00547200" w:rsidRDefault="00420A8D" w:rsidP="00420A8D">
      <w:pPr>
        <w:spacing w:after="0"/>
        <w:jc w:val="center"/>
        <w:rPr>
          <w:rFonts w:ascii="Verdana" w:hAnsi="Verdana"/>
          <w:b/>
          <w:bCs/>
          <w:sz w:val="22"/>
          <w:szCs w:val="22"/>
        </w:rPr>
      </w:pPr>
    </w:p>
    <w:p w14:paraId="31BF0834" w14:textId="77777777" w:rsidR="00420A8D" w:rsidRPr="00547200" w:rsidRDefault="008316FF" w:rsidP="00420A8D">
      <w:pPr>
        <w:spacing w:after="0"/>
        <w:jc w:val="center"/>
        <w:rPr>
          <w:rFonts w:ascii="Verdana" w:hAnsi="Verdana"/>
          <w:bCs/>
          <w:sz w:val="22"/>
          <w:szCs w:val="22"/>
        </w:rPr>
      </w:pPr>
      <w:r w:rsidRPr="00547200">
        <w:rPr>
          <w:rFonts w:ascii="Verdana" w:hAnsi="Verdana"/>
          <w:bCs/>
          <w:sz w:val="22"/>
          <w:szCs w:val="22"/>
        </w:rPr>
        <w:t>en uso de sus fa</w:t>
      </w:r>
      <w:r w:rsidR="00420A8D" w:rsidRPr="00547200">
        <w:rPr>
          <w:rFonts w:ascii="Verdana" w:hAnsi="Verdana"/>
          <w:bCs/>
          <w:sz w:val="22"/>
          <w:szCs w:val="22"/>
        </w:rPr>
        <w:t>cultades legales y estatutarias</w:t>
      </w:r>
    </w:p>
    <w:p w14:paraId="0D8A65CA" w14:textId="77777777" w:rsidR="00420A8D" w:rsidRPr="00547200" w:rsidRDefault="00420A8D" w:rsidP="00420A8D">
      <w:pPr>
        <w:spacing w:after="0"/>
        <w:jc w:val="center"/>
        <w:rPr>
          <w:rFonts w:ascii="Verdana" w:hAnsi="Verdana"/>
          <w:bCs/>
          <w:sz w:val="22"/>
          <w:szCs w:val="22"/>
        </w:rPr>
      </w:pPr>
    </w:p>
    <w:p w14:paraId="28DEF857" w14:textId="08AA6FA9" w:rsidR="008316FF" w:rsidRPr="00547200" w:rsidRDefault="008316FF" w:rsidP="00420A8D">
      <w:pPr>
        <w:spacing w:after="0"/>
        <w:jc w:val="center"/>
        <w:rPr>
          <w:rFonts w:ascii="Verdana" w:hAnsi="Verdana"/>
          <w:b/>
          <w:bCs/>
          <w:sz w:val="22"/>
          <w:szCs w:val="22"/>
        </w:rPr>
      </w:pPr>
      <w:r w:rsidRPr="00547200">
        <w:rPr>
          <w:rFonts w:ascii="Verdana" w:hAnsi="Verdana"/>
          <w:b/>
          <w:bCs/>
          <w:sz w:val="22"/>
          <w:szCs w:val="22"/>
        </w:rPr>
        <w:t>CONSIDERANDO:</w:t>
      </w:r>
    </w:p>
    <w:p w14:paraId="0CE9DB3B" w14:textId="77777777" w:rsidR="008316FF" w:rsidRPr="00547200" w:rsidRDefault="008316FF" w:rsidP="00420A8D">
      <w:pPr>
        <w:spacing w:after="0"/>
        <w:jc w:val="both"/>
        <w:rPr>
          <w:rFonts w:ascii="Verdana" w:hAnsi="Verdana"/>
          <w:bCs/>
          <w:sz w:val="22"/>
          <w:szCs w:val="22"/>
        </w:rPr>
      </w:pPr>
    </w:p>
    <w:p w14:paraId="028C0DB3" w14:textId="116F9D20" w:rsidR="008316FF" w:rsidRPr="00547200" w:rsidRDefault="008316FF" w:rsidP="00420A8D">
      <w:pPr>
        <w:spacing w:after="0"/>
        <w:jc w:val="both"/>
        <w:rPr>
          <w:rFonts w:ascii="Verdana" w:hAnsi="Verdana"/>
          <w:bCs/>
          <w:sz w:val="22"/>
          <w:szCs w:val="22"/>
        </w:rPr>
      </w:pPr>
      <w:r w:rsidRPr="00547200">
        <w:rPr>
          <w:rFonts w:ascii="Verdana" w:hAnsi="Verdana"/>
          <w:bCs/>
          <w:sz w:val="22"/>
          <w:szCs w:val="22"/>
        </w:rPr>
        <w:t>Que en las Plantas de Bienestarina del ICBF se generan desechos provenientes del proceso de producción de bienestarina, empaques de papel Kraft, de polietileno y polipropileno, materias primas y/o alimentos no aptos para el consumo humano; y en el Grupo de Publicaciones de la Sede Nacional y en las Regionales retal de papel, papel usado, papel periódico y guacales de madera, susceptibles de venta.</w:t>
      </w:r>
    </w:p>
    <w:p w14:paraId="09B62A6F" w14:textId="77777777" w:rsidR="00420A8D" w:rsidRPr="00547200" w:rsidRDefault="00420A8D" w:rsidP="00420A8D">
      <w:pPr>
        <w:spacing w:after="0"/>
        <w:jc w:val="both"/>
        <w:rPr>
          <w:rFonts w:ascii="Verdana" w:hAnsi="Verdana"/>
          <w:bCs/>
          <w:sz w:val="22"/>
          <w:szCs w:val="22"/>
        </w:rPr>
      </w:pPr>
    </w:p>
    <w:p w14:paraId="6FF77DA3" w14:textId="434A0532" w:rsidR="008316FF" w:rsidRPr="00547200" w:rsidRDefault="008316FF" w:rsidP="00420A8D">
      <w:pPr>
        <w:spacing w:after="0"/>
        <w:jc w:val="both"/>
        <w:rPr>
          <w:rFonts w:ascii="Verdana" w:hAnsi="Verdana"/>
          <w:bCs/>
          <w:sz w:val="22"/>
          <w:szCs w:val="22"/>
        </w:rPr>
      </w:pPr>
      <w:r w:rsidRPr="00547200">
        <w:rPr>
          <w:rFonts w:ascii="Verdana" w:hAnsi="Verdana"/>
          <w:bCs/>
          <w:sz w:val="22"/>
          <w:szCs w:val="22"/>
        </w:rPr>
        <w:t xml:space="preserve">Que mediante Decreto No. 2170 del 30 de diciembre de 1992, se suprimió el Fondo Nacional de Bienestar Social, entidad que venía siendo beneficiaria de los elementos citados en el considerando anterior y se determinó en su artículo 6º </w:t>
      </w:r>
      <w:proofErr w:type="gramStart"/>
      <w:r w:rsidRPr="00547200">
        <w:rPr>
          <w:rFonts w:ascii="Verdana" w:hAnsi="Verdana"/>
          <w:bCs/>
          <w:sz w:val="22"/>
          <w:szCs w:val="22"/>
        </w:rPr>
        <w:t>“….</w:t>
      </w:r>
      <w:proofErr w:type="gramEnd"/>
      <w:r w:rsidRPr="00547200">
        <w:rPr>
          <w:rFonts w:ascii="Verdana" w:hAnsi="Verdana"/>
          <w:bCs/>
          <w:sz w:val="22"/>
          <w:szCs w:val="22"/>
        </w:rPr>
        <w:t xml:space="preserve">los bienes dados de baja, así como el </w:t>
      </w:r>
      <w:proofErr w:type="gramStart"/>
      <w:r w:rsidRPr="00547200">
        <w:rPr>
          <w:rFonts w:ascii="Verdana" w:hAnsi="Verdana"/>
          <w:bCs/>
          <w:sz w:val="22"/>
          <w:szCs w:val="22"/>
        </w:rPr>
        <w:t>papel inservibles</w:t>
      </w:r>
      <w:proofErr w:type="gramEnd"/>
      <w:r w:rsidRPr="00547200">
        <w:rPr>
          <w:rFonts w:ascii="Verdana" w:hAnsi="Verdana"/>
          <w:bCs/>
          <w:sz w:val="22"/>
          <w:szCs w:val="22"/>
        </w:rPr>
        <w:t xml:space="preserve"> serán dados en venta por las entidades </w:t>
      </w:r>
      <w:proofErr w:type="gramStart"/>
      <w:r w:rsidRPr="00547200">
        <w:rPr>
          <w:rFonts w:ascii="Verdana" w:hAnsi="Verdana"/>
          <w:bCs/>
          <w:sz w:val="22"/>
          <w:szCs w:val="22"/>
        </w:rPr>
        <w:t>públicas….</w:t>
      </w:r>
      <w:proofErr w:type="gramEnd"/>
      <w:r w:rsidRPr="00547200">
        <w:rPr>
          <w:rFonts w:ascii="Verdana" w:hAnsi="Verdana"/>
          <w:bCs/>
          <w:sz w:val="22"/>
          <w:szCs w:val="22"/>
        </w:rPr>
        <w:t>”.</w:t>
      </w:r>
    </w:p>
    <w:p w14:paraId="049BCB1B" w14:textId="77777777" w:rsidR="008316FF" w:rsidRPr="00547200" w:rsidRDefault="008316FF" w:rsidP="00420A8D">
      <w:pPr>
        <w:spacing w:after="0"/>
        <w:jc w:val="both"/>
        <w:rPr>
          <w:rFonts w:ascii="Verdana" w:hAnsi="Verdana"/>
          <w:bCs/>
          <w:sz w:val="22"/>
          <w:szCs w:val="22"/>
        </w:rPr>
      </w:pPr>
    </w:p>
    <w:p w14:paraId="67CB8C12" w14:textId="77777777" w:rsidR="008316FF" w:rsidRPr="00547200" w:rsidRDefault="008316FF" w:rsidP="00420A8D">
      <w:pPr>
        <w:spacing w:after="0"/>
        <w:jc w:val="center"/>
        <w:rPr>
          <w:rFonts w:ascii="Verdana" w:hAnsi="Verdana"/>
          <w:b/>
          <w:bCs/>
          <w:sz w:val="22"/>
          <w:szCs w:val="22"/>
        </w:rPr>
      </w:pPr>
      <w:r w:rsidRPr="00547200">
        <w:rPr>
          <w:rFonts w:ascii="Verdana" w:hAnsi="Verdana"/>
          <w:b/>
          <w:bCs/>
          <w:sz w:val="22"/>
          <w:szCs w:val="22"/>
        </w:rPr>
        <w:t>RESUELVE:</w:t>
      </w:r>
    </w:p>
    <w:p w14:paraId="06C97066" w14:textId="77777777" w:rsidR="008316FF" w:rsidRPr="00547200" w:rsidRDefault="008316FF" w:rsidP="00420A8D">
      <w:pPr>
        <w:spacing w:after="0"/>
        <w:jc w:val="both"/>
        <w:rPr>
          <w:rFonts w:ascii="Verdana" w:hAnsi="Verdana"/>
          <w:bCs/>
          <w:sz w:val="22"/>
          <w:szCs w:val="22"/>
        </w:rPr>
      </w:pPr>
    </w:p>
    <w:p w14:paraId="78E9B512" w14:textId="77777777" w:rsidR="008316FF" w:rsidRPr="00547200" w:rsidRDefault="008316FF" w:rsidP="00420A8D">
      <w:pPr>
        <w:spacing w:after="0"/>
        <w:jc w:val="both"/>
        <w:rPr>
          <w:rFonts w:ascii="Verdana" w:hAnsi="Verdana"/>
          <w:bCs/>
          <w:sz w:val="22"/>
          <w:szCs w:val="22"/>
        </w:rPr>
      </w:pPr>
      <w:r w:rsidRPr="00547200">
        <w:rPr>
          <w:rFonts w:ascii="Verdana" w:hAnsi="Verdana"/>
          <w:b/>
          <w:bCs/>
          <w:sz w:val="22"/>
          <w:szCs w:val="22"/>
        </w:rPr>
        <w:lastRenderedPageBreak/>
        <w:t>ARTÍCULO 1o.</w:t>
      </w:r>
      <w:r w:rsidRPr="00547200">
        <w:rPr>
          <w:rFonts w:ascii="Verdana" w:hAnsi="Verdana"/>
          <w:bCs/>
          <w:sz w:val="22"/>
          <w:szCs w:val="22"/>
        </w:rPr>
        <w:t xml:space="preserve"> Autorizar y establecer el procedimiento para la venta de desechos, empaques usados, materias primas y/o alimentos no aptos para el consumo humano, provenientes de las Plantas de Bienestarina, retal de papel del Grupo de Publicaciones de la Sede Nacional y Regionales, así:</w:t>
      </w:r>
    </w:p>
    <w:p w14:paraId="2820A886" w14:textId="77777777" w:rsidR="00547200" w:rsidRDefault="00547200" w:rsidP="00420A8D">
      <w:pPr>
        <w:spacing w:after="0"/>
        <w:jc w:val="both"/>
        <w:rPr>
          <w:rFonts w:ascii="Verdana" w:hAnsi="Verdana"/>
          <w:bCs/>
          <w:sz w:val="22"/>
          <w:szCs w:val="22"/>
        </w:rPr>
      </w:pPr>
    </w:p>
    <w:p w14:paraId="3E24C87E" w14:textId="06F67F47" w:rsidR="008316FF" w:rsidRPr="00547200" w:rsidRDefault="002C0E13" w:rsidP="00547200">
      <w:pPr>
        <w:pStyle w:val="Prrafodelista"/>
        <w:numPr>
          <w:ilvl w:val="0"/>
          <w:numId w:val="2"/>
        </w:numPr>
        <w:spacing w:after="0"/>
        <w:jc w:val="both"/>
        <w:rPr>
          <w:rFonts w:ascii="Verdana" w:hAnsi="Verdana"/>
          <w:bCs/>
          <w:sz w:val="22"/>
          <w:szCs w:val="22"/>
        </w:rPr>
      </w:pPr>
      <w:r>
        <w:rPr>
          <w:rFonts w:ascii="Verdana" w:hAnsi="Verdana"/>
          <w:bCs/>
          <w:sz w:val="22"/>
          <w:szCs w:val="22"/>
        </w:rPr>
        <w:t>[Ordinal derogado por el artículo 61 de la Resolución 1038 de 1999]</w:t>
      </w:r>
      <w:r w:rsidR="00B2039F" w:rsidRPr="00547200">
        <w:rPr>
          <w:rFonts w:ascii="Verdana" w:hAnsi="Verdana"/>
          <w:bCs/>
          <w:sz w:val="22"/>
          <w:szCs w:val="22"/>
        </w:rPr>
        <w:t xml:space="preserve">En las Plantas de </w:t>
      </w:r>
      <w:proofErr w:type="spellStart"/>
      <w:r w:rsidR="00B2039F" w:rsidRPr="00547200">
        <w:rPr>
          <w:rFonts w:ascii="Verdana" w:hAnsi="Verdana"/>
          <w:bCs/>
          <w:sz w:val="22"/>
          <w:szCs w:val="22"/>
        </w:rPr>
        <w:t>Bienestarina</w:t>
      </w:r>
      <w:proofErr w:type="spellEnd"/>
      <w:r w:rsidR="00B2039F" w:rsidRPr="00547200">
        <w:rPr>
          <w:rFonts w:ascii="Verdana" w:hAnsi="Verdana"/>
          <w:bCs/>
          <w:sz w:val="22"/>
          <w:szCs w:val="22"/>
        </w:rPr>
        <w:t>:</w:t>
      </w:r>
    </w:p>
    <w:p w14:paraId="4D6231A5" w14:textId="77777777" w:rsidR="00547200" w:rsidRPr="00547200" w:rsidRDefault="00547200" w:rsidP="00547200">
      <w:pPr>
        <w:pStyle w:val="Prrafodelista"/>
        <w:spacing w:after="0"/>
        <w:jc w:val="both"/>
        <w:rPr>
          <w:rFonts w:ascii="Verdana" w:hAnsi="Verdana"/>
          <w:bCs/>
          <w:sz w:val="22"/>
          <w:szCs w:val="22"/>
        </w:rPr>
      </w:pPr>
    </w:p>
    <w:p w14:paraId="52EB52C1" w14:textId="67E36C2A" w:rsidR="008316FF" w:rsidRPr="00547200" w:rsidRDefault="008316FF" w:rsidP="00547200">
      <w:pPr>
        <w:pStyle w:val="Prrafodelista"/>
        <w:numPr>
          <w:ilvl w:val="0"/>
          <w:numId w:val="3"/>
        </w:numPr>
        <w:spacing w:after="0"/>
        <w:jc w:val="both"/>
        <w:rPr>
          <w:rFonts w:ascii="Verdana" w:hAnsi="Verdana"/>
          <w:bCs/>
          <w:sz w:val="22"/>
          <w:szCs w:val="22"/>
        </w:rPr>
      </w:pPr>
      <w:r w:rsidRPr="00547200">
        <w:rPr>
          <w:rFonts w:ascii="Verdana" w:hAnsi="Verdana"/>
          <w:bCs/>
          <w:sz w:val="22"/>
          <w:szCs w:val="22"/>
        </w:rPr>
        <w:t xml:space="preserve">El Almacenista de cada Planta acumulará los desechos y empaques de todo tipo ya usados y cuando lo considere conveniente, en coordinación con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División de Producción de Control de Calidad de Alimentos Enriquecidos de la Planta, levantarán acta especificando cantidades y estado de los elemento</w:t>
      </w:r>
      <w:r w:rsidR="00B2039F" w:rsidRPr="00547200">
        <w:rPr>
          <w:rFonts w:ascii="Verdana" w:hAnsi="Verdana"/>
          <w:bCs/>
          <w:sz w:val="22"/>
          <w:szCs w:val="22"/>
        </w:rPr>
        <w:t>s citados.</w:t>
      </w:r>
    </w:p>
    <w:p w14:paraId="317BEEB8" w14:textId="16F2B765" w:rsidR="008316FF" w:rsidRPr="00547200" w:rsidRDefault="008316FF" w:rsidP="00547200">
      <w:pPr>
        <w:pStyle w:val="Prrafodelista"/>
        <w:numPr>
          <w:ilvl w:val="0"/>
          <w:numId w:val="3"/>
        </w:numPr>
        <w:spacing w:after="0"/>
        <w:jc w:val="both"/>
        <w:rPr>
          <w:rFonts w:ascii="Verdana" w:hAnsi="Verdana"/>
          <w:bCs/>
          <w:sz w:val="22"/>
          <w:szCs w:val="22"/>
        </w:rPr>
      </w:pPr>
      <w:r w:rsidRPr="00547200">
        <w:rPr>
          <w:rFonts w:ascii="Verdana" w:hAnsi="Verdana"/>
          <w:bCs/>
          <w:sz w:val="22"/>
          <w:szCs w:val="22"/>
        </w:rPr>
        <w:t xml:space="preserve">Considerando el estado de los elementos clasificados, su posible uso, los precios obtenidos en la última venta y/o los precios de elementos que se asimilen en el mercado,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División de Producción y Control de Calidad de Alimentos Enriquecidos de la Planta y el Almacenista los valorizarán y consignarán los prec</w:t>
      </w:r>
      <w:r w:rsidR="00B2039F" w:rsidRPr="00547200">
        <w:rPr>
          <w:rFonts w:ascii="Verdana" w:hAnsi="Verdana"/>
          <w:bCs/>
          <w:sz w:val="22"/>
          <w:szCs w:val="22"/>
        </w:rPr>
        <w:t>ios unitarios en la misma acta.</w:t>
      </w:r>
    </w:p>
    <w:p w14:paraId="7A81CFDF" w14:textId="4263CDC9" w:rsidR="008316FF" w:rsidRPr="00547200" w:rsidRDefault="008316FF" w:rsidP="00547200">
      <w:pPr>
        <w:pStyle w:val="Prrafodelista"/>
        <w:numPr>
          <w:ilvl w:val="0"/>
          <w:numId w:val="3"/>
        </w:numPr>
        <w:spacing w:after="0"/>
        <w:jc w:val="both"/>
        <w:rPr>
          <w:rFonts w:ascii="Verdana" w:hAnsi="Verdana"/>
          <w:bCs/>
          <w:sz w:val="22"/>
          <w:szCs w:val="22"/>
        </w:rPr>
      </w:pPr>
      <w:r w:rsidRPr="00547200">
        <w:rPr>
          <w:rFonts w:ascii="Verdana" w:hAnsi="Verdana"/>
          <w:bCs/>
          <w:sz w:val="22"/>
          <w:szCs w:val="22"/>
        </w:rPr>
        <w:t xml:space="preserve">Con base en el acta anterior,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División de Producción y Control de calidad de Alimentos Enriquecidos de la Planta invitará por escrito a interesados a presentar propuestas y remitirá a la Unidad de Producción, Control y Distribución de Alimentos la mejor propuesta para los trámites administrativos pertinentes.</w:t>
      </w:r>
    </w:p>
    <w:p w14:paraId="56B1E8CB" w14:textId="4C40B679" w:rsidR="008316FF" w:rsidRPr="00547200" w:rsidRDefault="008316FF" w:rsidP="00547200">
      <w:pPr>
        <w:pStyle w:val="Prrafodelista"/>
        <w:numPr>
          <w:ilvl w:val="0"/>
          <w:numId w:val="3"/>
        </w:numPr>
        <w:spacing w:after="0"/>
        <w:jc w:val="both"/>
        <w:rPr>
          <w:rFonts w:ascii="Verdana" w:hAnsi="Verdana"/>
          <w:bCs/>
          <w:sz w:val="22"/>
          <w:szCs w:val="22"/>
        </w:rPr>
      </w:pPr>
      <w:r w:rsidRPr="00547200">
        <w:rPr>
          <w:rFonts w:ascii="Verdana" w:hAnsi="Verdana"/>
          <w:bCs/>
          <w:sz w:val="22"/>
          <w:szCs w:val="22"/>
        </w:rPr>
        <w:t>Previamente al retiro de los bienes y cumplidos los trámites administrativos pertinentes, el comprador favorecido cancelará en la Pagaduría de la Planta, en efectivo o en cheque de gerencia a favor del ICBF, el valor de los bienes vendidos.</w:t>
      </w:r>
    </w:p>
    <w:p w14:paraId="225423A9" w14:textId="28010714" w:rsidR="00B2039F" w:rsidRDefault="008316FF" w:rsidP="00547200">
      <w:pPr>
        <w:pStyle w:val="Prrafodelista"/>
        <w:numPr>
          <w:ilvl w:val="0"/>
          <w:numId w:val="3"/>
        </w:numPr>
        <w:spacing w:after="0"/>
        <w:jc w:val="both"/>
        <w:rPr>
          <w:rFonts w:ascii="Verdana" w:hAnsi="Verdana"/>
          <w:bCs/>
          <w:sz w:val="22"/>
          <w:szCs w:val="22"/>
        </w:rPr>
      </w:pPr>
      <w:r w:rsidRPr="00547200">
        <w:rPr>
          <w:rFonts w:ascii="Verdana" w:hAnsi="Verdana"/>
          <w:bCs/>
          <w:sz w:val="22"/>
          <w:szCs w:val="22"/>
        </w:rPr>
        <w:t>Cumplidos los trámites anteriores el Almacenista hará entrega de los bienes vendidos mediante acta.</w:t>
      </w:r>
    </w:p>
    <w:p w14:paraId="64D4783D" w14:textId="77777777" w:rsidR="00547200" w:rsidRPr="00547200" w:rsidRDefault="00547200" w:rsidP="00547200">
      <w:pPr>
        <w:pStyle w:val="Prrafodelista"/>
        <w:spacing w:after="0"/>
        <w:jc w:val="both"/>
        <w:rPr>
          <w:rFonts w:ascii="Verdana" w:hAnsi="Verdana"/>
          <w:bCs/>
          <w:sz w:val="22"/>
          <w:szCs w:val="22"/>
        </w:rPr>
      </w:pPr>
    </w:p>
    <w:p w14:paraId="3CE3E2F0" w14:textId="35974192" w:rsidR="008316FF" w:rsidRPr="00547200" w:rsidRDefault="008316FF" w:rsidP="00420A8D">
      <w:pPr>
        <w:spacing w:after="0"/>
        <w:jc w:val="both"/>
        <w:rPr>
          <w:rFonts w:ascii="Verdana" w:hAnsi="Verdana"/>
          <w:bCs/>
          <w:sz w:val="22"/>
          <w:szCs w:val="22"/>
        </w:rPr>
      </w:pPr>
      <w:r w:rsidRPr="00547200">
        <w:rPr>
          <w:rFonts w:ascii="Verdana" w:hAnsi="Verdana"/>
          <w:bCs/>
          <w:sz w:val="22"/>
          <w:szCs w:val="22"/>
        </w:rPr>
        <w:t>2. En el Grupo de Publicaciones de la Sede Nacional:</w:t>
      </w:r>
    </w:p>
    <w:p w14:paraId="0D85F645" w14:textId="77777777" w:rsidR="008316FF" w:rsidRPr="00547200" w:rsidRDefault="008316FF" w:rsidP="00420A8D">
      <w:pPr>
        <w:spacing w:after="0"/>
        <w:jc w:val="both"/>
        <w:rPr>
          <w:rFonts w:ascii="Verdana" w:hAnsi="Verdana"/>
          <w:bCs/>
          <w:sz w:val="22"/>
          <w:szCs w:val="22"/>
        </w:rPr>
      </w:pPr>
    </w:p>
    <w:p w14:paraId="674569D0" w14:textId="24D6E9BE" w:rsidR="008316FF" w:rsidRPr="00547200" w:rsidRDefault="008316FF" w:rsidP="00547200">
      <w:pPr>
        <w:pStyle w:val="Prrafodelista"/>
        <w:numPr>
          <w:ilvl w:val="1"/>
          <w:numId w:val="2"/>
        </w:numPr>
        <w:spacing w:after="0"/>
        <w:ind w:left="709"/>
        <w:jc w:val="both"/>
        <w:rPr>
          <w:rFonts w:ascii="Verdana" w:hAnsi="Verdana"/>
          <w:bCs/>
          <w:sz w:val="22"/>
          <w:szCs w:val="22"/>
        </w:rPr>
      </w:pPr>
      <w:r w:rsidRPr="00547200">
        <w:rPr>
          <w:rFonts w:ascii="Verdana" w:hAnsi="Verdana"/>
          <w:bCs/>
          <w:sz w:val="22"/>
          <w:szCs w:val="22"/>
        </w:rPr>
        <w:t xml:space="preserve">El Coordinador del Grupo de Publicaciones acumulará el retal de papel resultante y cuando lo considere conveniente, en coordinación con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de Recursos Físicos, levantarán acta especificando cantidades y estado.</w:t>
      </w:r>
    </w:p>
    <w:p w14:paraId="6CF94BF8" w14:textId="77777777" w:rsidR="008316FF" w:rsidRPr="00547200" w:rsidRDefault="008316FF" w:rsidP="00420A8D">
      <w:pPr>
        <w:spacing w:after="0"/>
        <w:ind w:left="709"/>
        <w:jc w:val="both"/>
        <w:rPr>
          <w:rFonts w:ascii="Verdana" w:hAnsi="Verdana"/>
          <w:bCs/>
          <w:sz w:val="22"/>
          <w:szCs w:val="22"/>
        </w:rPr>
      </w:pPr>
    </w:p>
    <w:p w14:paraId="32E44927" w14:textId="4E593BFE" w:rsidR="008316FF" w:rsidRPr="00547200" w:rsidRDefault="008316FF" w:rsidP="00547200">
      <w:pPr>
        <w:pStyle w:val="Prrafodelista"/>
        <w:numPr>
          <w:ilvl w:val="1"/>
          <w:numId w:val="2"/>
        </w:numPr>
        <w:spacing w:after="0"/>
        <w:ind w:left="709"/>
        <w:jc w:val="both"/>
        <w:rPr>
          <w:rFonts w:ascii="Verdana" w:hAnsi="Verdana"/>
          <w:bCs/>
          <w:sz w:val="22"/>
          <w:szCs w:val="22"/>
        </w:rPr>
      </w:pPr>
      <w:r w:rsidRPr="00547200">
        <w:rPr>
          <w:rFonts w:ascii="Verdana" w:hAnsi="Verdana"/>
          <w:bCs/>
          <w:sz w:val="22"/>
          <w:szCs w:val="22"/>
        </w:rPr>
        <w:t xml:space="preserve">Considerando el estado del retal de papel y los precios ofrecidos en el mercado, el Coordinador del Grupo de Publicaciones y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de Recursos Físicos lo valorizarán y consignarán el precio por kilo en la misma acta.</w:t>
      </w:r>
    </w:p>
    <w:p w14:paraId="7AD731E9" w14:textId="77777777" w:rsidR="008316FF" w:rsidRPr="00547200" w:rsidRDefault="008316FF" w:rsidP="00420A8D">
      <w:pPr>
        <w:spacing w:after="0"/>
        <w:ind w:left="709"/>
        <w:jc w:val="both"/>
        <w:rPr>
          <w:rFonts w:ascii="Verdana" w:hAnsi="Verdana"/>
          <w:bCs/>
          <w:sz w:val="22"/>
          <w:szCs w:val="22"/>
        </w:rPr>
      </w:pPr>
    </w:p>
    <w:p w14:paraId="2CA2A232" w14:textId="0EE57B9A" w:rsidR="008316FF" w:rsidRPr="00547200" w:rsidRDefault="008316FF" w:rsidP="00547200">
      <w:pPr>
        <w:pStyle w:val="Prrafodelista"/>
        <w:numPr>
          <w:ilvl w:val="1"/>
          <w:numId w:val="2"/>
        </w:numPr>
        <w:spacing w:after="0"/>
        <w:ind w:left="709"/>
        <w:jc w:val="both"/>
        <w:rPr>
          <w:rFonts w:ascii="Verdana" w:hAnsi="Verdana"/>
          <w:bCs/>
          <w:sz w:val="22"/>
          <w:szCs w:val="22"/>
        </w:rPr>
      </w:pPr>
      <w:r w:rsidRPr="00547200">
        <w:rPr>
          <w:rFonts w:ascii="Verdana" w:hAnsi="Verdana"/>
          <w:bCs/>
          <w:sz w:val="22"/>
          <w:szCs w:val="22"/>
        </w:rPr>
        <w:lastRenderedPageBreak/>
        <w:t xml:space="preserve">Con base en el acta anterior,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de Recursos Físicos invitará por escrito a interesados a presentar propuestas y las remitirá al Coordinador del Grupo de Compras para los trámites administrativos pertinentes.</w:t>
      </w:r>
    </w:p>
    <w:p w14:paraId="76351707" w14:textId="77777777" w:rsidR="008316FF" w:rsidRPr="00547200" w:rsidRDefault="008316FF" w:rsidP="00420A8D">
      <w:pPr>
        <w:spacing w:after="0"/>
        <w:ind w:left="709"/>
        <w:jc w:val="both"/>
        <w:rPr>
          <w:rFonts w:ascii="Verdana" w:hAnsi="Verdana"/>
          <w:bCs/>
          <w:sz w:val="22"/>
          <w:szCs w:val="22"/>
        </w:rPr>
      </w:pPr>
    </w:p>
    <w:p w14:paraId="6DC15097" w14:textId="4D20F728" w:rsidR="008316FF" w:rsidRPr="00547200" w:rsidRDefault="008316FF" w:rsidP="00547200">
      <w:pPr>
        <w:pStyle w:val="Prrafodelista"/>
        <w:numPr>
          <w:ilvl w:val="1"/>
          <w:numId w:val="2"/>
        </w:numPr>
        <w:spacing w:after="0"/>
        <w:ind w:left="709"/>
        <w:jc w:val="both"/>
        <w:rPr>
          <w:rFonts w:ascii="Verdana" w:hAnsi="Verdana"/>
          <w:bCs/>
          <w:sz w:val="22"/>
          <w:szCs w:val="22"/>
        </w:rPr>
      </w:pPr>
      <w:r w:rsidRPr="00547200">
        <w:rPr>
          <w:rFonts w:ascii="Verdana" w:hAnsi="Verdana"/>
          <w:bCs/>
          <w:sz w:val="22"/>
          <w:szCs w:val="22"/>
        </w:rPr>
        <w:t>Previamente al retiro de los bienes, el comprador favorecido cancelará en la División de Tesorería de la Sede Nacional, en efectivo o cheque de gerencia a favor del ICBF, el valor de los bienes adjudicados.</w:t>
      </w:r>
    </w:p>
    <w:p w14:paraId="2C3DA42C" w14:textId="77777777" w:rsidR="008316FF" w:rsidRPr="00547200" w:rsidRDefault="008316FF" w:rsidP="00420A8D">
      <w:pPr>
        <w:spacing w:after="0"/>
        <w:ind w:left="709"/>
        <w:jc w:val="both"/>
        <w:rPr>
          <w:rFonts w:ascii="Verdana" w:hAnsi="Verdana"/>
          <w:bCs/>
          <w:sz w:val="22"/>
          <w:szCs w:val="22"/>
        </w:rPr>
      </w:pPr>
    </w:p>
    <w:p w14:paraId="53CFF470" w14:textId="20B4F08A" w:rsidR="008316FF" w:rsidRPr="00547200" w:rsidRDefault="008316FF" w:rsidP="00547200">
      <w:pPr>
        <w:pStyle w:val="Prrafodelista"/>
        <w:numPr>
          <w:ilvl w:val="1"/>
          <w:numId w:val="2"/>
        </w:numPr>
        <w:spacing w:after="0"/>
        <w:ind w:left="709"/>
        <w:jc w:val="both"/>
        <w:rPr>
          <w:rFonts w:ascii="Verdana" w:hAnsi="Verdana"/>
          <w:bCs/>
          <w:sz w:val="22"/>
          <w:szCs w:val="22"/>
        </w:rPr>
      </w:pPr>
      <w:r w:rsidRPr="00547200">
        <w:rPr>
          <w:rFonts w:ascii="Verdana" w:hAnsi="Verdana"/>
          <w:bCs/>
          <w:sz w:val="22"/>
          <w:szCs w:val="22"/>
        </w:rPr>
        <w:t>Mediante acta el Coordinador del Grupo de Publicaciones hará entrega de los elementos adjudicados al proponente o proponentes favorecidos, previa presentación del recibo de pago correspondiente.</w:t>
      </w:r>
    </w:p>
    <w:p w14:paraId="6BE15F53" w14:textId="77777777" w:rsidR="008316FF" w:rsidRPr="00547200" w:rsidRDefault="008316FF" w:rsidP="00420A8D">
      <w:pPr>
        <w:spacing w:after="0"/>
        <w:ind w:left="709"/>
        <w:jc w:val="both"/>
        <w:rPr>
          <w:rFonts w:ascii="Verdana" w:hAnsi="Verdana"/>
          <w:bCs/>
          <w:sz w:val="22"/>
          <w:szCs w:val="22"/>
        </w:rPr>
      </w:pPr>
    </w:p>
    <w:p w14:paraId="4012EFE9" w14:textId="4B5AFB2D" w:rsidR="008316FF" w:rsidRPr="00547200" w:rsidRDefault="008316FF" w:rsidP="00547200">
      <w:pPr>
        <w:pStyle w:val="Prrafodelista"/>
        <w:numPr>
          <w:ilvl w:val="1"/>
          <w:numId w:val="2"/>
        </w:numPr>
        <w:spacing w:after="0"/>
        <w:ind w:left="709"/>
        <w:jc w:val="both"/>
        <w:rPr>
          <w:rFonts w:ascii="Verdana" w:hAnsi="Verdana"/>
          <w:bCs/>
          <w:sz w:val="22"/>
          <w:szCs w:val="22"/>
        </w:rPr>
      </w:pPr>
      <w:r w:rsidRPr="00547200">
        <w:rPr>
          <w:rFonts w:ascii="Verdana" w:hAnsi="Verdana"/>
          <w:bCs/>
          <w:sz w:val="22"/>
          <w:szCs w:val="22"/>
        </w:rPr>
        <w:t xml:space="preserve">El papel usado y papel periódico que se genere en las diferentes dependencias de la Sede Nacional y los guacales de madera provenientes de la Cafetería serán acumulados por el Coordinador del Subgrupo de Mantenimiento en sitio adecuado y su venta se realizará conforme al procedimiento antes señalado, en coordinación con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de Recursos Físicos, para lo cual periódicamente los </w:t>
      </w:r>
      <w:proofErr w:type="gramStart"/>
      <w:r w:rsidRPr="00547200">
        <w:rPr>
          <w:rFonts w:ascii="Verdana" w:hAnsi="Verdana"/>
          <w:bCs/>
          <w:sz w:val="22"/>
          <w:szCs w:val="22"/>
        </w:rPr>
        <w:t>Jefes</w:t>
      </w:r>
      <w:proofErr w:type="gramEnd"/>
      <w:r w:rsidRPr="00547200">
        <w:rPr>
          <w:rFonts w:ascii="Verdana" w:hAnsi="Verdana"/>
          <w:bCs/>
          <w:sz w:val="22"/>
          <w:szCs w:val="22"/>
        </w:rPr>
        <w:t xml:space="preserve"> de Dependencia dispondrán su envío al Subgrupo en mención.</w:t>
      </w:r>
    </w:p>
    <w:p w14:paraId="318A81C1" w14:textId="77777777" w:rsidR="008316FF" w:rsidRPr="00547200" w:rsidRDefault="008316FF" w:rsidP="00420A8D">
      <w:pPr>
        <w:spacing w:after="0"/>
        <w:jc w:val="both"/>
        <w:rPr>
          <w:rFonts w:ascii="Verdana" w:hAnsi="Verdana"/>
          <w:bCs/>
          <w:sz w:val="22"/>
          <w:szCs w:val="22"/>
        </w:rPr>
      </w:pPr>
    </w:p>
    <w:p w14:paraId="29A0A73A" w14:textId="77777777" w:rsidR="008316FF" w:rsidRPr="00547200" w:rsidRDefault="008316FF" w:rsidP="00420A8D">
      <w:pPr>
        <w:spacing w:after="0"/>
        <w:jc w:val="both"/>
        <w:rPr>
          <w:rFonts w:ascii="Verdana" w:hAnsi="Verdana"/>
          <w:bCs/>
          <w:sz w:val="22"/>
          <w:szCs w:val="22"/>
        </w:rPr>
      </w:pPr>
      <w:r w:rsidRPr="00547200">
        <w:rPr>
          <w:rFonts w:ascii="Verdana" w:hAnsi="Verdana"/>
          <w:bCs/>
          <w:sz w:val="22"/>
          <w:szCs w:val="22"/>
        </w:rPr>
        <w:t>3. En las Regionales</w:t>
      </w:r>
    </w:p>
    <w:p w14:paraId="133C14F2" w14:textId="77777777" w:rsidR="008316FF" w:rsidRPr="00547200" w:rsidRDefault="008316FF" w:rsidP="00420A8D">
      <w:pPr>
        <w:spacing w:after="0"/>
        <w:jc w:val="both"/>
        <w:rPr>
          <w:rFonts w:ascii="Verdana" w:hAnsi="Verdana"/>
          <w:bCs/>
          <w:sz w:val="22"/>
          <w:szCs w:val="22"/>
        </w:rPr>
      </w:pPr>
    </w:p>
    <w:p w14:paraId="02FC3639" w14:textId="51A875BB" w:rsidR="008316FF" w:rsidRPr="00547200" w:rsidRDefault="008316FF" w:rsidP="00547200">
      <w:pPr>
        <w:pStyle w:val="Prrafodelista"/>
        <w:numPr>
          <w:ilvl w:val="0"/>
          <w:numId w:val="6"/>
        </w:numPr>
        <w:spacing w:after="0"/>
        <w:jc w:val="both"/>
        <w:rPr>
          <w:rFonts w:ascii="Verdana" w:hAnsi="Verdana"/>
          <w:bCs/>
          <w:sz w:val="22"/>
          <w:szCs w:val="22"/>
        </w:rPr>
      </w:pPr>
      <w:r w:rsidRPr="00547200">
        <w:rPr>
          <w:rFonts w:ascii="Verdana" w:hAnsi="Verdana"/>
          <w:bCs/>
          <w:sz w:val="22"/>
          <w:szCs w:val="22"/>
        </w:rPr>
        <w:t xml:space="preserve">El Almacenista acumulará en su dependencia el retal de papel y/o papel usado y papel periódico y cuando lo considere conveniente, en coordinación con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Administrativa y/o Administrativa y Financiera levantarán acta especificando las cantidades y estado.</w:t>
      </w:r>
    </w:p>
    <w:p w14:paraId="20B8E5ED" w14:textId="77777777" w:rsidR="008316FF" w:rsidRPr="00547200" w:rsidRDefault="008316FF" w:rsidP="00420A8D">
      <w:pPr>
        <w:spacing w:after="0"/>
        <w:jc w:val="both"/>
        <w:rPr>
          <w:rFonts w:ascii="Verdana" w:hAnsi="Verdana"/>
          <w:bCs/>
          <w:sz w:val="22"/>
          <w:szCs w:val="22"/>
        </w:rPr>
      </w:pPr>
    </w:p>
    <w:p w14:paraId="705977EF" w14:textId="38CA29AA" w:rsidR="008316FF" w:rsidRPr="00547200" w:rsidRDefault="008316FF" w:rsidP="00547200">
      <w:pPr>
        <w:pStyle w:val="Prrafodelista"/>
        <w:numPr>
          <w:ilvl w:val="0"/>
          <w:numId w:val="6"/>
        </w:numPr>
        <w:spacing w:after="0"/>
        <w:jc w:val="both"/>
        <w:rPr>
          <w:rFonts w:ascii="Verdana" w:hAnsi="Verdana"/>
          <w:bCs/>
          <w:sz w:val="22"/>
          <w:szCs w:val="22"/>
        </w:rPr>
      </w:pPr>
      <w:r w:rsidRPr="00547200">
        <w:rPr>
          <w:rFonts w:ascii="Verdana" w:hAnsi="Verdana"/>
          <w:bCs/>
          <w:sz w:val="22"/>
          <w:szCs w:val="22"/>
        </w:rPr>
        <w:t xml:space="preserve">Considerando el estado del retal de papel y/o papel periódico y los precios ofrecidos en el mercado,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Administrativa y/o Administrativa y Financiera valorizará los elementos y consignará el precio por kilo en la misma acta.</w:t>
      </w:r>
    </w:p>
    <w:p w14:paraId="335AFD91" w14:textId="77777777" w:rsidR="008316FF" w:rsidRPr="00547200" w:rsidRDefault="008316FF" w:rsidP="00420A8D">
      <w:pPr>
        <w:spacing w:after="0"/>
        <w:jc w:val="both"/>
        <w:rPr>
          <w:rFonts w:ascii="Verdana" w:hAnsi="Verdana"/>
          <w:bCs/>
          <w:sz w:val="22"/>
          <w:szCs w:val="22"/>
        </w:rPr>
      </w:pPr>
    </w:p>
    <w:p w14:paraId="44BE7353" w14:textId="1072186B" w:rsidR="008316FF" w:rsidRPr="00547200" w:rsidRDefault="008316FF" w:rsidP="00547200">
      <w:pPr>
        <w:pStyle w:val="Prrafodelista"/>
        <w:numPr>
          <w:ilvl w:val="0"/>
          <w:numId w:val="6"/>
        </w:numPr>
        <w:spacing w:after="0"/>
        <w:jc w:val="both"/>
        <w:rPr>
          <w:rFonts w:ascii="Verdana" w:hAnsi="Verdana"/>
          <w:bCs/>
          <w:sz w:val="22"/>
          <w:szCs w:val="22"/>
        </w:rPr>
      </w:pPr>
      <w:r w:rsidRPr="00547200">
        <w:rPr>
          <w:rFonts w:ascii="Verdana" w:hAnsi="Verdana"/>
          <w:bCs/>
          <w:sz w:val="22"/>
          <w:szCs w:val="22"/>
        </w:rPr>
        <w:t xml:space="preserve">Con base en lo anterior, el </w:t>
      </w:r>
      <w:proofErr w:type="gramStart"/>
      <w:r w:rsidRPr="00547200">
        <w:rPr>
          <w:rFonts w:ascii="Verdana" w:hAnsi="Verdana"/>
          <w:bCs/>
          <w:sz w:val="22"/>
          <w:szCs w:val="22"/>
        </w:rPr>
        <w:t>Jefe</w:t>
      </w:r>
      <w:proofErr w:type="gramEnd"/>
      <w:r w:rsidRPr="00547200">
        <w:rPr>
          <w:rFonts w:ascii="Verdana" w:hAnsi="Verdana"/>
          <w:bCs/>
          <w:sz w:val="22"/>
          <w:szCs w:val="22"/>
        </w:rPr>
        <w:t xml:space="preserve"> de la División Administrativa y/o Administrativa y Financiera invitará por escrito a interesados a presentar propuestas y hará la venta al mejor postor.</w:t>
      </w:r>
    </w:p>
    <w:p w14:paraId="595B1436" w14:textId="77777777" w:rsidR="008316FF" w:rsidRPr="00547200" w:rsidRDefault="008316FF" w:rsidP="00420A8D">
      <w:pPr>
        <w:spacing w:after="0"/>
        <w:jc w:val="both"/>
        <w:rPr>
          <w:rFonts w:ascii="Verdana" w:hAnsi="Verdana"/>
          <w:bCs/>
          <w:sz w:val="22"/>
          <w:szCs w:val="22"/>
        </w:rPr>
      </w:pPr>
    </w:p>
    <w:p w14:paraId="16234C63" w14:textId="5F4AD007" w:rsidR="008316FF" w:rsidRPr="00547200" w:rsidRDefault="008316FF" w:rsidP="00547200">
      <w:pPr>
        <w:pStyle w:val="Prrafodelista"/>
        <w:numPr>
          <w:ilvl w:val="0"/>
          <w:numId w:val="6"/>
        </w:numPr>
        <w:spacing w:after="0"/>
        <w:jc w:val="both"/>
        <w:rPr>
          <w:rFonts w:ascii="Verdana" w:hAnsi="Verdana"/>
          <w:bCs/>
          <w:sz w:val="22"/>
          <w:szCs w:val="22"/>
        </w:rPr>
      </w:pPr>
      <w:r w:rsidRPr="00547200">
        <w:rPr>
          <w:rFonts w:ascii="Verdana" w:hAnsi="Verdana"/>
          <w:bCs/>
          <w:sz w:val="22"/>
          <w:szCs w:val="22"/>
        </w:rPr>
        <w:t>Previamente al retiro de los bienes, el comprador favorecido cancelará en la Pagaduría de la Regional respectiva, en efectivo o en cheque de gerencia a favor del ICBF, el valor de los bienes adjudicados.</w:t>
      </w:r>
    </w:p>
    <w:p w14:paraId="6336339A" w14:textId="77777777" w:rsidR="008316FF" w:rsidRPr="00547200" w:rsidRDefault="008316FF" w:rsidP="00420A8D">
      <w:pPr>
        <w:spacing w:after="0"/>
        <w:jc w:val="both"/>
        <w:rPr>
          <w:rFonts w:ascii="Verdana" w:hAnsi="Verdana"/>
          <w:bCs/>
          <w:sz w:val="22"/>
          <w:szCs w:val="22"/>
        </w:rPr>
      </w:pPr>
    </w:p>
    <w:p w14:paraId="31667948" w14:textId="06400AB4" w:rsidR="008316FF" w:rsidRPr="00547200" w:rsidRDefault="008316FF" w:rsidP="00547200">
      <w:pPr>
        <w:pStyle w:val="Prrafodelista"/>
        <w:numPr>
          <w:ilvl w:val="0"/>
          <w:numId w:val="6"/>
        </w:numPr>
        <w:spacing w:after="0"/>
        <w:jc w:val="both"/>
        <w:rPr>
          <w:rFonts w:ascii="Verdana" w:hAnsi="Verdana"/>
          <w:bCs/>
          <w:sz w:val="22"/>
          <w:szCs w:val="22"/>
        </w:rPr>
      </w:pPr>
      <w:r w:rsidRPr="00547200">
        <w:rPr>
          <w:rFonts w:ascii="Verdana" w:hAnsi="Verdana"/>
          <w:bCs/>
          <w:sz w:val="22"/>
          <w:szCs w:val="22"/>
        </w:rPr>
        <w:t>El Almacenista hará entrega mediante acta de los elementos vendidos.</w:t>
      </w:r>
    </w:p>
    <w:p w14:paraId="43478CEF" w14:textId="77777777" w:rsidR="008316FF" w:rsidRPr="00547200" w:rsidRDefault="008316FF" w:rsidP="00420A8D">
      <w:pPr>
        <w:spacing w:after="0"/>
        <w:jc w:val="both"/>
        <w:rPr>
          <w:rFonts w:ascii="Verdana" w:hAnsi="Verdana"/>
          <w:bCs/>
          <w:sz w:val="22"/>
          <w:szCs w:val="22"/>
        </w:rPr>
      </w:pPr>
    </w:p>
    <w:p w14:paraId="1148FFF0" w14:textId="77777777" w:rsidR="008316FF" w:rsidRPr="00547200" w:rsidRDefault="008316FF" w:rsidP="00420A8D">
      <w:pPr>
        <w:spacing w:after="0"/>
        <w:jc w:val="both"/>
        <w:rPr>
          <w:rFonts w:ascii="Verdana" w:hAnsi="Verdana"/>
          <w:bCs/>
          <w:sz w:val="22"/>
          <w:szCs w:val="22"/>
        </w:rPr>
      </w:pPr>
    </w:p>
    <w:p w14:paraId="602BB8FE" w14:textId="6622A170" w:rsidR="008316FF" w:rsidRPr="00547200" w:rsidRDefault="008316FF" w:rsidP="00420A8D">
      <w:pPr>
        <w:spacing w:after="0"/>
        <w:jc w:val="both"/>
        <w:rPr>
          <w:rFonts w:ascii="Verdana" w:hAnsi="Verdana"/>
          <w:bCs/>
          <w:sz w:val="22"/>
          <w:szCs w:val="22"/>
        </w:rPr>
      </w:pPr>
      <w:r w:rsidRPr="00547200">
        <w:rPr>
          <w:rFonts w:ascii="Verdana" w:hAnsi="Verdana"/>
          <w:b/>
          <w:bCs/>
          <w:sz w:val="22"/>
          <w:szCs w:val="22"/>
        </w:rPr>
        <w:t>ARTÍCULO 2o.</w:t>
      </w:r>
      <w:r w:rsidRPr="00547200">
        <w:rPr>
          <w:rFonts w:ascii="Verdana" w:hAnsi="Verdana"/>
          <w:bCs/>
          <w:sz w:val="22"/>
          <w:szCs w:val="22"/>
        </w:rPr>
        <w:t xml:space="preserve"> &lt;Artículo derogado por el artículo 61 de la Resolución 1038 de 1999&gt;</w:t>
      </w:r>
      <w:r w:rsidR="00547200">
        <w:rPr>
          <w:rFonts w:ascii="Verdana" w:hAnsi="Verdana"/>
          <w:bCs/>
          <w:sz w:val="22"/>
          <w:szCs w:val="22"/>
        </w:rPr>
        <w:t xml:space="preserve"> </w:t>
      </w:r>
      <w:r w:rsidRPr="00547200">
        <w:rPr>
          <w:rFonts w:ascii="Verdana" w:hAnsi="Verdana"/>
          <w:bCs/>
          <w:sz w:val="22"/>
          <w:szCs w:val="22"/>
        </w:rPr>
        <w:t>La venta de materias primas y/o alimentos no aptos para el consumo humano y otros productos que hayan sido objeto de vencimiento, que resultaren en las Plantas de Bienestarina o en las Regionales, que figuren en kárdex y que puedan ser objeto de venta para el consumo animal o procesamiento industrial, se efectuará siguiendo el procedimiento señalado anteriormente, previo el cumplimiento de los requisitos establecidos en el artículo 70 de la Resolución Orgánica 04 de 1960, de la Contraloría General de la República, modificada mediante resolución orgánica No. 011698 del 14 de agosto de 1986, en cuanto se refiere al requisito de la autorización fiscal previa para la baja de bienes muebles.</w:t>
      </w:r>
    </w:p>
    <w:p w14:paraId="0864DFDD" w14:textId="77777777" w:rsidR="008316FF" w:rsidRPr="00547200" w:rsidRDefault="008316FF" w:rsidP="00420A8D">
      <w:pPr>
        <w:spacing w:after="0"/>
        <w:jc w:val="both"/>
        <w:rPr>
          <w:rFonts w:ascii="Verdana" w:hAnsi="Verdana"/>
          <w:bCs/>
          <w:sz w:val="22"/>
          <w:szCs w:val="22"/>
        </w:rPr>
      </w:pPr>
    </w:p>
    <w:p w14:paraId="20ECD0DE" w14:textId="77777777" w:rsidR="008316FF" w:rsidRPr="00547200" w:rsidRDefault="008316FF" w:rsidP="00420A8D">
      <w:pPr>
        <w:spacing w:after="0"/>
        <w:jc w:val="both"/>
        <w:rPr>
          <w:rFonts w:ascii="Verdana" w:hAnsi="Verdana"/>
          <w:bCs/>
          <w:sz w:val="22"/>
          <w:szCs w:val="22"/>
        </w:rPr>
      </w:pPr>
      <w:r w:rsidRPr="002C0E13">
        <w:rPr>
          <w:rFonts w:ascii="Verdana" w:hAnsi="Verdana"/>
          <w:b/>
          <w:sz w:val="22"/>
          <w:szCs w:val="22"/>
        </w:rPr>
        <w:t>PARÁGRAFO PRIMERO.</w:t>
      </w:r>
      <w:r w:rsidRPr="00547200">
        <w:rPr>
          <w:rFonts w:ascii="Verdana" w:hAnsi="Verdana"/>
          <w:bCs/>
          <w:sz w:val="22"/>
          <w:szCs w:val="22"/>
        </w:rPr>
        <w:t xml:space="preserve"> Además del requisito exigido en el literal b) del artículo 70 de la referida resolución 04 de 1960, se deben consignar en el acta las causas que produjeron la merma, daño o vencimiento de los bienes, y además anexar certificación de la autoridad sanitaria correspondiente, sobre la condición de no aptos para el consumo humano y de la posibilidad de su empleo para consumo animal.</w:t>
      </w:r>
    </w:p>
    <w:p w14:paraId="3815953D" w14:textId="77777777" w:rsidR="008316FF" w:rsidRPr="00547200" w:rsidRDefault="008316FF" w:rsidP="00420A8D">
      <w:pPr>
        <w:spacing w:after="0"/>
        <w:jc w:val="both"/>
        <w:rPr>
          <w:rFonts w:ascii="Verdana" w:hAnsi="Verdana"/>
          <w:bCs/>
          <w:sz w:val="22"/>
          <w:szCs w:val="22"/>
        </w:rPr>
      </w:pPr>
    </w:p>
    <w:p w14:paraId="2F0B0EAB" w14:textId="77777777" w:rsidR="008316FF" w:rsidRPr="00547200" w:rsidRDefault="008316FF" w:rsidP="00420A8D">
      <w:pPr>
        <w:spacing w:after="0"/>
        <w:jc w:val="both"/>
        <w:rPr>
          <w:rFonts w:ascii="Verdana" w:hAnsi="Verdana"/>
          <w:bCs/>
          <w:sz w:val="22"/>
          <w:szCs w:val="22"/>
        </w:rPr>
      </w:pPr>
      <w:r w:rsidRPr="002C0E13">
        <w:rPr>
          <w:rFonts w:ascii="Verdana" w:hAnsi="Verdana"/>
          <w:b/>
          <w:sz w:val="22"/>
          <w:szCs w:val="22"/>
        </w:rPr>
        <w:t>PARÁGRAFO SEGUNDO.</w:t>
      </w:r>
      <w:r w:rsidRPr="00547200">
        <w:rPr>
          <w:rFonts w:ascii="Verdana" w:hAnsi="Verdana"/>
          <w:bCs/>
          <w:sz w:val="22"/>
          <w:szCs w:val="22"/>
        </w:rPr>
        <w:t xml:space="preserve"> Los bienes de que trata este artículo, no susceptibles de venta, podrán darse de baja conforme a lo establecido en el artículo 75 de la Resolución Orgánica No. 04 de 1960, de la Contraloría General de la República.</w:t>
      </w:r>
    </w:p>
    <w:p w14:paraId="563E70DD" w14:textId="77777777" w:rsidR="008316FF" w:rsidRPr="00547200" w:rsidRDefault="008316FF" w:rsidP="00420A8D">
      <w:pPr>
        <w:spacing w:after="0"/>
        <w:jc w:val="both"/>
        <w:rPr>
          <w:rFonts w:ascii="Verdana" w:hAnsi="Verdana"/>
          <w:bCs/>
          <w:sz w:val="22"/>
          <w:szCs w:val="22"/>
        </w:rPr>
      </w:pPr>
    </w:p>
    <w:p w14:paraId="5AC31C69" w14:textId="51AC14B0" w:rsidR="008316FF" w:rsidRPr="00547200" w:rsidRDefault="008316FF" w:rsidP="00420A8D">
      <w:pPr>
        <w:spacing w:after="0"/>
        <w:jc w:val="both"/>
        <w:rPr>
          <w:rFonts w:ascii="Verdana" w:hAnsi="Verdana"/>
          <w:bCs/>
          <w:sz w:val="22"/>
          <w:szCs w:val="22"/>
        </w:rPr>
      </w:pPr>
      <w:r w:rsidRPr="00547200">
        <w:rPr>
          <w:rFonts w:ascii="Verdana" w:hAnsi="Verdana"/>
          <w:b/>
          <w:bCs/>
          <w:sz w:val="22"/>
          <w:szCs w:val="22"/>
        </w:rPr>
        <w:t>ARTÍCULO 3o.</w:t>
      </w:r>
      <w:r w:rsidRPr="00547200">
        <w:rPr>
          <w:rFonts w:ascii="Verdana" w:hAnsi="Verdana"/>
          <w:bCs/>
          <w:sz w:val="22"/>
          <w:szCs w:val="22"/>
        </w:rPr>
        <w:t xml:space="preserve"> &lt;Artículo derogado por el artículo 61 de la Resolución 1038 de 1999&gt;</w:t>
      </w:r>
      <w:r w:rsidR="002C0E13">
        <w:rPr>
          <w:rFonts w:ascii="Verdana" w:hAnsi="Verdana"/>
          <w:bCs/>
          <w:sz w:val="22"/>
          <w:szCs w:val="22"/>
        </w:rPr>
        <w:t xml:space="preserve"> </w:t>
      </w:r>
      <w:r w:rsidRPr="00547200">
        <w:rPr>
          <w:rFonts w:ascii="Verdana" w:hAnsi="Verdana"/>
          <w:bCs/>
          <w:sz w:val="22"/>
          <w:szCs w:val="22"/>
        </w:rPr>
        <w:t>Los recursos provenientes de la venta de estos bienes serán girados por las Plantas y las Regionales a la Tesorería de la Sede Nacional y se destinarán al desarrollo de programes de Bienestar Social de los empleados del ICBF, conforme a lo dispuesto en el artículo 6° del Decreto 2170 de 1992.</w:t>
      </w:r>
    </w:p>
    <w:p w14:paraId="0A25C030" w14:textId="77777777" w:rsidR="008316FF" w:rsidRPr="00547200" w:rsidRDefault="008316FF" w:rsidP="00420A8D">
      <w:pPr>
        <w:spacing w:after="0"/>
        <w:jc w:val="both"/>
        <w:rPr>
          <w:rFonts w:ascii="Verdana" w:hAnsi="Verdana"/>
          <w:bCs/>
          <w:sz w:val="22"/>
          <w:szCs w:val="22"/>
        </w:rPr>
      </w:pPr>
    </w:p>
    <w:p w14:paraId="7E1AFA5B" w14:textId="77777777" w:rsidR="008316FF" w:rsidRPr="00547200" w:rsidRDefault="008316FF" w:rsidP="00420A8D">
      <w:pPr>
        <w:spacing w:after="0"/>
        <w:jc w:val="both"/>
        <w:rPr>
          <w:rFonts w:ascii="Verdana" w:hAnsi="Verdana"/>
          <w:bCs/>
          <w:sz w:val="22"/>
          <w:szCs w:val="22"/>
        </w:rPr>
      </w:pPr>
      <w:r w:rsidRPr="00547200">
        <w:rPr>
          <w:rFonts w:ascii="Verdana" w:hAnsi="Verdana"/>
          <w:b/>
          <w:bCs/>
          <w:sz w:val="22"/>
          <w:szCs w:val="22"/>
        </w:rPr>
        <w:t>ARTÍCULO 4o.</w:t>
      </w:r>
      <w:r w:rsidRPr="00547200">
        <w:rPr>
          <w:rFonts w:ascii="Verdana" w:hAnsi="Verdana"/>
          <w:bCs/>
          <w:sz w:val="22"/>
          <w:szCs w:val="22"/>
        </w:rPr>
        <w:t xml:space="preserve"> La presente resolución rige a partir de la fecha de su expedición y deroga la resolución No. 748 del 12 de abril de 1993.</w:t>
      </w:r>
    </w:p>
    <w:p w14:paraId="6C0360A7" w14:textId="77777777" w:rsidR="008316FF" w:rsidRPr="00547200" w:rsidRDefault="008316FF" w:rsidP="00B2039F">
      <w:pPr>
        <w:spacing w:after="0"/>
        <w:jc w:val="center"/>
        <w:rPr>
          <w:rFonts w:ascii="Verdana" w:hAnsi="Verdana"/>
          <w:bCs/>
          <w:sz w:val="22"/>
          <w:szCs w:val="22"/>
        </w:rPr>
      </w:pPr>
    </w:p>
    <w:p w14:paraId="589FE093" w14:textId="77777777" w:rsidR="008316FF" w:rsidRPr="002C0E13" w:rsidRDefault="008316FF" w:rsidP="00B2039F">
      <w:pPr>
        <w:spacing w:after="0"/>
        <w:jc w:val="center"/>
        <w:rPr>
          <w:rFonts w:ascii="Verdana" w:hAnsi="Verdana"/>
          <w:b/>
          <w:sz w:val="22"/>
          <w:szCs w:val="22"/>
        </w:rPr>
      </w:pPr>
      <w:r w:rsidRPr="002C0E13">
        <w:rPr>
          <w:rFonts w:ascii="Verdana" w:hAnsi="Verdana"/>
          <w:b/>
          <w:sz w:val="22"/>
          <w:szCs w:val="22"/>
        </w:rPr>
        <w:t>COMUNÍQUESE Y CÚMPLASE.</w:t>
      </w:r>
    </w:p>
    <w:p w14:paraId="087755A0" w14:textId="77777777" w:rsidR="008316FF" w:rsidRPr="00547200" w:rsidRDefault="008316FF" w:rsidP="00B2039F">
      <w:pPr>
        <w:spacing w:after="0"/>
        <w:jc w:val="center"/>
        <w:rPr>
          <w:rFonts w:ascii="Verdana" w:hAnsi="Verdana"/>
          <w:bCs/>
          <w:sz w:val="22"/>
          <w:szCs w:val="22"/>
        </w:rPr>
      </w:pPr>
    </w:p>
    <w:p w14:paraId="651C9604" w14:textId="77777777" w:rsidR="008316FF" w:rsidRPr="00547200" w:rsidRDefault="008316FF" w:rsidP="00B2039F">
      <w:pPr>
        <w:spacing w:after="0"/>
        <w:jc w:val="center"/>
        <w:rPr>
          <w:rFonts w:ascii="Verdana" w:hAnsi="Verdana"/>
          <w:bCs/>
          <w:sz w:val="22"/>
          <w:szCs w:val="22"/>
        </w:rPr>
      </w:pPr>
      <w:r w:rsidRPr="00547200">
        <w:rPr>
          <w:rFonts w:ascii="Verdana" w:hAnsi="Verdana"/>
          <w:bCs/>
          <w:sz w:val="22"/>
          <w:szCs w:val="22"/>
        </w:rPr>
        <w:t>Dada en Santafe de Bogotá, D. C., a los 17 MAR. 1994.</w:t>
      </w:r>
    </w:p>
    <w:p w14:paraId="14B40ED1" w14:textId="77777777" w:rsidR="008316FF" w:rsidRPr="00547200" w:rsidRDefault="008316FF" w:rsidP="00B2039F">
      <w:pPr>
        <w:spacing w:after="0"/>
        <w:jc w:val="center"/>
        <w:rPr>
          <w:rFonts w:ascii="Verdana" w:hAnsi="Verdana"/>
          <w:bCs/>
          <w:sz w:val="22"/>
          <w:szCs w:val="22"/>
        </w:rPr>
      </w:pPr>
    </w:p>
    <w:p w14:paraId="5AA928F6" w14:textId="77777777" w:rsidR="008316FF" w:rsidRPr="00547200" w:rsidRDefault="008316FF" w:rsidP="00B2039F">
      <w:pPr>
        <w:spacing w:after="0"/>
        <w:jc w:val="center"/>
        <w:rPr>
          <w:rFonts w:ascii="Verdana" w:hAnsi="Verdana"/>
          <w:b/>
          <w:bCs/>
          <w:sz w:val="22"/>
          <w:szCs w:val="22"/>
        </w:rPr>
      </w:pPr>
      <w:r w:rsidRPr="00547200">
        <w:rPr>
          <w:rFonts w:ascii="Verdana" w:hAnsi="Verdana"/>
          <w:b/>
          <w:bCs/>
          <w:sz w:val="22"/>
          <w:szCs w:val="22"/>
        </w:rPr>
        <w:t>RAFAEL ANTONIO ORDUZ MEDINA</w:t>
      </w:r>
    </w:p>
    <w:p w14:paraId="269558AF" w14:textId="77777777" w:rsidR="008316FF" w:rsidRPr="00547200" w:rsidRDefault="008316FF" w:rsidP="00B2039F">
      <w:pPr>
        <w:spacing w:after="0"/>
        <w:jc w:val="center"/>
        <w:rPr>
          <w:rFonts w:ascii="Verdana" w:hAnsi="Verdana"/>
          <w:bCs/>
          <w:sz w:val="22"/>
          <w:szCs w:val="22"/>
        </w:rPr>
      </w:pPr>
    </w:p>
    <w:p w14:paraId="4A77F9F4" w14:textId="77777777" w:rsidR="008316FF" w:rsidRPr="00547200" w:rsidRDefault="008316FF" w:rsidP="00B2039F">
      <w:pPr>
        <w:spacing w:after="0"/>
        <w:jc w:val="center"/>
        <w:rPr>
          <w:rFonts w:ascii="Verdana" w:hAnsi="Verdana"/>
          <w:bCs/>
          <w:sz w:val="22"/>
          <w:szCs w:val="22"/>
        </w:rPr>
      </w:pPr>
      <w:r w:rsidRPr="00547200">
        <w:rPr>
          <w:rFonts w:ascii="Verdana" w:hAnsi="Verdana"/>
          <w:bCs/>
          <w:sz w:val="22"/>
          <w:szCs w:val="22"/>
        </w:rPr>
        <w:t>Director General</w:t>
      </w:r>
    </w:p>
    <w:p w14:paraId="77BCF14F" w14:textId="77777777" w:rsidR="008316FF" w:rsidRPr="00547200" w:rsidRDefault="008316FF" w:rsidP="00B2039F">
      <w:pPr>
        <w:spacing w:after="0"/>
        <w:jc w:val="center"/>
        <w:rPr>
          <w:rFonts w:ascii="Verdana" w:hAnsi="Verdana"/>
          <w:bCs/>
          <w:sz w:val="22"/>
          <w:szCs w:val="22"/>
        </w:rPr>
      </w:pPr>
    </w:p>
    <w:p w14:paraId="26826494" w14:textId="77777777" w:rsidR="008316FF" w:rsidRPr="00547200" w:rsidRDefault="008316FF" w:rsidP="00B2039F">
      <w:pPr>
        <w:spacing w:after="0"/>
        <w:jc w:val="center"/>
        <w:rPr>
          <w:rFonts w:ascii="Verdana" w:hAnsi="Verdana"/>
          <w:b/>
          <w:bCs/>
          <w:sz w:val="22"/>
          <w:szCs w:val="22"/>
        </w:rPr>
      </w:pPr>
      <w:r w:rsidRPr="00547200">
        <w:rPr>
          <w:rFonts w:ascii="Verdana" w:hAnsi="Verdana"/>
          <w:b/>
          <w:bCs/>
          <w:sz w:val="22"/>
          <w:szCs w:val="22"/>
        </w:rPr>
        <w:lastRenderedPageBreak/>
        <w:t>MYRIAM STELLA ORTIZ QUINTERO</w:t>
      </w:r>
    </w:p>
    <w:p w14:paraId="7359456C" w14:textId="77777777" w:rsidR="008316FF" w:rsidRPr="00547200" w:rsidRDefault="008316FF" w:rsidP="00B2039F">
      <w:pPr>
        <w:spacing w:after="0"/>
        <w:jc w:val="center"/>
        <w:rPr>
          <w:rFonts w:ascii="Verdana" w:hAnsi="Verdana"/>
          <w:bCs/>
          <w:sz w:val="22"/>
          <w:szCs w:val="22"/>
        </w:rPr>
      </w:pPr>
    </w:p>
    <w:p w14:paraId="1881F352" w14:textId="1F864EAF" w:rsidR="00794C8B" w:rsidRPr="00547200" w:rsidRDefault="00B2039F" w:rsidP="00B2039F">
      <w:pPr>
        <w:spacing w:after="0"/>
        <w:jc w:val="center"/>
        <w:rPr>
          <w:rFonts w:ascii="Verdana" w:hAnsi="Verdana"/>
          <w:bCs/>
          <w:sz w:val="22"/>
          <w:szCs w:val="22"/>
        </w:rPr>
      </w:pPr>
      <w:r w:rsidRPr="00547200">
        <w:rPr>
          <w:rFonts w:ascii="Verdana" w:hAnsi="Verdana"/>
          <w:bCs/>
          <w:sz w:val="22"/>
          <w:szCs w:val="22"/>
        </w:rPr>
        <w:t>Secretaria General</w:t>
      </w:r>
    </w:p>
    <w:sectPr w:rsidR="00794C8B" w:rsidRPr="005472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C5353"/>
    <w:multiLevelType w:val="hybridMultilevel"/>
    <w:tmpl w:val="C66A556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2F56CA"/>
    <w:multiLevelType w:val="hybridMultilevel"/>
    <w:tmpl w:val="A192D75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AF32B0"/>
    <w:multiLevelType w:val="hybridMultilevel"/>
    <w:tmpl w:val="E70081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432049"/>
    <w:multiLevelType w:val="hybridMultilevel"/>
    <w:tmpl w:val="0F906D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DF2D5B"/>
    <w:multiLevelType w:val="hybridMultilevel"/>
    <w:tmpl w:val="54FA8A7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C604522"/>
    <w:multiLevelType w:val="hybridMultilevel"/>
    <w:tmpl w:val="B38A3E4E"/>
    <w:lvl w:ilvl="0" w:tplc="240A000F">
      <w:start w:val="1"/>
      <w:numFmt w:val="decimal"/>
      <w:lvlText w:val="%1."/>
      <w:lvlJc w:val="left"/>
      <w:pPr>
        <w:ind w:left="720" w:hanging="360"/>
      </w:pPr>
      <w:rPr>
        <w:rFonts w:hint="default"/>
      </w:rPr>
    </w:lvl>
    <w:lvl w:ilvl="1" w:tplc="B74EB1A2">
      <w:start w:val="1"/>
      <w:numFmt w:val="lowerLetter"/>
      <w:lvlText w:val="%2)"/>
      <w:lvlJc w:val="left"/>
      <w:pPr>
        <w:ind w:left="1470" w:hanging="39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2983503">
    <w:abstractNumId w:val="0"/>
  </w:num>
  <w:num w:numId="2" w16cid:durableId="742143740">
    <w:abstractNumId w:val="6"/>
  </w:num>
  <w:num w:numId="3" w16cid:durableId="1028412785">
    <w:abstractNumId w:val="2"/>
  </w:num>
  <w:num w:numId="4" w16cid:durableId="964046860">
    <w:abstractNumId w:val="3"/>
  </w:num>
  <w:num w:numId="5" w16cid:durableId="1580018104">
    <w:abstractNumId w:val="5"/>
  </w:num>
  <w:num w:numId="6" w16cid:durableId="1817641610">
    <w:abstractNumId w:val="1"/>
  </w:num>
  <w:num w:numId="7" w16cid:durableId="1635939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26255C"/>
    <w:rsid w:val="002908F0"/>
    <w:rsid w:val="002B6543"/>
    <w:rsid w:val="002C0E13"/>
    <w:rsid w:val="00420A8D"/>
    <w:rsid w:val="00547200"/>
    <w:rsid w:val="0055091C"/>
    <w:rsid w:val="006C5841"/>
    <w:rsid w:val="00794C8B"/>
    <w:rsid w:val="007E46F5"/>
    <w:rsid w:val="008316FF"/>
    <w:rsid w:val="00953C3B"/>
    <w:rsid w:val="00A42548"/>
    <w:rsid w:val="00B2039F"/>
    <w:rsid w:val="00D0220F"/>
    <w:rsid w:val="00D23AA8"/>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022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E299B-4709-4354-AB55-1359C16C4A96}"/>
</file>

<file path=customXml/itemProps2.xml><?xml version="1.0" encoding="utf-8"?>
<ds:datastoreItem xmlns:ds="http://schemas.openxmlformats.org/officeDocument/2006/customXml" ds:itemID="{2BA72E03-A8CD-456F-8608-872931E64AD2}"/>
</file>

<file path=customXml/itemProps3.xml><?xml version="1.0" encoding="utf-8"?>
<ds:datastoreItem xmlns:ds="http://schemas.openxmlformats.org/officeDocument/2006/customXml" ds:itemID="{1810986A-5E8F-4809-8DED-185EA5A657CA}"/>
</file>

<file path=docProps/app.xml><?xml version="1.0" encoding="utf-8"?>
<Properties xmlns="http://schemas.openxmlformats.org/officeDocument/2006/extended-properties" xmlns:vt="http://schemas.openxmlformats.org/officeDocument/2006/docPropsVTypes">
  <Template>Normal</Template>
  <TotalTime>4</TotalTime>
  <Pages>5</Pages>
  <Words>1254</Words>
  <Characters>6726</Characters>
  <Application>Microsoft Office Word</Application>
  <DocSecurity>0</DocSecurity>
  <Lines>131</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2025-11-24T14:19:00Z</dcterms:created>
  <dcterms:modified xsi:type="dcterms:W3CDTF">2026-01-16T18:33:00Z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