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D2073" w14:textId="77777777" w:rsidR="00CA4EEF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6018 DE 2010</w:t>
      </w:r>
    </w:p>
    <w:p w14:paraId="35486EBF" w14:textId="77777777" w:rsidR="00CA4EEF" w:rsidRDefault="00CA4EEF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  <w:bookmarkStart w:id="0" w:name="_gkik43155102" w:colFirst="0" w:colLast="0"/>
      <w:bookmarkEnd w:id="0"/>
    </w:p>
    <w:p w14:paraId="764DDC4D" w14:textId="77777777" w:rsidR="009904CB" w:rsidRPr="009904CB" w:rsidRDefault="009904CB" w:rsidP="009904CB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9904CB">
        <w:rPr>
          <w:rFonts w:ascii="Verdana" w:eastAsia="Verdana" w:hAnsi="Verdana" w:cs="Verdana"/>
          <w:sz w:val="20"/>
          <w:szCs w:val="20"/>
        </w:rPr>
        <w:t>Fecha de Expedición: 30 de diciembre de 2010</w:t>
      </w:r>
    </w:p>
    <w:p w14:paraId="24096CF6" w14:textId="77777777" w:rsidR="009904CB" w:rsidRPr="009904CB" w:rsidRDefault="009904CB" w:rsidP="009904CB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9904CB">
        <w:rPr>
          <w:rFonts w:ascii="Verdana" w:eastAsia="Verdana" w:hAnsi="Verdana" w:cs="Verdana"/>
          <w:sz w:val="20"/>
          <w:szCs w:val="20"/>
        </w:rPr>
        <w:t>Fecha de entrada en vigencia: 30 de diciembre de 2010</w:t>
      </w:r>
    </w:p>
    <w:p w14:paraId="18A5DDEE" w14:textId="77777777" w:rsidR="009904CB" w:rsidRDefault="009904CB" w:rsidP="009904CB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9904CB">
        <w:rPr>
          <w:rFonts w:ascii="Verdana" w:eastAsia="Verdana" w:hAnsi="Verdana" w:cs="Verdana"/>
          <w:sz w:val="20"/>
          <w:szCs w:val="20"/>
        </w:rPr>
        <w:t>Estado de la vigencia: Derogada por el artículo 6 de la Resolución 1513 de 2016</w:t>
      </w:r>
    </w:p>
    <w:p w14:paraId="67B6A5AA" w14:textId="77777777" w:rsidR="009904CB" w:rsidRPr="009904CB" w:rsidRDefault="009904CB" w:rsidP="009904CB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2E3FAEA8" w14:textId="77777777" w:rsidR="009904CB" w:rsidRPr="009904CB" w:rsidRDefault="009904CB" w:rsidP="009904CB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9904CB">
        <w:rPr>
          <w:rFonts w:ascii="Verdana" w:eastAsia="Verdana" w:hAnsi="Verdana" w:cs="Verdana"/>
          <w:sz w:val="20"/>
          <w:szCs w:val="20"/>
        </w:rPr>
        <w:t>Fecha de publicación en Diario Oficial: 2 de abril de 2011</w:t>
      </w:r>
    </w:p>
    <w:p w14:paraId="1139EAF8" w14:textId="3F726A0D" w:rsidR="009904CB" w:rsidRPr="009904CB" w:rsidRDefault="009904CB" w:rsidP="009904CB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9904CB">
        <w:rPr>
          <w:rFonts w:ascii="Verdana" w:eastAsia="Verdana" w:hAnsi="Verdana" w:cs="Verdana"/>
          <w:sz w:val="20"/>
          <w:szCs w:val="20"/>
        </w:rPr>
        <w:t>Número del Diario Oficial: 48.030</w:t>
      </w:r>
    </w:p>
    <w:p w14:paraId="7F2CCFA3" w14:textId="77777777" w:rsidR="009904CB" w:rsidRPr="009904CB" w:rsidRDefault="009904CB" w:rsidP="009904CB">
      <w:pPr>
        <w:shd w:val="clear" w:color="auto" w:fill="FFFFFF"/>
        <w:spacing w:line="240" w:lineRule="auto"/>
        <w:rPr>
          <w:rFonts w:ascii="Verdana" w:eastAsia="Verdana" w:hAnsi="Verdana" w:cs="Verdana"/>
        </w:rPr>
      </w:pPr>
    </w:p>
    <w:p w14:paraId="36CD52AE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6018 DE 2010</w:t>
      </w:r>
    </w:p>
    <w:p w14:paraId="7DE9A703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30)</w:t>
      </w:r>
    </w:p>
    <w:p w14:paraId="07B91B13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63505A7A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 el Lineamiento Técnico para el Programa Especializado de Atención a Niños, Niñas y Adolescentes Vinculados a Peores Formas de Trabajo Infantil, con sus Derechos Amenazados, Inobservados o Vulnerados.</w:t>
      </w:r>
    </w:p>
    <w:p w14:paraId="1CABEB77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 CECILIA DE LA FUENTE DE LLERAS</w:t>
      </w:r>
    </w:p>
    <w:p w14:paraId="0A74F25A" w14:textId="73DE71DE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el artículo </w:t>
      </w:r>
      <w:r w:rsidR="00CA4EEF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2o del Artículo </w:t>
      </w:r>
      <w:r w:rsidR="00CA4EEF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CA4EE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>de 2006- Código de la Infancia y la Adolescencia-, y demás normas concordantes y complementarias, y</w:t>
      </w:r>
    </w:p>
    <w:p w14:paraId="43820A10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6EC8D775" w14:textId="66BF3A35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CA4EEF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CA4EEF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Familiar</w:t>
      </w:r>
      <w:r>
        <w:rPr>
          <w:rFonts w:ascii="Verdana" w:eastAsia="Verdana" w:hAnsi="Verdana" w:cs="Verdana"/>
          <w:i/>
          <w:iCs/>
        </w:rPr>
        <w:t xml:space="preserve"> "deberán cumplirse con estricta sujeción a las normas del servicio y a los reglamentos dictados por el ICBF".</w:t>
      </w:r>
    </w:p>
    <w:p w14:paraId="29FEA6EE" w14:textId="0898C96C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CA4EEF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Constitucional establece como derechos fundamentales de los niños: la vida, la integridad física, la salud y la seguridad social, la alimentación equilibrada, el nombre y nacionalidad, tener una familia y no ser separados de ella, el cuidado y amor, la educación y la cultura, la recreación y la libre expresión de su opinión; dispone su protección contra toda forma de abandono, violencia física o moral, secuestro, venta, abuso sexual, explotación laboral o económica y trabajos riesgosos, y les garantiza también el goce los demás derechos consagrados en la Constitución, en las leyes y en los tratados internacionales ratificados por Colombia.</w:t>
      </w:r>
    </w:p>
    <w:p w14:paraId="2956C304" w14:textId="762F9B5D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la Ley </w:t>
      </w:r>
      <w:r w:rsidR="00CA4EEF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"por la cual se expide el Código de la Infancia y la Adolescencia", determinó que su objeto es "</w:t>
      </w:r>
      <w:r>
        <w:rPr>
          <w:rFonts w:ascii="Verdana" w:eastAsia="Verdana" w:hAnsi="Verdana" w:cs="Verdana"/>
          <w:i/>
          <w:iCs/>
        </w:rPr>
        <w:t xml:space="preserve">establecer normas sustantivas y procesales para la protección integral de los niños, las niñas y los adolescentes y para garantizar el ejercicio de sus derechos y libertades consagrados en los </w:t>
      </w:r>
      <w:r>
        <w:rPr>
          <w:rFonts w:ascii="Verdana" w:eastAsia="Verdana" w:hAnsi="Verdana" w:cs="Verdana"/>
          <w:i/>
          <w:iCs/>
        </w:rPr>
        <w:lastRenderedPageBreak/>
        <w:t>instrumentos internacionales de Derechos Humanos, en la Constitución Política y en las leyes, así como su restablecimiento"</w:t>
      </w:r>
      <w:r>
        <w:rPr>
          <w:rFonts w:ascii="Verdana" w:eastAsia="Verdana" w:hAnsi="Verdana" w:cs="Verdana"/>
        </w:rPr>
        <w:t xml:space="preserve"> y su finalidad,</w:t>
      </w:r>
      <w:r>
        <w:rPr>
          <w:rFonts w:ascii="Verdana" w:eastAsia="Verdana" w:hAnsi="Verdana" w:cs="Verdana"/>
          <w:i/>
          <w:iCs/>
        </w:rPr>
        <w:t xml:space="preserve"> "garantizar a los niños, a las niñas y a los adolescentes su pleno y armonioso desarrollo para que crezcan en el seno de la familia y de la comunidad, en un ambiente de felicidad, amor y comprensión".</w:t>
      </w:r>
    </w:p>
    <w:p w14:paraId="00844008" w14:textId="3423806F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CA4EEF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estableció que el ICBF "</w:t>
      </w:r>
      <w:r>
        <w:rPr>
          <w:rFonts w:ascii="Verdana" w:eastAsia="Verdana" w:hAnsi="Verdana" w:cs="Verdana"/>
          <w:i/>
          <w:iCs/>
        </w:rPr>
        <w:t xml:space="preserve">como ente coordinador del Sistema Nacional de Bienestar Familiar, mantendrá todas las funciones que hoy tiene (ley </w:t>
      </w:r>
      <w:r w:rsidR="00CA4EEF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CA4EEF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a/79) y definirá los Lineamientos Técnicos que las entidades deben cumplir para garantizar derechos de los niños, las niñas y los adolescentes, y para asegurar su restablecimiento (...)".</w:t>
      </w:r>
    </w:p>
    <w:p w14:paraId="6C9922A2" w14:textId="3FAE5A5C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CA4EEF">
        <w:rPr>
          <w:rFonts w:ascii="Verdana" w:eastAsia="Verdana" w:hAnsi="Verdana" w:cs="Verdana"/>
        </w:rPr>
        <w:t>60</w:t>
      </w:r>
      <w:r>
        <w:rPr>
          <w:rFonts w:ascii="Verdana" w:eastAsia="Verdana" w:hAnsi="Verdana" w:cs="Verdana"/>
        </w:rPr>
        <w:t xml:space="preserve"> de la Ley 1098 de 2006 dispuso que "</w:t>
      </w:r>
      <w:r>
        <w:rPr>
          <w:rFonts w:ascii="Verdana" w:eastAsia="Verdana" w:hAnsi="Verdana" w:cs="Verdana"/>
          <w:i/>
          <w:iCs/>
        </w:rPr>
        <w:t>cuando un niño, una niña o un adolescente sea víctima de cualquier acto que vulnere sus derechos de protección, de su integridad personal, o sea víctima de un delito, (...) deberán vincularse a un programa de atención especializada que asegure el restablecimiento de sus derechos".</w:t>
      </w:r>
    </w:p>
    <w:p w14:paraId="49D295BE" w14:textId="28779B78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Decreto </w:t>
      </w:r>
      <w:r w:rsidR="00CA4EEF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2010, establece que una de las funciones de la Dirección de Protección del ICBF es "</w:t>
      </w:r>
      <w:r>
        <w:rPr>
          <w:rFonts w:ascii="Verdana" w:eastAsia="Verdana" w:hAnsi="Verdana" w:cs="Verdana"/>
          <w:i/>
          <w:iCs/>
        </w:rPr>
        <w:t>Definir los lineamientos generales en materia de protección que deben ser tenidos en cuenta en todos los procesos relacionados con el reconocimiento de derechos a los niños, niñas y adolescentes";</w:t>
      </w:r>
      <w:r>
        <w:rPr>
          <w:rFonts w:ascii="Verdana" w:eastAsia="Verdana" w:hAnsi="Verdana" w:cs="Verdana"/>
        </w:rPr>
        <w:t xml:space="preserve"> y que una de las funciones de la Subdirección de Restablecimiento de Derechos es "</w:t>
      </w:r>
      <w:r>
        <w:rPr>
          <w:rFonts w:ascii="Verdana" w:eastAsia="Verdana" w:hAnsi="Verdana" w:cs="Verdana"/>
          <w:i/>
          <w:iCs/>
        </w:rPr>
        <w:t>Definir los lineamientos específicos para el Proceso Administrativo de Restablecimiento de Derechos que deben ser tenidos en cuenta en todos los Centros Zonales, Regionales y Sede de la Dirección General".</w:t>
      </w:r>
    </w:p>
    <w:p w14:paraId="2EC766D4" w14:textId="77777777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expuesto:</w:t>
      </w:r>
    </w:p>
    <w:p w14:paraId="32C08D76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1FFFB56C" w14:textId="410434D9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 w:rsidR="009904CB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CA4EEF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1513 de 2016</w:t>
      </w:r>
      <w:r w:rsidR="009904CB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Aprobar el Lineamiento Técnico para el Programa Especializado de Atención a Niños, Niñas y Adolescentes vinculados a Peores Formas de Trabajo Infantil, con sus Derechos Amenazados, Inobservados o Vulnerados.</w:t>
      </w:r>
    </w:p>
    <w:p w14:paraId="2FDFA3A3" w14:textId="068D4091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</w:t>
      </w:r>
      <w:r w:rsidR="009904CB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CA4EEF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1513 de 2016</w:t>
      </w:r>
      <w:r w:rsidR="009904CB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por el artículo </w:t>
      </w:r>
      <w:r w:rsidR="00CA4EEF"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presente Resolución, es de obligatorio cumplimiento para las áreas, Servidores Públicos y entidades que prestan el Servicio Público de Bienestar Familiar.</w:t>
      </w:r>
    </w:p>
    <w:p w14:paraId="31956EEB" w14:textId="378CF81E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</w:t>
      </w:r>
      <w:r w:rsidR="009904CB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CA4EEF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1513 de 2016</w:t>
      </w:r>
      <w:r w:rsidR="009904CB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demás servidores públicos capacitados en los Centros Zonales, deberán adoptar las medidas a que haya lugar para el cumplimiento y difusión de esta Resolución.</w:t>
      </w:r>
    </w:p>
    <w:p w14:paraId="4CCD0AE2" w14:textId="5B53F3AD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CUARTO.</w:t>
      </w:r>
      <w:r>
        <w:rPr>
          <w:rFonts w:ascii="Verdana" w:eastAsia="Verdana" w:hAnsi="Verdana" w:cs="Verdana"/>
        </w:rPr>
        <w:t xml:space="preserve"> </w:t>
      </w:r>
      <w:r w:rsidR="009904CB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CA4EEF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1513 de 2016</w:t>
      </w:r>
      <w:r w:rsidR="009904CB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hace parte integral del presente acto administrativo, en treinta y seis (36) folios.</w:t>
      </w:r>
    </w:p>
    <w:p w14:paraId="71274DF3" w14:textId="3BB13E87" w:rsidR="00CA4EE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 VIGENCIA Y DEROGATORIAS.</w:t>
      </w:r>
      <w:r>
        <w:rPr>
          <w:rFonts w:ascii="Verdana" w:eastAsia="Verdana" w:hAnsi="Verdana" w:cs="Verdana"/>
        </w:rPr>
        <w:t xml:space="preserve"> </w:t>
      </w:r>
      <w:r w:rsidR="009904CB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CA4EEF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1513 de 2016</w:t>
      </w:r>
      <w:r w:rsidR="009904CB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su publicación y deroga todas aquellas que le sean contrarias.</w:t>
      </w:r>
    </w:p>
    <w:p w14:paraId="0BE658EB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PUBLIQUESE, COMUNIQUESE Y CUMPLASE</w:t>
      </w:r>
    </w:p>
    <w:p w14:paraId="1EEDE9BE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D.C, a los</w:t>
      </w:r>
    </w:p>
    <w:p w14:paraId="282CE49C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14:paraId="5D4AEC31" w14:textId="77777777" w:rsidR="00CA4EE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1E54047F" w14:textId="77777777" w:rsidR="00CA4EEF" w:rsidRDefault="00CA4EEF">
      <w:pPr>
        <w:rPr>
          <w:rFonts w:ascii="Verdana" w:eastAsia="Verdana" w:hAnsi="Verdana" w:cs="Verdana"/>
        </w:rPr>
      </w:pPr>
    </w:p>
    <w:p w14:paraId="183D36CF" w14:textId="77777777" w:rsidR="00CA4EEF" w:rsidRDefault="00CA4EEF">
      <w:pPr>
        <w:rPr>
          <w:rFonts w:ascii="Verdana" w:eastAsia="Verdana" w:hAnsi="Verdana" w:cs="Verdana"/>
        </w:rPr>
      </w:pPr>
    </w:p>
    <w:sectPr w:rsidR="00CA4EE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07D866A-7E77-40EB-A436-FED07336A6B3}"/>
    <w:embedBold r:id="rId2" w:fontKey="{3755361C-DF67-479B-8ED2-01967D0A10E5}"/>
    <w:embedItalic r:id="rId3" w:fontKey="{68AE58C0-C4B1-457F-A0E8-2DA857DFBF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3F552A-CED4-481A-A4B1-A2C984A84F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6EBF33-F5A4-42BA-92A6-561078A392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EEF"/>
    <w:rsid w:val="00061EDC"/>
    <w:rsid w:val="009904CB"/>
    <w:rsid w:val="00C2573F"/>
    <w:rsid w:val="00CA4EEF"/>
    <w:rsid w:val="00F5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3FC3D"/>
  <w15:docId w15:val="{6B37ACD0-AAA8-40C4-B253-518A0DAE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98EA46-7D3D-4DD4-9EB5-179054CDA395}"/>
</file>

<file path=customXml/itemProps2.xml><?xml version="1.0" encoding="utf-8"?>
<ds:datastoreItem xmlns:ds="http://schemas.openxmlformats.org/officeDocument/2006/customXml" ds:itemID="{3032D215-5BED-49C4-8FE3-53C8187014E2}"/>
</file>

<file path=customXml/itemProps3.xml><?xml version="1.0" encoding="utf-8"?>
<ds:datastoreItem xmlns:ds="http://schemas.openxmlformats.org/officeDocument/2006/customXml" ds:itemID="{82FAADB7-6827-4780-8AE6-BE7559FAD6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846</Words>
  <Characters>4656</Characters>
  <Application>Microsoft Office Word</Application>
  <DocSecurity>0</DocSecurity>
  <Lines>38</Lines>
  <Paragraphs>10</Paragraphs>
  <ScaleCrop>false</ScaleCrop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2026-01-06T19:14:00Z</dcterms:created>
  <dcterms:modified xsi:type="dcterms:W3CDTF">2026-04-15T15:31:00Z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