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467A" w14:textId="7F3C7370" w:rsidR="000B4793" w:rsidRDefault="008E5DBF" w:rsidP="008E5DBF">
      <w:pPr>
        <w:jc w:val="center"/>
        <w:rPr>
          <w:rFonts w:ascii="Verdana" w:hAnsi="Verdana"/>
          <w:b/>
          <w:bCs/>
        </w:rPr>
      </w:pPr>
      <w:r w:rsidRPr="008E5DBF">
        <w:rPr>
          <w:rFonts w:ascii="Verdana" w:hAnsi="Verdana"/>
          <w:b/>
          <w:bCs/>
        </w:rPr>
        <w:t>RESOLUCIÓN 0006 DE 2025</w:t>
      </w:r>
    </w:p>
    <w:p w14:paraId="233585B1" w14:textId="4E1F33FB" w:rsidR="008E5DBF" w:rsidRPr="008E5DBF" w:rsidRDefault="008E5DBF" w:rsidP="008E5DBF">
      <w:pPr>
        <w:rPr>
          <w:rFonts w:ascii="Verdana" w:hAnsi="Verdana"/>
          <w:sz w:val="20"/>
          <w:szCs w:val="20"/>
        </w:rPr>
      </w:pPr>
      <w:r w:rsidRPr="008E5DBF">
        <w:rPr>
          <w:rFonts w:ascii="Verdana" w:hAnsi="Verdana"/>
          <w:sz w:val="20"/>
          <w:szCs w:val="20"/>
        </w:rPr>
        <w:t>Fecha de Expedición: 0</w:t>
      </w:r>
      <w:r w:rsidR="005F6702">
        <w:rPr>
          <w:rFonts w:ascii="Verdana" w:hAnsi="Verdana"/>
          <w:sz w:val="20"/>
          <w:szCs w:val="20"/>
        </w:rPr>
        <w:t>3</w:t>
      </w:r>
      <w:r w:rsidRPr="008E5DBF">
        <w:rPr>
          <w:rFonts w:ascii="Verdana" w:hAnsi="Verdana"/>
          <w:sz w:val="20"/>
          <w:szCs w:val="20"/>
        </w:rPr>
        <w:t xml:space="preserve"> de enero de 2025</w:t>
      </w:r>
    </w:p>
    <w:p w14:paraId="57568F0C" w14:textId="68C5403C" w:rsidR="008E5DBF" w:rsidRPr="008E5DBF" w:rsidRDefault="008E5DBF" w:rsidP="008E5DBF">
      <w:pPr>
        <w:rPr>
          <w:rFonts w:ascii="Verdana" w:hAnsi="Verdana"/>
          <w:sz w:val="20"/>
          <w:szCs w:val="20"/>
        </w:rPr>
      </w:pPr>
      <w:r w:rsidRPr="008E5DBF">
        <w:rPr>
          <w:rFonts w:ascii="Verdana" w:hAnsi="Verdana"/>
          <w:sz w:val="20"/>
          <w:szCs w:val="20"/>
        </w:rPr>
        <w:t>Fecha de entrada en vigencia: 0</w:t>
      </w:r>
      <w:r w:rsidR="005F6702">
        <w:rPr>
          <w:rFonts w:ascii="Verdana" w:hAnsi="Verdana"/>
          <w:sz w:val="20"/>
          <w:szCs w:val="20"/>
        </w:rPr>
        <w:t>3</w:t>
      </w:r>
      <w:r w:rsidRPr="008E5DBF">
        <w:rPr>
          <w:rFonts w:ascii="Verdana" w:hAnsi="Verdana"/>
          <w:sz w:val="20"/>
          <w:szCs w:val="20"/>
        </w:rPr>
        <w:t xml:space="preserve"> de enero de 2025</w:t>
      </w:r>
    </w:p>
    <w:p w14:paraId="2EBA9E98" w14:textId="77777777" w:rsidR="008E5DBF" w:rsidRPr="008E5DBF" w:rsidRDefault="008E5DBF" w:rsidP="008E5DBF">
      <w:pPr>
        <w:rPr>
          <w:rFonts w:ascii="Verdana" w:hAnsi="Verdana"/>
          <w:sz w:val="20"/>
          <w:szCs w:val="20"/>
        </w:rPr>
      </w:pPr>
      <w:r w:rsidRPr="008E5DBF">
        <w:rPr>
          <w:rFonts w:ascii="Verdana" w:hAnsi="Verdana"/>
          <w:sz w:val="20"/>
          <w:szCs w:val="20"/>
        </w:rPr>
        <w:t>Estado de la vigencia: Vigente.</w:t>
      </w:r>
    </w:p>
    <w:p w14:paraId="486301E3" w14:textId="77777777" w:rsidR="008E5DBF" w:rsidRPr="008E5DBF" w:rsidRDefault="008E5DBF" w:rsidP="008E5DBF">
      <w:pPr>
        <w:rPr>
          <w:rFonts w:ascii="Verdana" w:hAnsi="Verdana"/>
          <w:sz w:val="20"/>
          <w:szCs w:val="20"/>
        </w:rPr>
      </w:pPr>
      <w:r w:rsidRPr="008E5DBF">
        <w:rPr>
          <w:rFonts w:ascii="Verdana" w:hAnsi="Verdana"/>
          <w:sz w:val="20"/>
          <w:szCs w:val="20"/>
        </w:rPr>
        <w:t xml:space="preserve"> </w:t>
      </w:r>
    </w:p>
    <w:p w14:paraId="194C450C" w14:textId="77777777" w:rsidR="008E5DBF" w:rsidRPr="008E5DBF" w:rsidRDefault="008E5DBF" w:rsidP="008E5DBF">
      <w:pPr>
        <w:rPr>
          <w:rFonts w:ascii="Verdana" w:hAnsi="Verdana"/>
          <w:sz w:val="20"/>
          <w:szCs w:val="20"/>
        </w:rPr>
      </w:pPr>
      <w:r w:rsidRPr="008E5DBF">
        <w:rPr>
          <w:rFonts w:ascii="Verdana" w:hAnsi="Verdana"/>
          <w:sz w:val="20"/>
          <w:szCs w:val="20"/>
        </w:rPr>
        <w:t>Fecha de publicación en Diario Oficial: N/A</w:t>
      </w:r>
    </w:p>
    <w:p w14:paraId="4D257F7B" w14:textId="1E01A033" w:rsidR="008E5DBF" w:rsidRPr="008E5DBF" w:rsidRDefault="008E5DBF" w:rsidP="008E5DBF">
      <w:pPr>
        <w:rPr>
          <w:rFonts w:ascii="Verdana" w:hAnsi="Verdana"/>
          <w:sz w:val="20"/>
          <w:szCs w:val="20"/>
        </w:rPr>
      </w:pPr>
      <w:r w:rsidRPr="008E5DBF">
        <w:rPr>
          <w:rFonts w:ascii="Verdana" w:hAnsi="Verdana"/>
          <w:sz w:val="20"/>
          <w:szCs w:val="20"/>
        </w:rPr>
        <w:t>Número del Diario Oficial: N/A</w:t>
      </w:r>
    </w:p>
    <w:p w14:paraId="190A0E7C" w14:textId="77777777" w:rsidR="008E5DBF" w:rsidRDefault="008E5DBF" w:rsidP="008E5DBF">
      <w:pPr>
        <w:jc w:val="center"/>
        <w:rPr>
          <w:rFonts w:ascii="Verdana" w:hAnsi="Verdana"/>
          <w:b/>
          <w:bCs/>
        </w:rPr>
      </w:pPr>
      <w:r w:rsidRPr="008E5DBF">
        <w:rPr>
          <w:rFonts w:ascii="Verdana" w:hAnsi="Verdana"/>
          <w:b/>
          <w:bCs/>
        </w:rPr>
        <w:t>RESOLUCIÓN 0006 DE 2025</w:t>
      </w:r>
    </w:p>
    <w:p w14:paraId="5602B5AC" w14:textId="39107DD5" w:rsidR="008E5DBF" w:rsidRDefault="008E5DBF" w:rsidP="008E5DBF">
      <w:pPr>
        <w:jc w:val="center"/>
        <w:rPr>
          <w:rFonts w:ascii="Verdana" w:hAnsi="Verdana"/>
        </w:rPr>
      </w:pPr>
      <w:r>
        <w:rPr>
          <w:rFonts w:ascii="Verdana" w:hAnsi="Verdana"/>
        </w:rPr>
        <w:t>(03 de enero)</w:t>
      </w:r>
    </w:p>
    <w:p w14:paraId="48B81D82" w14:textId="043E323A" w:rsidR="008E5DBF" w:rsidRDefault="008E5DBF" w:rsidP="008E5DBF">
      <w:pPr>
        <w:jc w:val="center"/>
        <w:rPr>
          <w:rFonts w:ascii="Verdana" w:hAnsi="Verdana"/>
        </w:rPr>
      </w:pPr>
      <w:r w:rsidRPr="008E5DBF">
        <w:rPr>
          <w:rFonts w:ascii="Verdana" w:hAnsi="Verdana"/>
        </w:rPr>
        <w:t>“Por la cual se corrigen unos yerros contenidos en los artículos primero y segundo de la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Resolución No. 6432 del 31 de diciembre del 2024 “Por la cual se consolida el presupuesto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de ingresos y se desagrega, distribuye, asigna y comunica la asignación del presupuesto de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Gastos del Instituto Colombiano de Bienestar Familiar a Nivel de la Unidad Ejecutora, Sedes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Regionales y Sede de la Dirección General, para la Vigencia fiscal del año 2025”</w:t>
      </w:r>
    </w:p>
    <w:p w14:paraId="124EB9CB" w14:textId="7BF5BF59" w:rsidR="008E5DBF" w:rsidRPr="008E5DBF" w:rsidRDefault="008E5DBF" w:rsidP="008E5DBF">
      <w:pPr>
        <w:jc w:val="center"/>
        <w:rPr>
          <w:rFonts w:ascii="Verdana" w:hAnsi="Verdana"/>
          <w:b/>
          <w:bCs/>
        </w:rPr>
      </w:pPr>
      <w:r w:rsidRPr="008E5DBF">
        <w:rPr>
          <w:rFonts w:ascii="Verdana" w:hAnsi="Verdana"/>
          <w:b/>
          <w:bCs/>
        </w:rPr>
        <w:t>LA DIRECTORA GENERAL DEL INSTITUTO COLOMBIANO DE BIENESTAR</w:t>
      </w:r>
      <w:r w:rsidRPr="008E5DBF">
        <w:rPr>
          <w:rFonts w:ascii="Verdana" w:hAnsi="Verdana"/>
          <w:b/>
          <w:bCs/>
        </w:rPr>
        <w:t xml:space="preserve"> </w:t>
      </w:r>
      <w:r w:rsidRPr="008E5DBF">
        <w:rPr>
          <w:rFonts w:ascii="Verdana" w:hAnsi="Verdana"/>
          <w:b/>
          <w:bCs/>
        </w:rPr>
        <w:t>FAMILIAR – ICBF “CECILIA DE LA FUENTE DE LLERAS”</w:t>
      </w:r>
    </w:p>
    <w:p w14:paraId="3044D672" w14:textId="3186C6B7" w:rsidR="008E5DBF" w:rsidRPr="008E5DBF" w:rsidRDefault="008E5DBF" w:rsidP="008E5DBF">
      <w:pPr>
        <w:jc w:val="center"/>
        <w:rPr>
          <w:rFonts w:ascii="Verdana" w:hAnsi="Verdana"/>
        </w:rPr>
      </w:pPr>
      <w:r w:rsidRPr="008E5DBF">
        <w:rPr>
          <w:rFonts w:ascii="Verdana" w:hAnsi="Verdana"/>
        </w:rPr>
        <w:t>En uso de sus facultades legales y estatutarias y, en especial de las que le confieren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el literal b) del artículo 28 de la Ley 7 de 1979, el artículo 78 de la Ley 489 de 1998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y,</w:t>
      </w:r>
    </w:p>
    <w:p w14:paraId="611995D0" w14:textId="1A82373F" w:rsidR="008E5DBF" w:rsidRDefault="008E5DBF" w:rsidP="008E5DBF">
      <w:pPr>
        <w:jc w:val="center"/>
        <w:rPr>
          <w:rFonts w:ascii="Verdana" w:hAnsi="Verdana"/>
          <w:b/>
          <w:bCs/>
        </w:rPr>
      </w:pPr>
      <w:r w:rsidRPr="008E5DBF">
        <w:rPr>
          <w:rFonts w:ascii="Verdana" w:hAnsi="Verdana"/>
          <w:b/>
          <w:bCs/>
        </w:rPr>
        <w:t>CONSIDERANDO:</w:t>
      </w:r>
    </w:p>
    <w:p w14:paraId="3692778F" w14:textId="127075EF" w:rsidR="008E5DBF" w:rsidRPr="008E5DBF" w:rsidRDefault="008E5DBF" w:rsidP="008E5DBF">
      <w:pPr>
        <w:jc w:val="both"/>
        <w:rPr>
          <w:rFonts w:ascii="Verdana" w:hAnsi="Verdana"/>
        </w:rPr>
      </w:pPr>
      <w:r w:rsidRPr="008E5DBF">
        <w:rPr>
          <w:rFonts w:ascii="Verdana" w:hAnsi="Verdana"/>
        </w:rPr>
        <w:t>Que, el Ministerio de Hacienda y Crédito Público, mediante la expedición del Decreto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1523 de 18 de diciembre de 2024, decretó el Presupuesto de Rentas y Recursos de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Capital y el presupuesto de gastos para la Vigencia Fiscal del 1° de enero al 31 de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diciembre de 2025.</w:t>
      </w:r>
    </w:p>
    <w:p w14:paraId="1573C84F" w14:textId="6C41FEB9" w:rsidR="008E5DBF" w:rsidRPr="008E5DBF" w:rsidRDefault="008E5DBF" w:rsidP="008E5DBF">
      <w:pPr>
        <w:jc w:val="both"/>
        <w:rPr>
          <w:rFonts w:ascii="Verdana" w:hAnsi="Verdana"/>
        </w:rPr>
      </w:pPr>
      <w:r w:rsidRPr="008E5DBF">
        <w:rPr>
          <w:rFonts w:ascii="Verdana" w:hAnsi="Verdana"/>
        </w:rPr>
        <w:t>Que, aunado a lo anterior, y mediante Decreto 1621 del 30 de diciembre de 2024, el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Gobierno Nacional, liquidó el Presupuesto General de la Nación para la Vigencia Fiscal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2025, detallando las apropiaciones, clasificando y definiendo los gastos. Este Decreto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incluye el Presupuesto del Instituto Colombiano de Bienestar Familiar -ICBF para la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Vigencia Fiscal 2025.</w:t>
      </w:r>
    </w:p>
    <w:p w14:paraId="3199A93A" w14:textId="60B7B65D" w:rsidR="008E5DBF" w:rsidRPr="008E5DBF" w:rsidRDefault="008E5DBF" w:rsidP="008E5DBF">
      <w:pPr>
        <w:jc w:val="both"/>
        <w:rPr>
          <w:rFonts w:ascii="Verdana" w:hAnsi="Verdana"/>
        </w:rPr>
      </w:pPr>
      <w:r w:rsidRPr="008E5DBF">
        <w:rPr>
          <w:rFonts w:ascii="Verdana" w:hAnsi="Verdana"/>
        </w:rPr>
        <w:t>Que, mediante Resolución 0042 del 20 de diciembre de 2019, modificada por la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Resolución 0003 del 5 de febrero de 2021, la Dirección General de Presupuesto Público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Nacional - DGPPN estableció la desagregación de los rubros presupuestales de gastos,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del nuevo Catálogo de Clasificación Presupuestal para la gestión presupuestal por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objeto de gasto y dictó otras disposiciones para su administración.</w:t>
      </w:r>
    </w:p>
    <w:p w14:paraId="326BCCE9" w14:textId="617114B5" w:rsidR="008E5DBF" w:rsidRPr="008E5DBF" w:rsidRDefault="008E5DBF" w:rsidP="008E5DBF">
      <w:pPr>
        <w:jc w:val="both"/>
        <w:rPr>
          <w:rFonts w:ascii="Verdana" w:hAnsi="Verdana"/>
        </w:rPr>
      </w:pPr>
      <w:r w:rsidRPr="008E5DBF">
        <w:rPr>
          <w:rFonts w:ascii="Verdana" w:hAnsi="Verdana"/>
        </w:rPr>
        <w:lastRenderedPageBreak/>
        <w:t>Que, conforme a lo previsto en el artículo 2.9.1.2.7 del Decreto 1068 de 2015, las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entidades públicas deben desagregar el presupuesto al máximo nivel de detalle,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debiendo hacerse conforme el Catálogo de Clasificación Presupuestal:</w:t>
      </w:r>
    </w:p>
    <w:p w14:paraId="56CD2466" w14:textId="5F4416D3" w:rsidR="008E5DBF" w:rsidRPr="008E5DBF" w:rsidRDefault="008E5DBF" w:rsidP="008E5DBF">
      <w:pPr>
        <w:jc w:val="both"/>
        <w:rPr>
          <w:rFonts w:ascii="Verdana" w:hAnsi="Verdana"/>
        </w:rPr>
      </w:pPr>
      <w:r w:rsidRPr="008E5DBF">
        <w:rPr>
          <w:rFonts w:ascii="Verdana" w:hAnsi="Verdana"/>
        </w:rPr>
        <w:t>“(…) con el fin de vincular la gestión presupuestal de los ingresos y de los gastos a la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gestión contable, las entidades usuarias del SIIF Nación deberán desagregar el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presupuesto al máximo nivel de detalle del Catálogo de Clasificación Presupuestal CCP,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establecido por la Dirección General del Presupuesto Público Nacional (…)”.</w:t>
      </w:r>
    </w:p>
    <w:p w14:paraId="66C50263" w14:textId="08481D89" w:rsidR="008E5DBF" w:rsidRPr="008E5DBF" w:rsidRDefault="008E5DBF" w:rsidP="008E5DBF">
      <w:pPr>
        <w:jc w:val="both"/>
        <w:rPr>
          <w:rFonts w:ascii="Verdana" w:hAnsi="Verdana"/>
        </w:rPr>
      </w:pPr>
      <w:r w:rsidRPr="008E5DBF">
        <w:rPr>
          <w:rFonts w:ascii="Verdana" w:hAnsi="Verdana"/>
        </w:rPr>
        <w:t>Que, de conformidad con lo dispuesto en el Decreto 1621 del 30 de diciembre de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2024, el presupuesto de ingresos y gastos del ICBF se asigna de manera centralizada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en la Unidad Ejecutora y es registrado en el Sistema Integrado de Información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Financiera –SIIF Nación, para la vigencia fiscal 2025.</w:t>
      </w:r>
    </w:p>
    <w:p w14:paraId="56803C00" w14:textId="6849DF94" w:rsidR="008E5DBF" w:rsidRPr="008E5DBF" w:rsidRDefault="008E5DBF" w:rsidP="008E5DBF">
      <w:pPr>
        <w:jc w:val="both"/>
        <w:rPr>
          <w:rFonts w:ascii="Verdana" w:hAnsi="Verdana"/>
        </w:rPr>
      </w:pPr>
      <w:r w:rsidRPr="008E5DBF">
        <w:rPr>
          <w:rFonts w:ascii="Verdana" w:hAnsi="Verdana"/>
        </w:rPr>
        <w:t>Que, en virtud de lo anterior, mediante Resolución 6432 del 31 de diciembre del 2024,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se consolidó el presupuesto de ingresos y se desagregó, distribuyó, asignó y comunicó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la asignación del presupuesto de Gastos del Instituto Colombiano de Bienestar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Familiar a Nivel de la Unidad Ejecutora, Sedes Regionales y Sede de la Dirección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General, para la Vigencia fiscal del año 2025.</w:t>
      </w:r>
    </w:p>
    <w:p w14:paraId="3B28E09A" w14:textId="16502827" w:rsidR="008E5DBF" w:rsidRPr="008E5DBF" w:rsidRDefault="008E5DBF" w:rsidP="008E5DBF">
      <w:pPr>
        <w:jc w:val="both"/>
        <w:rPr>
          <w:rFonts w:ascii="Verdana" w:hAnsi="Verdana"/>
        </w:rPr>
      </w:pPr>
      <w:r w:rsidRPr="008E5DBF">
        <w:rPr>
          <w:rFonts w:ascii="Verdana" w:hAnsi="Verdana"/>
        </w:rPr>
        <w:t>Que, en el artículo 1 de la referida Resolución por error involuntario se tomaron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valores errados generando diferencia de UN PESO ($1) M/CTE en el total del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presupuesto de ingresos.</w:t>
      </w:r>
    </w:p>
    <w:p w14:paraId="4A29234A" w14:textId="4114A4E7" w:rsidR="008E5DBF" w:rsidRPr="008E5DBF" w:rsidRDefault="008E5DBF" w:rsidP="008E5DBF">
      <w:pPr>
        <w:jc w:val="both"/>
        <w:rPr>
          <w:rFonts w:ascii="Verdana" w:hAnsi="Verdana"/>
        </w:rPr>
      </w:pPr>
      <w:r w:rsidRPr="008E5DBF">
        <w:rPr>
          <w:rFonts w:ascii="Verdana" w:hAnsi="Verdana"/>
        </w:rPr>
        <w:t>Que, por su parte, en el artículo segundo de la referida Resolución se tomaron valores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errados generando diferencia de UN PESO ($1) M/CTE en el total del presupuesto de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gastos, así como diferencias en algunos rubros presupuestales respecto del valor de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la apropiación y el nombre del identificador presupuestal.</w:t>
      </w:r>
    </w:p>
    <w:p w14:paraId="399513BD" w14:textId="3B466D09" w:rsidR="008E5DBF" w:rsidRPr="008E5DBF" w:rsidRDefault="008E5DBF" w:rsidP="008E5DBF">
      <w:pPr>
        <w:jc w:val="both"/>
        <w:rPr>
          <w:rFonts w:ascii="Verdana" w:hAnsi="Verdana"/>
        </w:rPr>
      </w:pPr>
      <w:r w:rsidRPr="008E5DBF">
        <w:rPr>
          <w:rFonts w:ascii="Verdana" w:hAnsi="Verdana"/>
        </w:rPr>
        <w:t>Que, acorde a lo previsto en el artículo 45 del código de Procedimiento Administrativo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y de lo Contencioso Administrativo:</w:t>
      </w:r>
    </w:p>
    <w:p w14:paraId="46315266" w14:textId="3CE3F688" w:rsidR="008E5DBF" w:rsidRPr="008E5DBF" w:rsidRDefault="008E5DBF" w:rsidP="008E5DBF">
      <w:pPr>
        <w:jc w:val="both"/>
        <w:rPr>
          <w:rFonts w:ascii="Verdana" w:hAnsi="Verdana"/>
        </w:rPr>
      </w:pPr>
      <w:r w:rsidRPr="008E5DBF">
        <w:rPr>
          <w:rFonts w:ascii="Verdana" w:hAnsi="Verdana"/>
        </w:rPr>
        <w:t>“(…) En cualquier tiempo, de oficio o a petición de parte, se podrán corregir los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errores simplemente formales contenidos en los actos administrativos, ya sean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aritméticos, de digitación, de transcripción o de omisión de palabras. En ningún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caso la corrección dará lugar a cambios en el sentido materia de la decisión, ni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revivirá los términos legales para demandar el acto. Realizada la corrección,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esta deberá ser notificada o comunicada a todos los interesados, según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corresponda”.</w:t>
      </w:r>
    </w:p>
    <w:p w14:paraId="6D66E6EF" w14:textId="41EC98EB" w:rsidR="008E5DBF" w:rsidRPr="008E5DBF" w:rsidRDefault="008E5DBF" w:rsidP="008E5DBF">
      <w:pPr>
        <w:jc w:val="both"/>
        <w:rPr>
          <w:rFonts w:ascii="Verdana" w:hAnsi="Verdana"/>
        </w:rPr>
      </w:pPr>
      <w:r w:rsidRPr="008E5DBF">
        <w:rPr>
          <w:rFonts w:ascii="Verdana" w:hAnsi="Verdana"/>
        </w:rPr>
        <w:t>Que, conforme a lo descrito, se hace necesario: i) corregir del artículo primero de la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Resolución 6432 del 31 de diciembre del 2024, en el sentido de corregir el valor total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 xml:space="preserve">del presupuesto de ingresos y; </w:t>
      </w:r>
      <w:proofErr w:type="spellStart"/>
      <w:r w:rsidRPr="008E5DBF">
        <w:rPr>
          <w:rFonts w:ascii="Verdana" w:hAnsi="Verdana"/>
        </w:rPr>
        <w:t>ii</w:t>
      </w:r>
      <w:proofErr w:type="spellEnd"/>
      <w:r w:rsidRPr="008E5DBF">
        <w:rPr>
          <w:rFonts w:ascii="Verdana" w:hAnsi="Verdana"/>
        </w:rPr>
        <w:t>) de igual manera, en el artículo segundo de la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Resolución 6432 del 31 de diciembre del 2024, corregir el valor total del presupuesto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gastos y en la desagregación de algunos rubros presupuestales complementar el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nombre del identificador presupuestal y precisar el valor total de la apropiación.</w:t>
      </w:r>
    </w:p>
    <w:p w14:paraId="1FB65763" w14:textId="77777777" w:rsidR="008E5DBF" w:rsidRPr="008E5DBF" w:rsidRDefault="008E5DBF" w:rsidP="008E5DBF">
      <w:pPr>
        <w:jc w:val="both"/>
        <w:rPr>
          <w:rFonts w:ascii="Verdana" w:hAnsi="Verdana"/>
        </w:rPr>
      </w:pPr>
      <w:r w:rsidRPr="008E5DBF">
        <w:rPr>
          <w:rFonts w:ascii="Verdana" w:hAnsi="Verdana"/>
        </w:rPr>
        <w:t>En mérito de lo expuesto,</w:t>
      </w:r>
    </w:p>
    <w:p w14:paraId="31432E7B" w14:textId="77777777" w:rsidR="008E5DBF" w:rsidRPr="008E5DBF" w:rsidRDefault="008E5DBF" w:rsidP="008E5DBF">
      <w:pPr>
        <w:jc w:val="center"/>
        <w:rPr>
          <w:rFonts w:ascii="Verdana" w:hAnsi="Verdana"/>
          <w:b/>
          <w:bCs/>
        </w:rPr>
      </w:pPr>
      <w:r w:rsidRPr="008E5DBF">
        <w:rPr>
          <w:rFonts w:ascii="Verdana" w:hAnsi="Verdana"/>
          <w:b/>
          <w:bCs/>
        </w:rPr>
        <w:lastRenderedPageBreak/>
        <w:t>RESUELVE:</w:t>
      </w:r>
    </w:p>
    <w:p w14:paraId="339E03F2" w14:textId="565EA4A9" w:rsidR="008E5DBF" w:rsidRPr="008E5DBF" w:rsidRDefault="008E5DBF" w:rsidP="008E5DBF">
      <w:pPr>
        <w:jc w:val="both"/>
        <w:rPr>
          <w:rFonts w:ascii="Verdana" w:hAnsi="Verdana"/>
        </w:rPr>
      </w:pPr>
      <w:r w:rsidRPr="008E5DBF">
        <w:rPr>
          <w:rFonts w:ascii="Verdana" w:hAnsi="Verdana"/>
          <w:b/>
          <w:bCs/>
        </w:rPr>
        <w:t xml:space="preserve">ARTÍCULO </w:t>
      </w:r>
      <w:r w:rsidRPr="008E5DBF">
        <w:rPr>
          <w:rFonts w:ascii="Verdana" w:hAnsi="Verdana"/>
          <w:b/>
          <w:bCs/>
        </w:rPr>
        <w:t>1o</w:t>
      </w:r>
      <w:r w:rsidRPr="008E5DBF">
        <w:rPr>
          <w:rFonts w:ascii="Verdana" w:hAnsi="Verdana"/>
          <w:b/>
          <w:bCs/>
        </w:rPr>
        <w:t>. CORREGIR</w:t>
      </w:r>
      <w:r w:rsidRPr="008E5DBF">
        <w:rPr>
          <w:rFonts w:ascii="Verdana" w:hAnsi="Verdana"/>
        </w:rPr>
        <w:t xml:space="preserve"> el artículo 1 de la Resolución 6432 de 31 de</w:t>
      </w:r>
      <w:r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diciembre de 2024, el cual quedará de la siguiente forma:</w:t>
      </w:r>
    </w:p>
    <w:p w14:paraId="108E1A6C" w14:textId="3B44D854" w:rsidR="008E5DBF" w:rsidRDefault="008E5DBF" w:rsidP="009468FA">
      <w:pPr>
        <w:jc w:val="both"/>
        <w:rPr>
          <w:rFonts w:ascii="Verdana" w:hAnsi="Verdana"/>
        </w:rPr>
      </w:pPr>
      <w:r w:rsidRPr="008E5DBF">
        <w:rPr>
          <w:rFonts w:ascii="Verdana" w:hAnsi="Verdana"/>
        </w:rPr>
        <w:t>“</w:t>
      </w:r>
      <w:r w:rsidRPr="009468FA">
        <w:rPr>
          <w:rFonts w:ascii="Verdana" w:hAnsi="Verdana"/>
          <w:b/>
          <w:bCs/>
        </w:rPr>
        <w:t xml:space="preserve">ARTÍCULO </w:t>
      </w:r>
      <w:r w:rsidR="009468FA" w:rsidRPr="009468FA">
        <w:rPr>
          <w:rFonts w:ascii="Verdana" w:hAnsi="Verdana"/>
          <w:b/>
          <w:bCs/>
        </w:rPr>
        <w:t>1o</w:t>
      </w:r>
      <w:r w:rsidRPr="009468FA">
        <w:rPr>
          <w:rFonts w:ascii="Verdana" w:hAnsi="Verdana"/>
          <w:b/>
          <w:bCs/>
        </w:rPr>
        <w:t>. CONSOLIDACIÓN DEL PRESUPUESTO DE</w:t>
      </w:r>
      <w:r w:rsidR="009468FA" w:rsidRPr="009468FA">
        <w:rPr>
          <w:rFonts w:ascii="Verdana" w:hAnsi="Verdana"/>
          <w:b/>
          <w:bCs/>
        </w:rPr>
        <w:t xml:space="preserve"> </w:t>
      </w:r>
      <w:r w:rsidRPr="009468FA">
        <w:rPr>
          <w:rFonts w:ascii="Verdana" w:hAnsi="Verdana"/>
          <w:b/>
          <w:bCs/>
        </w:rPr>
        <w:t xml:space="preserve">INGRESOS: </w:t>
      </w:r>
      <w:r w:rsidRPr="008E5DBF">
        <w:rPr>
          <w:rFonts w:ascii="Verdana" w:hAnsi="Verdana"/>
        </w:rPr>
        <w:t>El Presupuesto de Ingresos asignado al Instituto Colombiano de</w:t>
      </w:r>
      <w:r w:rsidR="009468FA">
        <w:rPr>
          <w:rFonts w:ascii="Verdana" w:hAnsi="Verdana"/>
        </w:rPr>
        <w:t xml:space="preserve"> </w:t>
      </w:r>
      <w:r w:rsidRPr="008E5DBF">
        <w:rPr>
          <w:rFonts w:ascii="Verdana" w:hAnsi="Verdana"/>
        </w:rPr>
        <w:t>Bienestar Familiar, para la vigencia 2025, asciende a la suma de: DIEZ</w:t>
      </w:r>
      <w:r w:rsidR="009468FA">
        <w:rPr>
          <w:rFonts w:ascii="Verdana" w:hAnsi="Verdana"/>
        </w:rPr>
        <w:t xml:space="preserve"> </w:t>
      </w:r>
      <w:r w:rsidR="009468FA" w:rsidRPr="009468FA">
        <w:rPr>
          <w:rFonts w:ascii="Verdana" w:hAnsi="Verdana"/>
        </w:rPr>
        <w:t>BILLONES SEISCIENTOS NOVENTA MIL SETECIENTOS CINCUENTA Y</w:t>
      </w:r>
      <w:r w:rsidR="009468FA">
        <w:rPr>
          <w:rFonts w:ascii="Verdana" w:hAnsi="Verdana"/>
        </w:rPr>
        <w:t xml:space="preserve"> </w:t>
      </w:r>
      <w:r w:rsidR="009468FA" w:rsidRPr="009468FA">
        <w:rPr>
          <w:rFonts w:ascii="Verdana" w:hAnsi="Verdana"/>
        </w:rPr>
        <w:t>NUEVE MILLONES SETECIENTOS DOCE MIL TRESCIENTOS</w:t>
      </w:r>
      <w:r w:rsidR="009468FA">
        <w:rPr>
          <w:rFonts w:ascii="Verdana" w:hAnsi="Verdana"/>
        </w:rPr>
        <w:t xml:space="preserve"> </w:t>
      </w:r>
      <w:r w:rsidR="009468FA" w:rsidRPr="009468FA">
        <w:rPr>
          <w:rFonts w:ascii="Verdana" w:hAnsi="Verdana"/>
        </w:rPr>
        <w:t>VEINTICINCO PESOS M/CTE ($10.690.759.712.325) el cual se recaudará</w:t>
      </w:r>
      <w:r w:rsidR="009468FA">
        <w:rPr>
          <w:rFonts w:ascii="Verdana" w:hAnsi="Verdana"/>
        </w:rPr>
        <w:t xml:space="preserve"> </w:t>
      </w:r>
      <w:r w:rsidR="009468FA" w:rsidRPr="009468FA">
        <w:rPr>
          <w:rFonts w:ascii="Verdana" w:hAnsi="Verdana"/>
        </w:rPr>
        <w:t>en las Unidades Ejecutoras y en el Nivel Nacional, y su registro y control</w:t>
      </w:r>
      <w:r w:rsidR="009468FA">
        <w:rPr>
          <w:rFonts w:ascii="Verdana" w:hAnsi="Verdana"/>
        </w:rPr>
        <w:t xml:space="preserve"> </w:t>
      </w:r>
      <w:r w:rsidR="009468FA" w:rsidRPr="009468FA">
        <w:rPr>
          <w:rFonts w:ascii="Verdana" w:hAnsi="Verdana"/>
        </w:rPr>
        <w:t>presupuestal se realiza en forma consolidada en el Nivel Nacional.</w:t>
      </w:r>
    </w:p>
    <w:p w14:paraId="3E44DC16" w14:textId="77777777" w:rsidR="009468FA" w:rsidRDefault="009468FA" w:rsidP="009468FA">
      <w:pPr>
        <w:jc w:val="center"/>
        <w:rPr>
          <w:rFonts w:ascii="Verdana" w:hAnsi="Verdana"/>
          <w:b/>
          <w:bCs/>
        </w:rPr>
      </w:pPr>
      <w:r w:rsidRPr="009468FA">
        <w:rPr>
          <w:rFonts w:ascii="Verdana" w:hAnsi="Verdana"/>
          <w:b/>
          <w:bCs/>
        </w:rPr>
        <w:t>Tabla numero 1</w:t>
      </w:r>
      <w:r>
        <w:rPr>
          <w:rFonts w:ascii="Verdana" w:hAnsi="Verdana"/>
          <w:b/>
          <w:bCs/>
        </w:rPr>
        <w:t xml:space="preserve"> </w:t>
      </w:r>
    </w:p>
    <w:p w14:paraId="5B2BD360" w14:textId="431454DB" w:rsidR="009468FA" w:rsidRDefault="009468FA" w:rsidP="009468FA">
      <w:pPr>
        <w:jc w:val="center"/>
        <w:rPr>
          <w:rFonts w:ascii="Verdana" w:hAnsi="Verdana"/>
        </w:rPr>
      </w:pPr>
      <w:r w:rsidRPr="009468FA">
        <w:rPr>
          <w:rFonts w:ascii="Verdana" w:hAnsi="Verdana"/>
        </w:rPr>
        <w:t>Ingresos del Instituto Colombiano de Bienestar Familiar -ICBF-, establecidos en el Decreto 1621 de 2024.</w:t>
      </w:r>
    </w:p>
    <w:tbl>
      <w:tblPr>
        <w:tblStyle w:val="Tablaconcuadrcula"/>
        <w:tblW w:w="9832" w:type="dxa"/>
        <w:tblLook w:val="04A0" w:firstRow="1" w:lastRow="0" w:firstColumn="1" w:lastColumn="0" w:noHBand="0" w:noVBand="1"/>
      </w:tblPr>
      <w:tblGrid>
        <w:gridCol w:w="2322"/>
        <w:gridCol w:w="3530"/>
        <w:gridCol w:w="3980"/>
      </w:tblGrid>
      <w:tr w:rsidR="008B721E" w:rsidRPr="008B721E" w14:paraId="58E66959" w14:textId="77777777" w:rsidTr="008B721E">
        <w:trPr>
          <w:trHeight w:val="172"/>
        </w:trPr>
        <w:tc>
          <w:tcPr>
            <w:tcW w:w="2322" w:type="dxa"/>
            <w:hideMark/>
          </w:tcPr>
          <w:p w14:paraId="6B6EEA6A" w14:textId="77777777" w:rsidR="008B721E" w:rsidRPr="008B721E" w:rsidRDefault="008B721E" w:rsidP="008B721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721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Rubro </w:t>
            </w:r>
          </w:p>
        </w:tc>
        <w:tc>
          <w:tcPr>
            <w:tcW w:w="3530" w:type="dxa"/>
            <w:hideMark/>
          </w:tcPr>
          <w:p w14:paraId="1923CEFC" w14:textId="77777777" w:rsidR="008B721E" w:rsidRPr="008B721E" w:rsidRDefault="008B721E" w:rsidP="008B721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721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Descripción </w:t>
            </w:r>
          </w:p>
        </w:tc>
        <w:tc>
          <w:tcPr>
            <w:tcW w:w="3980" w:type="dxa"/>
            <w:hideMark/>
          </w:tcPr>
          <w:p w14:paraId="0DC8515F" w14:textId="77777777" w:rsidR="008B721E" w:rsidRPr="008B721E" w:rsidRDefault="008B721E" w:rsidP="008B721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721E">
              <w:rPr>
                <w:rFonts w:ascii="Calibri" w:eastAsia="Times New Roman" w:hAnsi="Calibri" w:cs="Calibri"/>
                <w:color w:val="000000"/>
                <w:lang w:eastAsia="es-CO"/>
              </w:rPr>
              <w:t>Valor</w:t>
            </w:r>
          </w:p>
        </w:tc>
      </w:tr>
      <w:tr w:rsidR="008B721E" w:rsidRPr="008B721E" w14:paraId="7F9AD421" w14:textId="77777777" w:rsidTr="008B721E">
        <w:trPr>
          <w:trHeight w:val="518"/>
        </w:trPr>
        <w:tc>
          <w:tcPr>
            <w:tcW w:w="2322" w:type="dxa"/>
            <w:hideMark/>
          </w:tcPr>
          <w:p w14:paraId="1A64723F" w14:textId="77777777" w:rsidR="008B721E" w:rsidRPr="008B721E" w:rsidRDefault="008B721E" w:rsidP="008B721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721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1-0-00-1 </w:t>
            </w:r>
          </w:p>
        </w:tc>
        <w:tc>
          <w:tcPr>
            <w:tcW w:w="3530" w:type="dxa"/>
            <w:hideMark/>
          </w:tcPr>
          <w:p w14:paraId="1A7F987B" w14:textId="77777777" w:rsidR="008B721E" w:rsidRPr="008B721E" w:rsidRDefault="008B721E" w:rsidP="008B721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721E">
              <w:rPr>
                <w:rFonts w:ascii="Calibri" w:eastAsia="Times New Roman" w:hAnsi="Calibri" w:cs="Calibri"/>
                <w:color w:val="000000"/>
                <w:lang w:eastAsia="es-CO"/>
              </w:rPr>
              <w:t>Otros recursos del tesoro</w:t>
            </w:r>
          </w:p>
        </w:tc>
        <w:tc>
          <w:tcPr>
            <w:tcW w:w="3980" w:type="dxa"/>
            <w:hideMark/>
          </w:tcPr>
          <w:p w14:paraId="2C096600" w14:textId="77777777" w:rsidR="008B721E" w:rsidRPr="008B721E" w:rsidRDefault="008B721E" w:rsidP="008B721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721E">
              <w:rPr>
                <w:rFonts w:ascii="Calibri" w:eastAsia="Times New Roman" w:hAnsi="Calibri" w:cs="Calibri"/>
                <w:color w:val="000000"/>
                <w:lang w:eastAsia="es-CO"/>
              </w:rPr>
              <w:t>$ 6.100.578.251.738</w:t>
            </w:r>
          </w:p>
        </w:tc>
      </w:tr>
      <w:tr w:rsidR="008B721E" w:rsidRPr="008B721E" w14:paraId="4E7F1DF1" w14:textId="77777777" w:rsidTr="008B721E">
        <w:trPr>
          <w:trHeight w:val="345"/>
        </w:trPr>
        <w:tc>
          <w:tcPr>
            <w:tcW w:w="2322" w:type="dxa"/>
            <w:hideMark/>
          </w:tcPr>
          <w:p w14:paraId="71C8F6CA" w14:textId="77777777" w:rsidR="008B721E" w:rsidRPr="008B721E" w:rsidRDefault="008B721E" w:rsidP="008B721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721E">
              <w:rPr>
                <w:rFonts w:ascii="Calibri" w:eastAsia="Times New Roman" w:hAnsi="Calibri" w:cs="Calibri"/>
                <w:color w:val="000000"/>
                <w:lang w:eastAsia="es-CO"/>
              </w:rPr>
              <w:t>3-1-01-1</w:t>
            </w:r>
          </w:p>
        </w:tc>
        <w:tc>
          <w:tcPr>
            <w:tcW w:w="3530" w:type="dxa"/>
            <w:hideMark/>
          </w:tcPr>
          <w:p w14:paraId="45B08683" w14:textId="77777777" w:rsidR="008B721E" w:rsidRPr="008B721E" w:rsidRDefault="008B721E" w:rsidP="008B721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721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Ingresos corrientes </w:t>
            </w:r>
          </w:p>
        </w:tc>
        <w:tc>
          <w:tcPr>
            <w:tcW w:w="3980" w:type="dxa"/>
            <w:hideMark/>
          </w:tcPr>
          <w:p w14:paraId="2025356B" w14:textId="77777777" w:rsidR="008B721E" w:rsidRPr="008B721E" w:rsidRDefault="008B721E" w:rsidP="008B721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721E">
              <w:rPr>
                <w:rFonts w:ascii="Calibri" w:eastAsia="Times New Roman" w:hAnsi="Calibri" w:cs="Calibri"/>
                <w:color w:val="000000"/>
                <w:lang w:eastAsia="es-CO"/>
              </w:rPr>
              <w:t>$ 71.150.591.294</w:t>
            </w:r>
          </w:p>
        </w:tc>
      </w:tr>
      <w:tr w:rsidR="008B721E" w:rsidRPr="008B721E" w14:paraId="40DDE8DF" w14:textId="77777777" w:rsidTr="008B721E">
        <w:trPr>
          <w:trHeight w:val="345"/>
        </w:trPr>
        <w:tc>
          <w:tcPr>
            <w:tcW w:w="2322" w:type="dxa"/>
            <w:hideMark/>
          </w:tcPr>
          <w:p w14:paraId="7DAC78BE" w14:textId="77777777" w:rsidR="008B721E" w:rsidRPr="008B721E" w:rsidRDefault="008B721E" w:rsidP="008B721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721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3-1-01-2 </w:t>
            </w:r>
          </w:p>
        </w:tc>
        <w:tc>
          <w:tcPr>
            <w:tcW w:w="3530" w:type="dxa"/>
            <w:hideMark/>
          </w:tcPr>
          <w:p w14:paraId="5CA11B31" w14:textId="77777777" w:rsidR="008B721E" w:rsidRPr="008B721E" w:rsidRDefault="008B721E" w:rsidP="008B721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721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Recursos de capital </w:t>
            </w:r>
          </w:p>
        </w:tc>
        <w:tc>
          <w:tcPr>
            <w:tcW w:w="3980" w:type="dxa"/>
            <w:hideMark/>
          </w:tcPr>
          <w:p w14:paraId="2B9CFE8B" w14:textId="77777777" w:rsidR="008B721E" w:rsidRPr="008B721E" w:rsidRDefault="008B721E" w:rsidP="008B721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721E">
              <w:rPr>
                <w:rFonts w:ascii="Calibri" w:eastAsia="Times New Roman" w:hAnsi="Calibri" w:cs="Calibri"/>
                <w:color w:val="000000"/>
                <w:lang w:eastAsia="es-CO"/>
              </w:rPr>
              <w:t>$ 266.007.644.540</w:t>
            </w:r>
          </w:p>
        </w:tc>
      </w:tr>
      <w:tr w:rsidR="008B721E" w:rsidRPr="008B721E" w14:paraId="3276AB74" w14:textId="77777777" w:rsidTr="008B721E">
        <w:trPr>
          <w:trHeight w:val="864"/>
        </w:trPr>
        <w:tc>
          <w:tcPr>
            <w:tcW w:w="2322" w:type="dxa"/>
            <w:hideMark/>
          </w:tcPr>
          <w:p w14:paraId="1C3B8CB4" w14:textId="77777777" w:rsidR="008B721E" w:rsidRPr="008B721E" w:rsidRDefault="008B721E" w:rsidP="008B721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721E">
              <w:rPr>
                <w:rFonts w:ascii="Calibri" w:eastAsia="Times New Roman" w:hAnsi="Calibri" w:cs="Calibri"/>
                <w:color w:val="000000"/>
                <w:lang w:eastAsia="es-CO"/>
              </w:rPr>
              <w:t>3/02/2010</w:t>
            </w:r>
          </w:p>
        </w:tc>
        <w:tc>
          <w:tcPr>
            <w:tcW w:w="3530" w:type="dxa"/>
            <w:hideMark/>
          </w:tcPr>
          <w:p w14:paraId="33919920" w14:textId="77777777" w:rsidR="008B721E" w:rsidRPr="008B721E" w:rsidRDefault="008B721E" w:rsidP="008B721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721E">
              <w:rPr>
                <w:rFonts w:ascii="Calibri" w:eastAsia="Times New Roman" w:hAnsi="Calibri" w:cs="Calibri"/>
                <w:color w:val="000000"/>
                <w:lang w:eastAsia="es-CO"/>
              </w:rPr>
              <w:t>Fondo contra la explotación sexual de menores</w:t>
            </w:r>
          </w:p>
        </w:tc>
        <w:tc>
          <w:tcPr>
            <w:tcW w:w="3980" w:type="dxa"/>
            <w:hideMark/>
          </w:tcPr>
          <w:p w14:paraId="73AC4241" w14:textId="77777777" w:rsidR="008B721E" w:rsidRPr="008B721E" w:rsidRDefault="008B721E" w:rsidP="008B721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721E">
              <w:rPr>
                <w:rFonts w:ascii="Calibri" w:eastAsia="Times New Roman" w:hAnsi="Calibri" w:cs="Calibri"/>
                <w:color w:val="000000"/>
                <w:lang w:eastAsia="es-CO"/>
              </w:rPr>
              <w:t>$ 22.768.049.174</w:t>
            </w:r>
          </w:p>
        </w:tc>
      </w:tr>
      <w:tr w:rsidR="008B721E" w:rsidRPr="008B721E" w14:paraId="52C347D9" w14:textId="77777777" w:rsidTr="008B721E">
        <w:trPr>
          <w:trHeight w:val="1209"/>
        </w:trPr>
        <w:tc>
          <w:tcPr>
            <w:tcW w:w="2322" w:type="dxa"/>
            <w:hideMark/>
          </w:tcPr>
          <w:p w14:paraId="0D9C5417" w14:textId="77777777" w:rsidR="008B721E" w:rsidRPr="008B721E" w:rsidRDefault="008B721E" w:rsidP="008B721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721E">
              <w:rPr>
                <w:rFonts w:ascii="Calibri" w:eastAsia="Times New Roman" w:hAnsi="Calibri" w:cs="Calibri"/>
                <w:color w:val="000000"/>
                <w:lang w:eastAsia="es-CO"/>
              </w:rPr>
              <w:t>3/03/2001</w:t>
            </w:r>
          </w:p>
        </w:tc>
        <w:tc>
          <w:tcPr>
            <w:tcW w:w="3530" w:type="dxa"/>
            <w:hideMark/>
          </w:tcPr>
          <w:p w14:paraId="4152ACC1" w14:textId="77777777" w:rsidR="008B721E" w:rsidRPr="008B721E" w:rsidRDefault="008B721E" w:rsidP="008B721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721E">
              <w:rPr>
                <w:rFonts w:ascii="Calibri" w:eastAsia="Times New Roman" w:hAnsi="Calibri" w:cs="Calibri"/>
                <w:color w:val="000000"/>
                <w:lang w:eastAsia="es-CO"/>
              </w:rPr>
              <w:t>Contribuciones parafiscales de los establecimientos</w:t>
            </w:r>
            <w:r w:rsidRPr="008B721E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públicos</w:t>
            </w:r>
          </w:p>
        </w:tc>
        <w:tc>
          <w:tcPr>
            <w:tcW w:w="3980" w:type="dxa"/>
            <w:hideMark/>
          </w:tcPr>
          <w:p w14:paraId="1BBA3D02" w14:textId="77777777" w:rsidR="008B721E" w:rsidRPr="008B721E" w:rsidRDefault="008B721E" w:rsidP="008B721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721E">
              <w:rPr>
                <w:rFonts w:ascii="Calibri" w:eastAsia="Times New Roman" w:hAnsi="Calibri" w:cs="Calibri"/>
                <w:color w:val="000000"/>
                <w:lang w:eastAsia="es-CO"/>
              </w:rPr>
              <w:t>$ 4.060.162.175.579</w:t>
            </w:r>
          </w:p>
        </w:tc>
      </w:tr>
      <w:tr w:rsidR="008B721E" w:rsidRPr="008B721E" w14:paraId="6EB4F411" w14:textId="77777777" w:rsidTr="008B721E">
        <w:trPr>
          <w:trHeight w:val="1036"/>
        </w:trPr>
        <w:tc>
          <w:tcPr>
            <w:tcW w:w="2322" w:type="dxa"/>
            <w:hideMark/>
          </w:tcPr>
          <w:p w14:paraId="28A82CAC" w14:textId="77777777" w:rsidR="008B721E" w:rsidRPr="008B721E" w:rsidRDefault="008B721E" w:rsidP="008B721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721E">
              <w:rPr>
                <w:rFonts w:ascii="Calibri" w:eastAsia="Times New Roman" w:hAnsi="Calibri" w:cs="Calibri"/>
                <w:color w:val="000000"/>
                <w:lang w:eastAsia="es-CO"/>
              </w:rPr>
              <w:t>6-0-09-1-02-1-03-</w:t>
            </w:r>
            <w:r w:rsidRPr="008B721E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03</w:t>
            </w:r>
          </w:p>
        </w:tc>
        <w:tc>
          <w:tcPr>
            <w:tcW w:w="3530" w:type="dxa"/>
            <w:hideMark/>
          </w:tcPr>
          <w:p w14:paraId="56C677FB" w14:textId="77777777" w:rsidR="008B721E" w:rsidRPr="008B721E" w:rsidRDefault="008B721E" w:rsidP="008B721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721E">
              <w:rPr>
                <w:rFonts w:ascii="Calibri" w:eastAsia="Times New Roman" w:hAnsi="Calibri" w:cs="Calibri"/>
                <w:color w:val="000000"/>
                <w:lang w:eastAsia="es-CO"/>
              </w:rPr>
              <w:t>Recaudo ley 55 de 1985 superintendencia de notariado y</w:t>
            </w:r>
            <w:r w:rsidRPr="008B721E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registro</w:t>
            </w:r>
          </w:p>
        </w:tc>
        <w:tc>
          <w:tcPr>
            <w:tcW w:w="3980" w:type="dxa"/>
            <w:hideMark/>
          </w:tcPr>
          <w:p w14:paraId="16F5CC8D" w14:textId="77777777" w:rsidR="008B721E" w:rsidRPr="008B721E" w:rsidRDefault="008B721E" w:rsidP="008B721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721E">
              <w:rPr>
                <w:rFonts w:ascii="Calibri" w:eastAsia="Times New Roman" w:hAnsi="Calibri" w:cs="Calibri"/>
                <w:color w:val="000000"/>
                <w:lang w:eastAsia="es-CO"/>
              </w:rPr>
              <w:t>$ 170.093.000.000</w:t>
            </w:r>
          </w:p>
        </w:tc>
      </w:tr>
      <w:tr w:rsidR="008B721E" w:rsidRPr="008B721E" w14:paraId="37B7C018" w14:textId="77777777" w:rsidTr="008B721E">
        <w:trPr>
          <w:trHeight w:val="172"/>
        </w:trPr>
        <w:tc>
          <w:tcPr>
            <w:tcW w:w="5852" w:type="dxa"/>
            <w:gridSpan w:val="2"/>
            <w:hideMark/>
          </w:tcPr>
          <w:p w14:paraId="2F042EE2" w14:textId="77777777" w:rsidR="008B721E" w:rsidRPr="008B721E" w:rsidRDefault="008B721E" w:rsidP="008B721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gramStart"/>
            <w:r w:rsidRPr="008B721E">
              <w:rPr>
                <w:rFonts w:ascii="Calibri" w:eastAsia="Times New Roman" w:hAnsi="Calibri" w:cs="Calibri"/>
                <w:color w:val="000000"/>
                <w:lang w:eastAsia="es-CO"/>
              </w:rPr>
              <w:t>Total</w:t>
            </w:r>
            <w:proofErr w:type="gramEnd"/>
            <w:r w:rsidRPr="008B721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Presupuesto Ingresos </w:t>
            </w:r>
          </w:p>
        </w:tc>
        <w:tc>
          <w:tcPr>
            <w:tcW w:w="3980" w:type="dxa"/>
            <w:hideMark/>
          </w:tcPr>
          <w:p w14:paraId="4E874D92" w14:textId="77777777" w:rsidR="008B721E" w:rsidRPr="008B721E" w:rsidRDefault="008B721E" w:rsidP="008B721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721E">
              <w:rPr>
                <w:rFonts w:ascii="Calibri" w:eastAsia="Times New Roman" w:hAnsi="Calibri" w:cs="Calibri"/>
                <w:color w:val="000000"/>
                <w:lang w:eastAsia="es-CO"/>
              </w:rPr>
              <w:t>$ 10.690.759.712.325</w:t>
            </w:r>
          </w:p>
        </w:tc>
      </w:tr>
    </w:tbl>
    <w:p w14:paraId="7E083B15" w14:textId="12AC8412" w:rsidR="008B721E" w:rsidRPr="008B721E" w:rsidRDefault="008B721E" w:rsidP="008B721E">
      <w:pPr>
        <w:jc w:val="both"/>
        <w:rPr>
          <w:rFonts w:ascii="Verdana" w:hAnsi="Verdana"/>
          <w:sz w:val="14"/>
          <w:szCs w:val="14"/>
        </w:rPr>
      </w:pPr>
      <w:r w:rsidRPr="008B721E">
        <w:rPr>
          <w:rFonts w:ascii="Verdana" w:hAnsi="Verdana"/>
          <w:sz w:val="14"/>
          <w:szCs w:val="14"/>
        </w:rPr>
        <w:t>Fuente: Ministerio de Hacienda y Crédito Público 2024.</w:t>
      </w:r>
    </w:p>
    <w:p w14:paraId="323BDE9D" w14:textId="1062CB99" w:rsidR="009468FA" w:rsidRDefault="008B721E" w:rsidP="008B721E">
      <w:pPr>
        <w:rPr>
          <w:rFonts w:ascii="Verdana" w:hAnsi="Verdana"/>
        </w:rPr>
      </w:pPr>
      <w:r w:rsidRPr="008B721E">
        <w:rPr>
          <w:rFonts w:ascii="Verdana" w:hAnsi="Verdana"/>
          <w:b/>
          <w:bCs/>
        </w:rPr>
        <w:t xml:space="preserve">ARTÍCULO </w:t>
      </w:r>
      <w:r w:rsidRPr="008B721E">
        <w:rPr>
          <w:rFonts w:ascii="Verdana" w:hAnsi="Verdana"/>
          <w:b/>
          <w:bCs/>
        </w:rPr>
        <w:t>2o</w:t>
      </w:r>
      <w:r w:rsidRPr="008B721E">
        <w:rPr>
          <w:rFonts w:ascii="Verdana" w:hAnsi="Verdana"/>
          <w:b/>
          <w:bCs/>
        </w:rPr>
        <w:t>. CORREGIR</w:t>
      </w:r>
      <w:r w:rsidRPr="008B721E">
        <w:rPr>
          <w:rFonts w:ascii="Verdana" w:hAnsi="Verdana"/>
        </w:rPr>
        <w:t xml:space="preserve"> el valor del presupuesto contenido en el artículo</w:t>
      </w:r>
      <w:r>
        <w:rPr>
          <w:rFonts w:ascii="Verdana" w:hAnsi="Verdana"/>
        </w:rPr>
        <w:t xml:space="preserve"> </w:t>
      </w:r>
      <w:r w:rsidRPr="008B721E">
        <w:rPr>
          <w:rFonts w:ascii="Verdana" w:hAnsi="Verdana"/>
        </w:rPr>
        <w:t>2 de la Resolución 6432 de 31 de diciembre de 2024, el cual se entenderá que</w:t>
      </w:r>
      <w:r>
        <w:rPr>
          <w:rFonts w:ascii="Verdana" w:hAnsi="Verdana"/>
        </w:rPr>
        <w:t xml:space="preserve"> </w:t>
      </w:r>
      <w:r w:rsidRPr="008B721E">
        <w:rPr>
          <w:rFonts w:ascii="Verdana" w:hAnsi="Verdana"/>
        </w:rPr>
        <w:t>corresponde a la suma de DIEZ BILLONES SEISCIENTOS NOVENTA MIL</w:t>
      </w:r>
      <w:r>
        <w:rPr>
          <w:rFonts w:ascii="Verdana" w:hAnsi="Verdana"/>
        </w:rPr>
        <w:t xml:space="preserve"> </w:t>
      </w:r>
      <w:r w:rsidRPr="008B721E">
        <w:rPr>
          <w:rFonts w:ascii="Verdana" w:hAnsi="Verdana"/>
        </w:rPr>
        <w:t>SETECIENTOS CINCUENTA Y NUEVE MILLONES SETECIENTOS DOCE MIL</w:t>
      </w:r>
      <w:r>
        <w:rPr>
          <w:rFonts w:ascii="Verdana" w:hAnsi="Verdana"/>
        </w:rPr>
        <w:t xml:space="preserve"> </w:t>
      </w:r>
      <w:r w:rsidRPr="008B721E">
        <w:rPr>
          <w:rFonts w:ascii="Verdana" w:hAnsi="Verdana"/>
        </w:rPr>
        <w:t>RESCIENTOS VEINTICINCO PESOS M/CTE ($10.690.759.712.325) y</w:t>
      </w:r>
      <w:r>
        <w:rPr>
          <w:rFonts w:ascii="Verdana" w:hAnsi="Verdana"/>
        </w:rPr>
        <w:t xml:space="preserve"> </w:t>
      </w:r>
      <w:r w:rsidRPr="008B721E">
        <w:rPr>
          <w:rFonts w:ascii="Verdana" w:hAnsi="Verdana"/>
        </w:rPr>
        <w:t>la</w:t>
      </w:r>
      <w:r>
        <w:rPr>
          <w:rFonts w:ascii="Verdana" w:hAnsi="Verdana"/>
        </w:rPr>
        <w:t xml:space="preserve"> </w:t>
      </w:r>
      <w:r w:rsidRPr="008B721E">
        <w:rPr>
          <w:rFonts w:ascii="Verdana" w:hAnsi="Verdana"/>
        </w:rPr>
        <w:t>información registrada en los rubros presupuestales que se detallan a continuación:</w:t>
      </w:r>
    </w:p>
    <w:p w14:paraId="1A734470" w14:textId="71B42C98" w:rsidR="00411E71" w:rsidRPr="00411E71" w:rsidRDefault="00411E71" w:rsidP="00411E71">
      <w:pPr>
        <w:jc w:val="center"/>
        <w:rPr>
          <w:rFonts w:ascii="Verdana" w:hAnsi="Verdana"/>
          <w:b/>
          <w:bCs/>
        </w:rPr>
      </w:pPr>
      <w:r w:rsidRPr="00411E71">
        <w:rPr>
          <w:rFonts w:ascii="Verdana" w:hAnsi="Verdana"/>
          <w:b/>
          <w:bCs/>
        </w:rPr>
        <w:t>Tabla numero 2</w:t>
      </w:r>
    </w:p>
    <w:p w14:paraId="3929775C" w14:textId="281FC885" w:rsidR="008B721E" w:rsidRDefault="00411E71" w:rsidP="00411E71">
      <w:pPr>
        <w:jc w:val="center"/>
        <w:rPr>
          <w:rFonts w:ascii="Verdana" w:hAnsi="Verdana"/>
        </w:rPr>
      </w:pPr>
      <w:r w:rsidRPr="00411E71">
        <w:rPr>
          <w:rFonts w:ascii="Verdana" w:hAnsi="Verdana"/>
        </w:rPr>
        <w:lastRenderedPageBreak/>
        <w:t>Desagregación y asignación de Presupuesto de Gatos del Instituto Colombiano de Bienestar Familiar -ICBF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411E71" w:rsidRPr="00411E71" w14:paraId="57883686" w14:textId="77777777" w:rsidTr="00411E71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3BC3" w14:textId="77777777" w:rsidR="00411E71" w:rsidRPr="00411E71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1E71">
              <w:rPr>
                <w:rFonts w:ascii="Calibri" w:eastAsia="Times New Roman" w:hAnsi="Calibri" w:cs="Calibri"/>
                <w:color w:val="000000"/>
                <w:lang w:eastAsia="es-CO"/>
              </w:rPr>
              <w:t>Gasto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A02D" w14:textId="77777777" w:rsidR="00411E71" w:rsidRPr="00411E71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411E71">
              <w:rPr>
                <w:rFonts w:ascii="Calibri" w:eastAsia="Times New Roman" w:hAnsi="Calibri" w:cs="Calibri"/>
                <w:color w:val="000000"/>
                <w:lang w:eastAsia="es-CO"/>
              </w:rPr>
              <w:t>Rec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AD40" w14:textId="77777777" w:rsidR="00411E71" w:rsidRPr="00411E71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1E71">
              <w:rPr>
                <w:rFonts w:ascii="Calibri" w:eastAsia="Times New Roman" w:hAnsi="Calibri" w:cs="Calibri"/>
                <w:color w:val="000000"/>
                <w:lang w:eastAsia="es-CO"/>
              </w:rPr>
              <w:t>Descripción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2DFE" w14:textId="77777777" w:rsidR="00411E71" w:rsidRPr="00411E71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1E71">
              <w:rPr>
                <w:rFonts w:ascii="Calibri" w:eastAsia="Times New Roman" w:hAnsi="Calibri" w:cs="Calibri"/>
                <w:color w:val="000000"/>
                <w:lang w:eastAsia="es-CO"/>
              </w:rPr>
              <w:t>Apropiación</w:t>
            </w:r>
          </w:p>
        </w:tc>
      </w:tr>
      <w:tr w:rsidR="00411E71" w:rsidRPr="00411E71" w14:paraId="6F657A92" w14:textId="77777777" w:rsidTr="00411E71">
        <w:trPr>
          <w:trHeight w:val="288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96F0" w14:textId="77777777" w:rsidR="00411E71" w:rsidRPr="00411E71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1E71">
              <w:rPr>
                <w:rFonts w:ascii="Calibri" w:eastAsia="Times New Roman" w:hAnsi="Calibri" w:cs="Calibri"/>
                <w:color w:val="000000"/>
                <w:lang w:eastAsia="es-CO"/>
              </w:rPr>
              <w:t>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2A02" w14:textId="77777777" w:rsidR="00411E71" w:rsidRPr="00411E71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1E7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911B" w14:textId="77777777" w:rsidR="00411E71" w:rsidRPr="00411E71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1E71">
              <w:rPr>
                <w:rFonts w:ascii="Calibri" w:eastAsia="Times New Roman" w:hAnsi="Calibri" w:cs="Calibri"/>
                <w:color w:val="000000"/>
                <w:lang w:eastAsia="es-CO"/>
              </w:rPr>
              <w:t>Funcionamiento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6E62" w14:textId="77777777" w:rsidR="00411E71" w:rsidRPr="00411E71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1E71">
              <w:rPr>
                <w:rFonts w:ascii="Calibri" w:eastAsia="Times New Roman" w:hAnsi="Calibri" w:cs="Calibri"/>
                <w:color w:val="000000"/>
                <w:lang w:eastAsia="es-CO"/>
              </w:rPr>
              <w:t>$ 1.151.138.129.543</w:t>
            </w:r>
          </w:p>
        </w:tc>
      </w:tr>
      <w:tr w:rsidR="00411E71" w:rsidRPr="00411E71" w14:paraId="68A335FB" w14:textId="77777777" w:rsidTr="00411E71">
        <w:trPr>
          <w:trHeight w:val="288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2322" w14:textId="77777777" w:rsidR="00411E71" w:rsidRPr="00411E71" w:rsidRDefault="00411E71" w:rsidP="0041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9F01" w14:textId="77777777" w:rsidR="00411E71" w:rsidRPr="00411E71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1E71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A010" w14:textId="77777777" w:rsidR="00411E71" w:rsidRPr="00411E71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1E7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Rentas parafiscales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5037" w14:textId="77777777" w:rsidR="00411E71" w:rsidRPr="00411E71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1E71">
              <w:rPr>
                <w:rFonts w:ascii="Calibri" w:eastAsia="Times New Roman" w:hAnsi="Calibri" w:cs="Calibri"/>
                <w:color w:val="000000"/>
                <w:lang w:eastAsia="es-CO"/>
              </w:rPr>
              <w:t>$ 1.151.138.129.543</w:t>
            </w:r>
          </w:p>
        </w:tc>
      </w:tr>
    </w:tbl>
    <w:p w14:paraId="665C4F2F" w14:textId="71E64906" w:rsidR="00411E71" w:rsidRDefault="00411E71" w:rsidP="00411E71">
      <w:pPr>
        <w:jc w:val="both"/>
        <w:rPr>
          <w:rFonts w:ascii="Verdana" w:hAnsi="Verdana"/>
        </w:rPr>
      </w:pPr>
    </w:p>
    <w:p w14:paraId="2A8C4FE3" w14:textId="4199A4FC" w:rsidR="00411E71" w:rsidRDefault="00411E71" w:rsidP="00411E71">
      <w:pPr>
        <w:jc w:val="both"/>
        <w:rPr>
          <w:rFonts w:ascii="Verdana" w:hAnsi="Verdana"/>
        </w:rPr>
      </w:pPr>
      <w:r w:rsidRPr="00411E71">
        <w:rPr>
          <w:rFonts w:ascii="Verdana" w:hAnsi="Verdana"/>
        </w:rPr>
        <w:t>(…)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95"/>
      </w:tblGrid>
      <w:tr w:rsidR="008B619A" w:rsidRPr="008B619A" w14:paraId="4A54DDB3" w14:textId="77777777" w:rsidTr="008B619A">
        <w:trPr>
          <w:trHeight w:val="288"/>
        </w:trPr>
        <w:tc>
          <w:tcPr>
            <w:tcW w:w="1240" w:type="dxa"/>
            <w:noWrap/>
            <w:hideMark/>
          </w:tcPr>
          <w:p w14:paraId="0D456095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Gasto</w:t>
            </w:r>
          </w:p>
        </w:tc>
        <w:tc>
          <w:tcPr>
            <w:tcW w:w="1240" w:type="dxa"/>
            <w:noWrap/>
            <w:hideMark/>
          </w:tcPr>
          <w:p w14:paraId="3996EF06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proofErr w:type="spellStart"/>
            <w:r w:rsidRPr="008B619A">
              <w:rPr>
                <w:rFonts w:ascii="Verdana" w:hAnsi="Verdana"/>
              </w:rPr>
              <w:t>Rec</w:t>
            </w:r>
            <w:proofErr w:type="spellEnd"/>
          </w:p>
        </w:tc>
        <w:tc>
          <w:tcPr>
            <w:tcW w:w="2020" w:type="dxa"/>
            <w:noWrap/>
            <w:hideMark/>
          </w:tcPr>
          <w:p w14:paraId="6E5C8A2D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Descripción</w:t>
            </w:r>
          </w:p>
        </w:tc>
        <w:tc>
          <w:tcPr>
            <w:tcW w:w="1920" w:type="dxa"/>
            <w:noWrap/>
            <w:hideMark/>
          </w:tcPr>
          <w:p w14:paraId="6F2DC7BF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Apropiación</w:t>
            </w:r>
          </w:p>
        </w:tc>
      </w:tr>
      <w:tr w:rsidR="008B619A" w:rsidRPr="008B619A" w14:paraId="35CDEA42" w14:textId="77777777" w:rsidTr="008B619A">
        <w:trPr>
          <w:trHeight w:val="552"/>
        </w:trPr>
        <w:tc>
          <w:tcPr>
            <w:tcW w:w="1240" w:type="dxa"/>
            <w:vMerge w:val="restart"/>
            <w:hideMark/>
          </w:tcPr>
          <w:p w14:paraId="34CA0AD9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A-02</w:t>
            </w:r>
          </w:p>
        </w:tc>
        <w:tc>
          <w:tcPr>
            <w:tcW w:w="1240" w:type="dxa"/>
            <w:vMerge w:val="restart"/>
            <w:hideMark/>
          </w:tcPr>
          <w:p w14:paraId="460EF31C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27</w:t>
            </w:r>
          </w:p>
        </w:tc>
        <w:tc>
          <w:tcPr>
            <w:tcW w:w="2020" w:type="dxa"/>
            <w:hideMark/>
          </w:tcPr>
          <w:p w14:paraId="46914F90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proofErr w:type="spellStart"/>
            <w:r w:rsidRPr="008B619A">
              <w:rPr>
                <w:rFonts w:ascii="Verdana" w:hAnsi="Verdana"/>
              </w:rPr>
              <w:t>Adquisicion</w:t>
            </w:r>
            <w:proofErr w:type="spellEnd"/>
            <w:r w:rsidRPr="008B619A">
              <w:rPr>
                <w:rFonts w:ascii="Verdana" w:hAnsi="Verdana"/>
              </w:rPr>
              <w:t xml:space="preserve"> de bienes y servicios</w:t>
            </w:r>
          </w:p>
        </w:tc>
        <w:tc>
          <w:tcPr>
            <w:tcW w:w="1920" w:type="dxa"/>
            <w:hideMark/>
          </w:tcPr>
          <w:p w14:paraId="4FA631B6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$ 46.731.961.400</w:t>
            </w:r>
          </w:p>
        </w:tc>
      </w:tr>
      <w:tr w:rsidR="008B619A" w:rsidRPr="008B619A" w14:paraId="7C28D730" w14:textId="77777777" w:rsidTr="008B619A">
        <w:trPr>
          <w:trHeight w:val="288"/>
        </w:trPr>
        <w:tc>
          <w:tcPr>
            <w:tcW w:w="1240" w:type="dxa"/>
            <w:vMerge/>
            <w:hideMark/>
          </w:tcPr>
          <w:p w14:paraId="37A0C955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40" w:type="dxa"/>
            <w:vMerge/>
            <w:hideMark/>
          </w:tcPr>
          <w:p w14:paraId="2E58962D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020" w:type="dxa"/>
            <w:hideMark/>
          </w:tcPr>
          <w:p w14:paraId="1785FD17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Rentas parafiscales</w:t>
            </w:r>
          </w:p>
        </w:tc>
        <w:tc>
          <w:tcPr>
            <w:tcW w:w="1920" w:type="dxa"/>
            <w:hideMark/>
          </w:tcPr>
          <w:p w14:paraId="0A4B0C70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$ 46.731.961.400</w:t>
            </w:r>
          </w:p>
        </w:tc>
      </w:tr>
      <w:tr w:rsidR="008B619A" w:rsidRPr="008B619A" w14:paraId="3A91D64F" w14:textId="77777777" w:rsidTr="008B619A">
        <w:trPr>
          <w:trHeight w:val="828"/>
        </w:trPr>
        <w:tc>
          <w:tcPr>
            <w:tcW w:w="1240" w:type="dxa"/>
            <w:vMerge w:val="restart"/>
            <w:hideMark/>
          </w:tcPr>
          <w:p w14:paraId="45D4369C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A-02-02</w:t>
            </w:r>
          </w:p>
        </w:tc>
        <w:tc>
          <w:tcPr>
            <w:tcW w:w="1240" w:type="dxa"/>
            <w:vMerge w:val="restart"/>
            <w:hideMark/>
          </w:tcPr>
          <w:p w14:paraId="793FE758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27</w:t>
            </w:r>
          </w:p>
        </w:tc>
        <w:tc>
          <w:tcPr>
            <w:tcW w:w="2020" w:type="dxa"/>
            <w:hideMark/>
          </w:tcPr>
          <w:p w14:paraId="239B11A8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Adquisiciones diferentes de activos</w:t>
            </w:r>
          </w:p>
        </w:tc>
        <w:tc>
          <w:tcPr>
            <w:tcW w:w="1920" w:type="dxa"/>
            <w:hideMark/>
          </w:tcPr>
          <w:p w14:paraId="0F012915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$ 46.731.961.400</w:t>
            </w:r>
          </w:p>
        </w:tc>
      </w:tr>
      <w:tr w:rsidR="008B619A" w:rsidRPr="008B619A" w14:paraId="084812BB" w14:textId="77777777" w:rsidTr="008B619A">
        <w:trPr>
          <w:trHeight w:val="288"/>
        </w:trPr>
        <w:tc>
          <w:tcPr>
            <w:tcW w:w="1240" w:type="dxa"/>
            <w:vMerge/>
            <w:hideMark/>
          </w:tcPr>
          <w:p w14:paraId="07D759B6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40" w:type="dxa"/>
            <w:vMerge/>
            <w:hideMark/>
          </w:tcPr>
          <w:p w14:paraId="6B9959C1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020" w:type="dxa"/>
            <w:hideMark/>
          </w:tcPr>
          <w:p w14:paraId="75153B9E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Rentas parafiscales</w:t>
            </w:r>
          </w:p>
        </w:tc>
        <w:tc>
          <w:tcPr>
            <w:tcW w:w="1920" w:type="dxa"/>
            <w:hideMark/>
          </w:tcPr>
          <w:p w14:paraId="4A9D1C00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$ 46.731.961.400</w:t>
            </w:r>
          </w:p>
        </w:tc>
      </w:tr>
      <w:tr w:rsidR="008B619A" w:rsidRPr="008B619A" w14:paraId="202A34F5" w14:textId="77777777" w:rsidTr="008B619A">
        <w:trPr>
          <w:trHeight w:val="552"/>
        </w:trPr>
        <w:tc>
          <w:tcPr>
            <w:tcW w:w="1240" w:type="dxa"/>
            <w:vMerge w:val="restart"/>
            <w:hideMark/>
          </w:tcPr>
          <w:p w14:paraId="50034488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A-02-02-01</w:t>
            </w:r>
          </w:p>
        </w:tc>
        <w:tc>
          <w:tcPr>
            <w:tcW w:w="1240" w:type="dxa"/>
            <w:vMerge w:val="restart"/>
            <w:hideMark/>
          </w:tcPr>
          <w:p w14:paraId="286902E1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27</w:t>
            </w:r>
          </w:p>
        </w:tc>
        <w:tc>
          <w:tcPr>
            <w:tcW w:w="2020" w:type="dxa"/>
            <w:hideMark/>
          </w:tcPr>
          <w:p w14:paraId="5FA033AC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Materiales y suministros</w:t>
            </w:r>
          </w:p>
        </w:tc>
        <w:tc>
          <w:tcPr>
            <w:tcW w:w="1920" w:type="dxa"/>
            <w:hideMark/>
          </w:tcPr>
          <w:p w14:paraId="1FEB47B2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$ 295.371.659</w:t>
            </w:r>
          </w:p>
        </w:tc>
      </w:tr>
      <w:tr w:rsidR="008B619A" w:rsidRPr="008B619A" w14:paraId="1EE09214" w14:textId="77777777" w:rsidTr="008B619A">
        <w:trPr>
          <w:trHeight w:val="300"/>
        </w:trPr>
        <w:tc>
          <w:tcPr>
            <w:tcW w:w="1240" w:type="dxa"/>
            <w:vMerge/>
            <w:hideMark/>
          </w:tcPr>
          <w:p w14:paraId="0E3E64D0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40" w:type="dxa"/>
            <w:vMerge/>
            <w:hideMark/>
          </w:tcPr>
          <w:p w14:paraId="0AAE2FD2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020" w:type="dxa"/>
            <w:hideMark/>
          </w:tcPr>
          <w:p w14:paraId="576D3DDD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Rentas parafiscales</w:t>
            </w:r>
          </w:p>
        </w:tc>
        <w:tc>
          <w:tcPr>
            <w:tcW w:w="1920" w:type="dxa"/>
            <w:hideMark/>
          </w:tcPr>
          <w:p w14:paraId="14EB386E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$ 295.371.659</w:t>
            </w:r>
          </w:p>
        </w:tc>
      </w:tr>
      <w:tr w:rsidR="008B619A" w:rsidRPr="008B619A" w14:paraId="7D88B467" w14:textId="77777777" w:rsidTr="008B619A">
        <w:trPr>
          <w:trHeight w:val="1116"/>
        </w:trPr>
        <w:tc>
          <w:tcPr>
            <w:tcW w:w="1240" w:type="dxa"/>
            <w:hideMark/>
          </w:tcPr>
          <w:p w14:paraId="2850D2FF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 </w:t>
            </w:r>
          </w:p>
        </w:tc>
        <w:tc>
          <w:tcPr>
            <w:tcW w:w="1240" w:type="dxa"/>
            <w:hideMark/>
          </w:tcPr>
          <w:p w14:paraId="3FBB5049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 </w:t>
            </w:r>
          </w:p>
        </w:tc>
        <w:tc>
          <w:tcPr>
            <w:tcW w:w="2020" w:type="dxa"/>
            <w:hideMark/>
          </w:tcPr>
          <w:p w14:paraId="1003DD95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Productos alimenticios, bebidas y tabaco textiles,</w:t>
            </w:r>
          </w:p>
        </w:tc>
        <w:tc>
          <w:tcPr>
            <w:tcW w:w="1920" w:type="dxa"/>
            <w:noWrap/>
            <w:hideMark/>
          </w:tcPr>
          <w:p w14:paraId="7F586787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 </w:t>
            </w:r>
          </w:p>
        </w:tc>
      </w:tr>
      <w:tr w:rsidR="008B619A" w:rsidRPr="008B619A" w14:paraId="654C8301" w14:textId="77777777" w:rsidTr="008B619A">
        <w:trPr>
          <w:trHeight w:val="564"/>
        </w:trPr>
        <w:tc>
          <w:tcPr>
            <w:tcW w:w="1240" w:type="dxa"/>
            <w:vMerge w:val="restart"/>
            <w:hideMark/>
          </w:tcPr>
          <w:p w14:paraId="007DD81F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A-02-02-01-002</w:t>
            </w:r>
          </w:p>
        </w:tc>
        <w:tc>
          <w:tcPr>
            <w:tcW w:w="1240" w:type="dxa"/>
            <w:hideMark/>
          </w:tcPr>
          <w:p w14:paraId="76D8C4BF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 </w:t>
            </w:r>
          </w:p>
        </w:tc>
        <w:tc>
          <w:tcPr>
            <w:tcW w:w="2020" w:type="dxa"/>
            <w:hideMark/>
          </w:tcPr>
          <w:p w14:paraId="7500C906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prendas de vestir y productos de cuero</w:t>
            </w:r>
          </w:p>
        </w:tc>
        <w:tc>
          <w:tcPr>
            <w:tcW w:w="1920" w:type="dxa"/>
            <w:hideMark/>
          </w:tcPr>
          <w:p w14:paraId="3A2CD74D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$ 0</w:t>
            </w:r>
          </w:p>
        </w:tc>
      </w:tr>
      <w:tr w:rsidR="008B619A" w:rsidRPr="008B619A" w14:paraId="2A0CBE54" w14:textId="77777777" w:rsidTr="008B619A">
        <w:trPr>
          <w:trHeight w:val="300"/>
        </w:trPr>
        <w:tc>
          <w:tcPr>
            <w:tcW w:w="1240" w:type="dxa"/>
            <w:vMerge/>
            <w:hideMark/>
          </w:tcPr>
          <w:p w14:paraId="434ABBFE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40" w:type="dxa"/>
            <w:hideMark/>
          </w:tcPr>
          <w:p w14:paraId="251AD811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27</w:t>
            </w:r>
          </w:p>
        </w:tc>
        <w:tc>
          <w:tcPr>
            <w:tcW w:w="2020" w:type="dxa"/>
            <w:hideMark/>
          </w:tcPr>
          <w:p w14:paraId="11DFC105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Rentas parafiscales</w:t>
            </w:r>
          </w:p>
        </w:tc>
        <w:tc>
          <w:tcPr>
            <w:tcW w:w="1920" w:type="dxa"/>
            <w:hideMark/>
          </w:tcPr>
          <w:p w14:paraId="4FFCA32C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$ 0</w:t>
            </w:r>
          </w:p>
        </w:tc>
      </w:tr>
      <w:tr w:rsidR="008B619A" w:rsidRPr="008B619A" w14:paraId="141E367F" w14:textId="77777777" w:rsidTr="008B619A">
        <w:trPr>
          <w:trHeight w:val="564"/>
        </w:trPr>
        <w:tc>
          <w:tcPr>
            <w:tcW w:w="1240" w:type="dxa"/>
            <w:hideMark/>
          </w:tcPr>
          <w:p w14:paraId="45EE7335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 </w:t>
            </w:r>
          </w:p>
        </w:tc>
        <w:tc>
          <w:tcPr>
            <w:tcW w:w="1240" w:type="dxa"/>
            <w:hideMark/>
          </w:tcPr>
          <w:p w14:paraId="67C69829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 </w:t>
            </w:r>
          </w:p>
        </w:tc>
        <w:tc>
          <w:tcPr>
            <w:tcW w:w="2020" w:type="dxa"/>
            <w:hideMark/>
          </w:tcPr>
          <w:p w14:paraId="48C849EA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Dotación (prendas de vestir y calzado)</w:t>
            </w:r>
          </w:p>
        </w:tc>
        <w:tc>
          <w:tcPr>
            <w:tcW w:w="1920" w:type="dxa"/>
            <w:hideMark/>
          </w:tcPr>
          <w:p w14:paraId="46C87ADC" w14:textId="77777777" w:rsidR="008B619A" w:rsidRPr="008B619A" w:rsidRDefault="008B619A" w:rsidP="008B619A">
            <w:pPr>
              <w:jc w:val="both"/>
              <w:rPr>
                <w:rFonts w:ascii="Verdana" w:hAnsi="Verdana"/>
              </w:rPr>
            </w:pPr>
            <w:r w:rsidRPr="008B619A">
              <w:rPr>
                <w:rFonts w:ascii="Verdana" w:hAnsi="Verdana"/>
              </w:rPr>
              <w:t>$ 0</w:t>
            </w:r>
          </w:p>
        </w:tc>
      </w:tr>
    </w:tbl>
    <w:p w14:paraId="3E5B2300" w14:textId="114021BE" w:rsidR="00411E71" w:rsidRDefault="00411E71" w:rsidP="00411E71">
      <w:pPr>
        <w:jc w:val="both"/>
        <w:rPr>
          <w:rFonts w:ascii="Verdana" w:hAnsi="Verdana"/>
        </w:rPr>
      </w:pPr>
    </w:p>
    <w:p w14:paraId="645B297F" w14:textId="63E6BDCB" w:rsidR="008B619A" w:rsidRDefault="008B619A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8B619A" w:rsidRPr="008B619A" w14:paraId="61AA7977" w14:textId="77777777" w:rsidTr="008B619A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BE41" w14:textId="77777777" w:rsidR="008B619A" w:rsidRPr="008B619A" w:rsidRDefault="008B619A" w:rsidP="008B61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619A">
              <w:rPr>
                <w:rFonts w:ascii="Calibri" w:eastAsia="Times New Roman" w:hAnsi="Calibri" w:cs="Calibri"/>
                <w:color w:val="000000"/>
                <w:lang w:eastAsia="es-CO"/>
              </w:rPr>
              <w:t>A-02-02-01-002-</w:t>
            </w:r>
            <w:r w:rsidRPr="008B619A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008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B31B" w14:textId="77777777" w:rsidR="008B619A" w:rsidRPr="008B619A" w:rsidRDefault="008B619A" w:rsidP="008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619A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F771" w14:textId="77777777" w:rsidR="008B619A" w:rsidRPr="008B619A" w:rsidRDefault="008B619A" w:rsidP="008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619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Rentas parafiscales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5B5B" w14:textId="77777777" w:rsidR="008B619A" w:rsidRPr="008B619A" w:rsidRDefault="008B619A" w:rsidP="008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619A">
              <w:rPr>
                <w:rFonts w:ascii="Calibri" w:eastAsia="Times New Roman" w:hAnsi="Calibri" w:cs="Calibri"/>
                <w:color w:val="000000"/>
                <w:lang w:eastAsia="es-CO"/>
              </w:rPr>
              <w:t>$ 0</w:t>
            </w:r>
          </w:p>
        </w:tc>
      </w:tr>
    </w:tbl>
    <w:p w14:paraId="260C0212" w14:textId="670A9536" w:rsidR="008B619A" w:rsidRDefault="008B619A" w:rsidP="00411E71">
      <w:pPr>
        <w:jc w:val="both"/>
        <w:rPr>
          <w:rFonts w:ascii="Verdana" w:hAnsi="Verdana"/>
        </w:rPr>
      </w:pPr>
    </w:p>
    <w:p w14:paraId="1C0B1AB3" w14:textId="762E08F4" w:rsidR="008B619A" w:rsidRDefault="008B619A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8B619A" w:rsidRPr="008B619A" w14:paraId="0F57E2F9" w14:textId="77777777" w:rsidTr="008B619A">
        <w:trPr>
          <w:trHeight w:val="288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ECC5" w14:textId="77777777" w:rsidR="008B619A" w:rsidRPr="008B619A" w:rsidRDefault="008B619A" w:rsidP="008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619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A-02-02-02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29F2" w14:textId="77777777" w:rsidR="008B619A" w:rsidRPr="008B619A" w:rsidRDefault="008B619A" w:rsidP="008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619A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DD5D" w14:textId="77777777" w:rsidR="008B619A" w:rsidRPr="008B619A" w:rsidRDefault="008B619A" w:rsidP="008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619A">
              <w:rPr>
                <w:rFonts w:ascii="Calibri" w:eastAsia="Times New Roman" w:hAnsi="Calibri" w:cs="Calibri"/>
                <w:color w:val="000000"/>
                <w:lang w:eastAsia="es-CO"/>
              </w:rPr>
              <w:t>Adquisición de servicios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1853" w14:textId="77777777" w:rsidR="008B619A" w:rsidRPr="008B619A" w:rsidRDefault="008B619A" w:rsidP="008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619A">
              <w:rPr>
                <w:rFonts w:ascii="Calibri" w:eastAsia="Times New Roman" w:hAnsi="Calibri" w:cs="Calibri"/>
                <w:color w:val="000000"/>
                <w:lang w:eastAsia="es-CO"/>
              </w:rPr>
              <w:t>$ 46.436.589.741</w:t>
            </w:r>
          </w:p>
        </w:tc>
      </w:tr>
      <w:tr w:rsidR="008B619A" w:rsidRPr="008B619A" w14:paraId="7695E1A0" w14:textId="77777777" w:rsidTr="008B619A">
        <w:trPr>
          <w:trHeight w:val="28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B347D" w14:textId="77777777" w:rsidR="008B619A" w:rsidRPr="008B619A" w:rsidRDefault="008B619A" w:rsidP="008B61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6491" w14:textId="77777777" w:rsidR="008B619A" w:rsidRPr="008B619A" w:rsidRDefault="008B619A" w:rsidP="008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619A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019E" w14:textId="77777777" w:rsidR="008B619A" w:rsidRPr="008B619A" w:rsidRDefault="008B619A" w:rsidP="008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619A">
              <w:rPr>
                <w:rFonts w:ascii="Calibri" w:eastAsia="Times New Roman" w:hAnsi="Calibri" w:cs="Calibri"/>
                <w:color w:val="000000"/>
                <w:lang w:eastAsia="es-CO"/>
              </w:rPr>
              <w:t>Rentas parafiscales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D673" w14:textId="77777777" w:rsidR="008B619A" w:rsidRPr="008B619A" w:rsidRDefault="008B619A" w:rsidP="008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619A">
              <w:rPr>
                <w:rFonts w:ascii="Calibri" w:eastAsia="Times New Roman" w:hAnsi="Calibri" w:cs="Calibri"/>
                <w:color w:val="000000"/>
                <w:lang w:eastAsia="es-CO"/>
              </w:rPr>
              <w:t>$ 46.436.589.741</w:t>
            </w:r>
          </w:p>
        </w:tc>
      </w:tr>
      <w:tr w:rsidR="008B619A" w:rsidRPr="008B619A" w14:paraId="75227FDF" w14:textId="77777777" w:rsidTr="008B619A">
        <w:trPr>
          <w:trHeight w:val="576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ADE2" w14:textId="77777777" w:rsidR="008B619A" w:rsidRPr="008B619A" w:rsidRDefault="008B619A" w:rsidP="008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619A">
              <w:rPr>
                <w:rFonts w:ascii="Calibri" w:eastAsia="Times New Roman" w:hAnsi="Calibri" w:cs="Calibri"/>
                <w:color w:val="000000"/>
                <w:lang w:eastAsia="es-CO"/>
              </w:rPr>
              <w:t>A-02-02-02-006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B38F" w14:textId="77777777" w:rsidR="008B619A" w:rsidRPr="008B619A" w:rsidRDefault="008B619A" w:rsidP="008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619A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438C" w14:textId="77777777" w:rsidR="008B619A" w:rsidRPr="008B619A" w:rsidRDefault="008B619A" w:rsidP="008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619A">
              <w:rPr>
                <w:rFonts w:ascii="Calibri" w:eastAsia="Times New Roman" w:hAnsi="Calibri" w:cs="Calibri"/>
                <w:color w:val="000000"/>
                <w:lang w:eastAsia="es-CO"/>
              </w:rPr>
              <w:t>Comercio y distribución alojamiento servicios de</w:t>
            </w:r>
            <w:r w:rsidRPr="008B619A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suministro de comidas y bebidas servicios de</w:t>
            </w:r>
            <w:r w:rsidRPr="008B619A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transporte y servicios de distribución de</w:t>
            </w:r>
            <w:r w:rsidRPr="008B619A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electricidad, gas y agua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4075" w14:textId="77777777" w:rsidR="008B619A" w:rsidRPr="008B619A" w:rsidRDefault="008B619A" w:rsidP="008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619A">
              <w:rPr>
                <w:rFonts w:ascii="Calibri" w:eastAsia="Times New Roman" w:hAnsi="Calibri" w:cs="Calibri"/>
                <w:color w:val="000000"/>
                <w:lang w:eastAsia="es-CO"/>
              </w:rPr>
              <w:t>$ 11.652.905.061</w:t>
            </w:r>
          </w:p>
        </w:tc>
      </w:tr>
      <w:tr w:rsidR="008B619A" w:rsidRPr="008B619A" w14:paraId="5C4D47EA" w14:textId="77777777" w:rsidTr="008B619A">
        <w:trPr>
          <w:trHeight w:val="288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09721" w14:textId="77777777" w:rsidR="008B619A" w:rsidRPr="008B619A" w:rsidRDefault="008B619A" w:rsidP="008B61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B66A" w14:textId="77777777" w:rsidR="008B619A" w:rsidRPr="008B619A" w:rsidRDefault="008B619A" w:rsidP="008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619A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C9CA" w14:textId="77777777" w:rsidR="008B619A" w:rsidRPr="008B619A" w:rsidRDefault="008B619A" w:rsidP="008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619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Rentas parafiscales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1695" w14:textId="77777777" w:rsidR="008B619A" w:rsidRPr="008B619A" w:rsidRDefault="008B619A" w:rsidP="008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B619A">
              <w:rPr>
                <w:rFonts w:ascii="Calibri" w:eastAsia="Times New Roman" w:hAnsi="Calibri" w:cs="Calibri"/>
                <w:color w:val="000000"/>
                <w:lang w:eastAsia="es-CO"/>
              </w:rPr>
              <w:t>$ 11.652.905.061</w:t>
            </w:r>
          </w:p>
        </w:tc>
      </w:tr>
    </w:tbl>
    <w:p w14:paraId="5F1A6429" w14:textId="19A1B314" w:rsidR="008B619A" w:rsidRDefault="008B619A" w:rsidP="00411E71">
      <w:pPr>
        <w:jc w:val="both"/>
        <w:rPr>
          <w:rFonts w:ascii="Verdana" w:hAnsi="Verdana"/>
        </w:rPr>
      </w:pPr>
    </w:p>
    <w:p w14:paraId="6B5FC8CD" w14:textId="6B0A126F" w:rsidR="008B619A" w:rsidRDefault="008B619A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C20462" w:rsidRPr="00C20462" w14:paraId="07601E2E" w14:textId="77777777" w:rsidTr="00C20462">
        <w:trPr>
          <w:trHeight w:val="288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42CC" w14:textId="77777777" w:rsidR="00C20462" w:rsidRPr="00C20462" w:rsidRDefault="00C20462" w:rsidP="00C204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462">
              <w:rPr>
                <w:rFonts w:ascii="Calibri" w:eastAsia="Times New Roman" w:hAnsi="Calibri" w:cs="Calibri"/>
                <w:color w:val="000000"/>
                <w:lang w:eastAsia="es-CO"/>
              </w:rPr>
              <w:t>A-02-02-02-006-</w:t>
            </w:r>
            <w:r w:rsidRPr="00C2046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008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3B64" w14:textId="77777777" w:rsidR="00C20462" w:rsidRPr="00C20462" w:rsidRDefault="00C20462" w:rsidP="00C204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46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3667" w14:textId="77777777" w:rsidR="00C20462" w:rsidRPr="00C20462" w:rsidRDefault="00C20462" w:rsidP="00C204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462">
              <w:rPr>
                <w:rFonts w:ascii="Calibri" w:eastAsia="Times New Roman" w:hAnsi="Calibri" w:cs="Calibri"/>
                <w:color w:val="000000"/>
                <w:lang w:eastAsia="es-CO"/>
              </w:rPr>
              <w:t>Servicios postales y de mensajería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0DC6" w14:textId="77777777" w:rsidR="00C20462" w:rsidRPr="00C20462" w:rsidRDefault="00C20462" w:rsidP="00C204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462">
              <w:rPr>
                <w:rFonts w:ascii="Calibri" w:eastAsia="Times New Roman" w:hAnsi="Calibri" w:cs="Calibri"/>
                <w:color w:val="000000"/>
                <w:lang w:eastAsia="es-CO"/>
              </w:rPr>
              <w:t>$ 4.373.945.017</w:t>
            </w:r>
          </w:p>
        </w:tc>
      </w:tr>
      <w:tr w:rsidR="00C20462" w:rsidRPr="00C20462" w14:paraId="08B3ECF5" w14:textId="77777777" w:rsidTr="00C20462">
        <w:trPr>
          <w:trHeight w:val="28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27580" w14:textId="77777777" w:rsidR="00C20462" w:rsidRPr="00C20462" w:rsidRDefault="00C20462" w:rsidP="00C20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581C" w14:textId="77777777" w:rsidR="00C20462" w:rsidRPr="00C20462" w:rsidRDefault="00C20462" w:rsidP="00C204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462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153F" w14:textId="77777777" w:rsidR="00C20462" w:rsidRPr="00C20462" w:rsidRDefault="00C20462" w:rsidP="00C204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462">
              <w:rPr>
                <w:rFonts w:ascii="Calibri" w:eastAsia="Times New Roman" w:hAnsi="Calibri" w:cs="Calibri"/>
                <w:color w:val="000000"/>
                <w:lang w:eastAsia="es-CO"/>
              </w:rPr>
              <w:t>Rentas parafiscales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DB17" w14:textId="77777777" w:rsidR="00C20462" w:rsidRPr="00C20462" w:rsidRDefault="00C20462" w:rsidP="00C204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462">
              <w:rPr>
                <w:rFonts w:ascii="Calibri" w:eastAsia="Times New Roman" w:hAnsi="Calibri" w:cs="Calibri"/>
                <w:color w:val="000000"/>
                <w:lang w:eastAsia="es-CO"/>
              </w:rPr>
              <w:t>$ 4.373.945.017</w:t>
            </w:r>
          </w:p>
        </w:tc>
      </w:tr>
      <w:tr w:rsidR="00C20462" w:rsidRPr="00C20462" w14:paraId="120B5EE8" w14:textId="77777777" w:rsidTr="00C20462">
        <w:trPr>
          <w:trHeight w:val="57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202F" w14:textId="77777777" w:rsidR="00C20462" w:rsidRPr="00C20462" w:rsidRDefault="00C20462" w:rsidP="00C20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462">
              <w:rPr>
                <w:rFonts w:ascii="Calibri" w:eastAsia="Times New Roman" w:hAnsi="Calibri" w:cs="Calibri"/>
                <w:color w:val="000000"/>
                <w:lang w:eastAsia="es-CO"/>
              </w:rPr>
              <w:t>A-02-02-02-007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9939" w14:textId="77777777" w:rsidR="00C20462" w:rsidRPr="00C20462" w:rsidRDefault="00C20462" w:rsidP="00C204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46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D3C9" w14:textId="77777777" w:rsidR="00C20462" w:rsidRPr="00C20462" w:rsidRDefault="00C20462" w:rsidP="00C204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462">
              <w:rPr>
                <w:rFonts w:ascii="Calibri" w:eastAsia="Times New Roman" w:hAnsi="Calibri" w:cs="Calibri"/>
                <w:color w:val="000000"/>
                <w:lang w:eastAsia="es-CO"/>
              </w:rPr>
              <w:t>Servicios financieros y servicios conexos, servicios</w:t>
            </w:r>
            <w:r w:rsidRPr="00C2046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inmobiliarios y servicios de arrendamiento y</w:t>
            </w:r>
            <w:r w:rsidRPr="00C2046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leasing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82B6" w14:textId="77777777" w:rsidR="00C20462" w:rsidRPr="00C20462" w:rsidRDefault="00C20462" w:rsidP="00C204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462">
              <w:rPr>
                <w:rFonts w:ascii="Calibri" w:eastAsia="Times New Roman" w:hAnsi="Calibri" w:cs="Calibri"/>
                <w:color w:val="000000"/>
                <w:lang w:eastAsia="es-CO"/>
              </w:rPr>
              <w:t>$ 766.501.276</w:t>
            </w:r>
          </w:p>
        </w:tc>
      </w:tr>
    </w:tbl>
    <w:p w14:paraId="7C721A64" w14:textId="094912C6" w:rsidR="008B619A" w:rsidRDefault="008B619A" w:rsidP="00411E71">
      <w:pPr>
        <w:jc w:val="both"/>
        <w:rPr>
          <w:rFonts w:ascii="Verdana" w:hAnsi="Verdana"/>
        </w:rPr>
      </w:pPr>
    </w:p>
    <w:p w14:paraId="5361D912" w14:textId="7A9A3C66" w:rsidR="00C20462" w:rsidRDefault="00C20462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A156BE" w:rsidRPr="00A156BE" w14:paraId="26FE9183" w14:textId="77777777" w:rsidTr="00A156BE">
        <w:trPr>
          <w:trHeight w:val="288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A680" w14:textId="77777777" w:rsidR="00A156BE" w:rsidRPr="00A156BE" w:rsidRDefault="00A156BE" w:rsidP="00A15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t>A-02-02-02-008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6181" w14:textId="77777777" w:rsidR="00A156BE" w:rsidRPr="00A156BE" w:rsidRDefault="00A156BE" w:rsidP="00A15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6602" w14:textId="77777777" w:rsidR="00A156BE" w:rsidRPr="00A156BE" w:rsidRDefault="00A156BE" w:rsidP="00A15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t>Servicios prestados a las empresas y servicios de</w:t>
            </w: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 xml:space="preserve">producción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33E5" w14:textId="77777777" w:rsidR="00A156BE" w:rsidRPr="00A156BE" w:rsidRDefault="00A156BE" w:rsidP="00A15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t>$ 21.495.695.042</w:t>
            </w:r>
          </w:p>
        </w:tc>
      </w:tr>
      <w:tr w:rsidR="00A156BE" w:rsidRPr="00A156BE" w14:paraId="4DF73904" w14:textId="77777777" w:rsidTr="00A156BE">
        <w:trPr>
          <w:trHeight w:val="28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126B5" w14:textId="77777777" w:rsidR="00A156BE" w:rsidRPr="00A156BE" w:rsidRDefault="00A156BE" w:rsidP="00A15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B89C" w14:textId="77777777" w:rsidR="00A156BE" w:rsidRPr="00A156BE" w:rsidRDefault="00A156BE" w:rsidP="00A15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FDC2" w14:textId="77777777" w:rsidR="00A156BE" w:rsidRPr="00A156BE" w:rsidRDefault="00A156BE" w:rsidP="00A15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t>Rentas parafiscales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C116" w14:textId="77777777" w:rsidR="00A156BE" w:rsidRPr="00A156BE" w:rsidRDefault="00A156BE" w:rsidP="00A15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t>$ 21.495.695.042</w:t>
            </w:r>
          </w:p>
        </w:tc>
      </w:tr>
    </w:tbl>
    <w:p w14:paraId="0A0C011B" w14:textId="69B9E732" w:rsidR="00A156BE" w:rsidRDefault="00A156BE" w:rsidP="00411E71">
      <w:pPr>
        <w:jc w:val="both"/>
        <w:rPr>
          <w:rFonts w:ascii="Verdana" w:hAnsi="Verdana"/>
        </w:rPr>
      </w:pPr>
    </w:p>
    <w:p w14:paraId="1BE75C42" w14:textId="17A84200" w:rsidR="00A156BE" w:rsidRDefault="00A156BE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A156BE" w:rsidRPr="00A156BE" w14:paraId="3F83DB08" w14:textId="77777777" w:rsidTr="00A156BE">
        <w:trPr>
          <w:trHeight w:val="288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76C5" w14:textId="77777777" w:rsidR="00A156BE" w:rsidRPr="00A156BE" w:rsidRDefault="00A156BE" w:rsidP="00A15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t>A-02-02-02-008-</w:t>
            </w: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005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55FC" w14:textId="77777777" w:rsidR="00A156BE" w:rsidRPr="00A156BE" w:rsidRDefault="00A156BE" w:rsidP="00A15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661D" w14:textId="77777777" w:rsidR="00A156BE" w:rsidRPr="00A156BE" w:rsidRDefault="00A156BE" w:rsidP="00A15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t>Servicios de soporte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178A" w14:textId="77777777" w:rsidR="00A156BE" w:rsidRPr="00A156BE" w:rsidRDefault="00A156BE" w:rsidP="00A15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t>$ 11.030.416.096</w:t>
            </w:r>
          </w:p>
        </w:tc>
      </w:tr>
      <w:tr w:rsidR="00A156BE" w:rsidRPr="00A156BE" w14:paraId="090A3D85" w14:textId="77777777" w:rsidTr="00A156BE">
        <w:trPr>
          <w:trHeight w:val="28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689D6" w14:textId="77777777" w:rsidR="00A156BE" w:rsidRPr="00A156BE" w:rsidRDefault="00A156BE" w:rsidP="00A15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BEF8" w14:textId="77777777" w:rsidR="00A156BE" w:rsidRPr="00A156BE" w:rsidRDefault="00A156BE" w:rsidP="00A15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FCF7" w14:textId="77777777" w:rsidR="00A156BE" w:rsidRPr="00A156BE" w:rsidRDefault="00A156BE" w:rsidP="00A15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t>Rentas parafiscales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9DE0" w14:textId="77777777" w:rsidR="00A156BE" w:rsidRPr="00A156BE" w:rsidRDefault="00A156BE" w:rsidP="00A15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t>$ 11.030.416.096</w:t>
            </w:r>
          </w:p>
        </w:tc>
      </w:tr>
    </w:tbl>
    <w:p w14:paraId="2CF8B053" w14:textId="260C4FD0" w:rsidR="00A156BE" w:rsidRDefault="00A156BE" w:rsidP="00411E71">
      <w:pPr>
        <w:jc w:val="both"/>
        <w:rPr>
          <w:rFonts w:ascii="Verdana" w:hAnsi="Verdana"/>
        </w:rPr>
      </w:pPr>
    </w:p>
    <w:p w14:paraId="415EB734" w14:textId="05344871" w:rsidR="00A156BE" w:rsidRDefault="00A156BE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A156BE" w:rsidRPr="00A156BE" w14:paraId="754A0EE1" w14:textId="77777777" w:rsidTr="00A156BE">
        <w:trPr>
          <w:trHeight w:val="288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720D" w14:textId="77777777" w:rsidR="00A156BE" w:rsidRPr="00A156BE" w:rsidRDefault="00A156BE" w:rsidP="00A15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t>A-02-02-02-009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434C" w14:textId="77777777" w:rsidR="00A156BE" w:rsidRPr="00A156BE" w:rsidRDefault="00A156BE" w:rsidP="00A15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AE01" w14:textId="77777777" w:rsidR="00A156BE" w:rsidRPr="00A156BE" w:rsidRDefault="00A156BE" w:rsidP="00A15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t>Servicios para la comunidad, sociales y personales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0559" w14:textId="77777777" w:rsidR="00A156BE" w:rsidRPr="00A156BE" w:rsidRDefault="00A156BE" w:rsidP="00A15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t>$ 11.521.488.362</w:t>
            </w:r>
          </w:p>
        </w:tc>
      </w:tr>
      <w:tr w:rsidR="00A156BE" w:rsidRPr="00A156BE" w14:paraId="08097ED3" w14:textId="77777777" w:rsidTr="00A156BE">
        <w:trPr>
          <w:trHeight w:val="28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9CEFE" w14:textId="77777777" w:rsidR="00A156BE" w:rsidRPr="00A156BE" w:rsidRDefault="00A156BE" w:rsidP="00A15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A67D" w14:textId="77777777" w:rsidR="00A156BE" w:rsidRPr="00A156BE" w:rsidRDefault="00A156BE" w:rsidP="00A15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D66F" w14:textId="77777777" w:rsidR="00A156BE" w:rsidRPr="00A156BE" w:rsidRDefault="00A156BE" w:rsidP="00A15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t>Rentas parafiscales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560A" w14:textId="77777777" w:rsidR="00A156BE" w:rsidRPr="00A156BE" w:rsidRDefault="00A156BE" w:rsidP="00A15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t>$ 11.521.488.362</w:t>
            </w:r>
          </w:p>
        </w:tc>
      </w:tr>
    </w:tbl>
    <w:p w14:paraId="41CBBF70" w14:textId="445BA641" w:rsidR="00A156BE" w:rsidRDefault="00A156BE" w:rsidP="00411E71">
      <w:pPr>
        <w:jc w:val="both"/>
        <w:rPr>
          <w:rFonts w:ascii="Verdana" w:hAnsi="Verdana"/>
        </w:rPr>
      </w:pPr>
    </w:p>
    <w:p w14:paraId="0B05DF16" w14:textId="10D5A591" w:rsidR="00A156BE" w:rsidRDefault="00A156BE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A156BE" w:rsidRPr="00A156BE" w14:paraId="1BE9F697" w14:textId="77777777" w:rsidTr="00A156BE">
        <w:trPr>
          <w:trHeight w:val="288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D5BF" w14:textId="77777777" w:rsidR="00A156BE" w:rsidRPr="00A156BE" w:rsidRDefault="00A156BE" w:rsidP="00A15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t>A-02-02-02-009-</w:t>
            </w: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006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F6A0" w14:textId="77777777" w:rsidR="00A156BE" w:rsidRPr="00A156BE" w:rsidRDefault="00A156BE" w:rsidP="00A15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321D" w14:textId="77777777" w:rsidR="00A156BE" w:rsidRPr="00A156BE" w:rsidRDefault="00A156BE" w:rsidP="00A15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Servicios recreativos, culturales y deportivos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6225" w14:textId="77777777" w:rsidR="00A156BE" w:rsidRPr="00A156BE" w:rsidRDefault="00A156BE" w:rsidP="00A15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t>$ 4.094.201.054</w:t>
            </w:r>
          </w:p>
        </w:tc>
      </w:tr>
      <w:tr w:rsidR="00A156BE" w:rsidRPr="00A156BE" w14:paraId="77564367" w14:textId="77777777" w:rsidTr="00A156BE">
        <w:trPr>
          <w:trHeight w:val="28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5CDD4" w14:textId="77777777" w:rsidR="00A156BE" w:rsidRPr="00A156BE" w:rsidRDefault="00A156BE" w:rsidP="00A15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2916" w14:textId="77777777" w:rsidR="00A156BE" w:rsidRPr="00A156BE" w:rsidRDefault="00A156BE" w:rsidP="00A15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208F" w14:textId="77777777" w:rsidR="00A156BE" w:rsidRPr="00A156BE" w:rsidRDefault="00A156BE" w:rsidP="00A15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t>Rentas parafiscales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F98B" w14:textId="77777777" w:rsidR="00A156BE" w:rsidRPr="00A156BE" w:rsidRDefault="00A156BE" w:rsidP="00A15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156BE">
              <w:rPr>
                <w:rFonts w:ascii="Calibri" w:eastAsia="Times New Roman" w:hAnsi="Calibri" w:cs="Calibri"/>
                <w:color w:val="000000"/>
                <w:lang w:eastAsia="es-CO"/>
              </w:rPr>
              <w:t>$ 4.094.201.054</w:t>
            </w:r>
          </w:p>
        </w:tc>
      </w:tr>
    </w:tbl>
    <w:p w14:paraId="6F3D5A0E" w14:textId="21F4F2CF" w:rsidR="00A156BE" w:rsidRDefault="00A156BE" w:rsidP="00411E71">
      <w:pPr>
        <w:jc w:val="both"/>
        <w:rPr>
          <w:rFonts w:ascii="Verdana" w:hAnsi="Verdana"/>
        </w:rPr>
      </w:pPr>
    </w:p>
    <w:p w14:paraId="4D13A79F" w14:textId="1EE2E75F" w:rsidR="00A156BE" w:rsidRDefault="00A156BE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297ECF" w:rsidRPr="00297ECF" w14:paraId="2D74EED5" w14:textId="77777777" w:rsidTr="00297ECF">
        <w:trPr>
          <w:trHeight w:val="288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822E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A-03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CF56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1206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>Transferencias corrientes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4CB7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>$ 114.196.199.078</w:t>
            </w:r>
          </w:p>
        </w:tc>
      </w:tr>
      <w:tr w:rsidR="00297ECF" w:rsidRPr="00297ECF" w14:paraId="2937584C" w14:textId="77777777" w:rsidTr="00297ECF">
        <w:trPr>
          <w:trHeight w:val="28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B3FDC" w14:textId="77777777" w:rsidR="00297ECF" w:rsidRPr="00297ECF" w:rsidRDefault="00297ECF" w:rsidP="00297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DD00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0911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>Rentas parafiscales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9044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>$ 114.196.199.078</w:t>
            </w:r>
          </w:p>
        </w:tc>
      </w:tr>
      <w:tr w:rsidR="00297ECF" w:rsidRPr="00297ECF" w14:paraId="05970480" w14:textId="77777777" w:rsidTr="00297ECF">
        <w:trPr>
          <w:trHeight w:val="576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1C0C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A-03-03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DA4A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323C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 entidades del gobierno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EA1B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>$ 101.651.422.876</w:t>
            </w:r>
          </w:p>
        </w:tc>
      </w:tr>
      <w:tr w:rsidR="00297ECF" w:rsidRPr="00297ECF" w14:paraId="56CCF0AA" w14:textId="77777777" w:rsidTr="00297ECF">
        <w:trPr>
          <w:trHeight w:val="288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44B31" w14:textId="77777777" w:rsidR="00297ECF" w:rsidRPr="00297ECF" w:rsidRDefault="00297ECF" w:rsidP="00297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3C1E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0FE9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>Rentas parafiscales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1C49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>$ 101.651.422.876</w:t>
            </w:r>
          </w:p>
        </w:tc>
      </w:tr>
      <w:tr w:rsidR="00297ECF" w:rsidRPr="00297ECF" w14:paraId="01160193" w14:textId="77777777" w:rsidTr="00297ECF">
        <w:trPr>
          <w:trHeight w:val="288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99EE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>A-03-03-01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EFB7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186C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 órganos del PGN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B204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>$ 101.651.422.876</w:t>
            </w:r>
          </w:p>
        </w:tc>
      </w:tr>
      <w:tr w:rsidR="00297ECF" w:rsidRPr="00297ECF" w14:paraId="549D9D32" w14:textId="77777777" w:rsidTr="00297ECF">
        <w:trPr>
          <w:trHeight w:val="288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707C5" w14:textId="77777777" w:rsidR="00297ECF" w:rsidRPr="00297ECF" w:rsidRDefault="00297ECF" w:rsidP="00297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E037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8682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>Rentas parafiscales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EBB0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>$ 101.651.422.876</w:t>
            </w:r>
          </w:p>
        </w:tc>
      </w:tr>
    </w:tbl>
    <w:p w14:paraId="01D2F2AB" w14:textId="1F382B74" w:rsidR="00297ECF" w:rsidRDefault="00297ECF" w:rsidP="00411E71">
      <w:pPr>
        <w:jc w:val="both"/>
        <w:rPr>
          <w:rFonts w:ascii="Verdana" w:hAnsi="Verdana"/>
        </w:rPr>
      </w:pPr>
    </w:p>
    <w:p w14:paraId="48E7BCEF" w14:textId="3A3D59A6" w:rsidR="00297ECF" w:rsidRDefault="00297ECF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297ECF" w:rsidRPr="00297ECF" w14:paraId="3D53F926" w14:textId="77777777" w:rsidTr="00297ECF">
        <w:trPr>
          <w:trHeight w:val="288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49E3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>A-03-03-01-999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8207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040F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>Otras transferencias - distribución previo concepto</w:t>
            </w: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 xml:space="preserve">DGPPN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9229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>$ 100.000.000.000</w:t>
            </w:r>
          </w:p>
        </w:tc>
      </w:tr>
      <w:tr w:rsidR="00297ECF" w:rsidRPr="00297ECF" w14:paraId="3343BE83" w14:textId="77777777" w:rsidTr="00297ECF">
        <w:trPr>
          <w:trHeight w:val="28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A00DE" w14:textId="77777777" w:rsidR="00297ECF" w:rsidRPr="00297ECF" w:rsidRDefault="00297ECF" w:rsidP="00297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2B3A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1D1A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>Rentas parafiscales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176F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>$ 100.000.000.000</w:t>
            </w:r>
          </w:p>
        </w:tc>
      </w:tr>
    </w:tbl>
    <w:p w14:paraId="5EA4FD89" w14:textId="69242CB5" w:rsidR="00297ECF" w:rsidRDefault="00297ECF" w:rsidP="00411E71">
      <w:pPr>
        <w:jc w:val="both"/>
        <w:rPr>
          <w:rFonts w:ascii="Verdana" w:hAnsi="Verdana"/>
        </w:rPr>
      </w:pPr>
    </w:p>
    <w:p w14:paraId="2BD41597" w14:textId="353E0B20" w:rsidR="00297ECF" w:rsidRDefault="00297ECF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297ECF" w:rsidRPr="00297ECF" w14:paraId="4080C911" w14:textId="77777777" w:rsidTr="00297ECF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FE4A" w14:textId="77777777" w:rsidR="00297ECF" w:rsidRPr="00297ECF" w:rsidRDefault="00297ECF" w:rsidP="00297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>C-4602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3825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C66C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>Desarrollo integral de la primera infancia a la</w:t>
            </w: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juventud, y fortalecimiento de las capacidades de</w:t>
            </w: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las familias de niñas, niños y adolescentes - sector</w:t>
            </w: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igualdad y equidad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F50D" w14:textId="77777777" w:rsidR="00297ECF" w:rsidRPr="00297ECF" w:rsidRDefault="00297ECF" w:rsidP="0029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7ECF">
              <w:rPr>
                <w:rFonts w:ascii="Calibri" w:eastAsia="Times New Roman" w:hAnsi="Calibri" w:cs="Calibri"/>
                <w:color w:val="000000"/>
                <w:lang w:eastAsia="es-CO"/>
              </w:rPr>
              <w:t>$ 9.059.621.582.782</w:t>
            </w:r>
          </w:p>
        </w:tc>
      </w:tr>
    </w:tbl>
    <w:p w14:paraId="283D8AEA" w14:textId="655ABEBB" w:rsidR="00297ECF" w:rsidRDefault="00297ECF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D9731D" w:rsidRPr="00D9731D" w14:paraId="6FF7F726" w14:textId="77777777" w:rsidTr="00D9731D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6768" w14:textId="77777777" w:rsidR="00D9731D" w:rsidRPr="00D9731D" w:rsidRDefault="00D9731D" w:rsidP="00D97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9731D">
              <w:rPr>
                <w:rFonts w:ascii="Calibri" w:eastAsia="Times New Roman" w:hAnsi="Calibri" w:cs="Calibri"/>
                <w:color w:val="000000"/>
                <w:lang w:eastAsia="es-CO"/>
              </w:rPr>
              <w:t>C-4602-1500-5-</w:t>
            </w:r>
            <w:r w:rsidRPr="00D9731D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30205b-4102003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E243" w14:textId="77777777" w:rsidR="00D9731D" w:rsidRPr="00D9731D" w:rsidRDefault="00D9731D" w:rsidP="00D97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9731D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0A51" w14:textId="77777777" w:rsidR="00D9731D" w:rsidRPr="00D9731D" w:rsidRDefault="00D9731D" w:rsidP="00D97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9731D">
              <w:rPr>
                <w:rFonts w:ascii="Calibri" w:eastAsia="Times New Roman" w:hAnsi="Calibri" w:cs="Calibri"/>
                <w:color w:val="000000"/>
                <w:lang w:eastAsia="es-CO"/>
              </w:rPr>
              <w:t>Servicio de educación informal a los agentes</w:t>
            </w:r>
            <w:r w:rsidRPr="00D9731D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 xml:space="preserve">educativos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A782" w14:textId="77777777" w:rsidR="00D9731D" w:rsidRPr="00D9731D" w:rsidRDefault="00D9731D" w:rsidP="00D97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9731D">
              <w:rPr>
                <w:rFonts w:ascii="Calibri" w:eastAsia="Times New Roman" w:hAnsi="Calibri" w:cs="Calibri"/>
                <w:color w:val="000000"/>
                <w:lang w:eastAsia="es-CO"/>
              </w:rPr>
              <w:t>$ 13.941.230.500</w:t>
            </w:r>
          </w:p>
        </w:tc>
      </w:tr>
    </w:tbl>
    <w:p w14:paraId="6554017E" w14:textId="4A8E26AB" w:rsidR="00297ECF" w:rsidRDefault="00297ECF" w:rsidP="00411E71">
      <w:pPr>
        <w:jc w:val="both"/>
        <w:rPr>
          <w:rFonts w:ascii="Verdana" w:hAnsi="Verdana"/>
        </w:rPr>
      </w:pPr>
    </w:p>
    <w:p w14:paraId="4A6E39B9" w14:textId="1D881947" w:rsidR="0081381F" w:rsidRDefault="0081381F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81381F" w:rsidRPr="0081381F" w14:paraId="33C45840" w14:textId="77777777" w:rsidTr="0081381F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D1C4" w14:textId="77777777" w:rsidR="0081381F" w:rsidRPr="0081381F" w:rsidRDefault="0081381F" w:rsidP="0081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1381F">
              <w:rPr>
                <w:rFonts w:ascii="Calibri" w:eastAsia="Times New Roman" w:hAnsi="Calibri" w:cs="Calibri"/>
                <w:color w:val="000000"/>
                <w:lang w:eastAsia="es-CO"/>
              </w:rPr>
              <w:t>C-4602-1500-5-</w:t>
            </w:r>
            <w:r w:rsidRPr="0081381F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30205b-4102014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16AE" w14:textId="77777777" w:rsidR="0081381F" w:rsidRPr="0081381F" w:rsidRDefault="0081381F" w:rsidP="0081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13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002E" w14:textId="77777777" w:rsidR="0081381F" w:rsidRPr="0081381F" w:rsidRDefault="0081381F" w:rsidP="0081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1381F">
              <w:rPr>
                <w:rFonts w:ascii="Calibri" w:eastAsia="Times New Roman" w:hAnsi="Calibri" w:cs="Calibri"/>
                <w:color w:val="000000"/>
                <w:lang w:eastAsia="es-CO"/>
              </w:rPr>
              <w:t>Servicio de distribución de alimentos sólidos de</w:t>
            </w:r>
            <w:r w:rsidRPr="0081381F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alto valor nutricional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BEED" w14:textId="77777777" w:rsidR="0081381F" w:rsidRPr="0081381F" w:rsidRDefault="0081381F" w:rsidP="0081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1381F">
              <w:rPr>
                <w:rFonts w:ascii="Calibri" w:eastAsia="Times New Roman" w:hAnsi="Calibri" w:cs="Calibri"/>
                <w:color w:val="000000"/>
                <w:lang w:eastAsia="es-CO"/>
              </w:rPr>
              <w:t>$ 189.723.237.545</w:t>
            </w:r>
          </w:p>
        </w:tc>
      </w:tr>
    </w:tbl>
    <w:p w14:paraId="093E7ACF" w14:textId="6365CFA7" w:rsidR="0081381F" w:rsidRDefault="0081381F" w:rsidP="00411E71">
      <w:pPr>
        <w:jc w:val="both"/>
        <w:rPr>
          <w:rFonts w:ascii="Verdana" w:hAnsi="Verdana"/>
        </w:rPr>
      </w:pPr>
    </w:p>
    <w:p w14:paraId="53DC3812" w14:textId="5330C686" w:rsidR="0081381F" w:rsidRDefault="0081381F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81381F" w:rsidRPr="0081381F" w14:paraId="182B0353" w14:textId="77777777" w:rsidTr="0081381F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0092" w14:textId="77777777" w:rsidR="0081381F" w:rsidRPr="0081381F" w:rsidRDefault="0081381F" w:rsidP="0081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1381F">
              <w:rPr>
                <w:rFonts w:ascii="Calibri" w:eastAsia="Times New Roman" w:hAnsi="Calibri" w:cs="Calibri"/>
                <w:color w:val="000000"/>
                <w:lang w:eastAsia="es-CO"/>
              </w:rPr>
              <w:t>C-4602-1500-5-</w:t>
            </w:r>
            <w:r w:rsidRPr="0081381F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30205b-4102015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9844" w14:textId="77777777" w:rsidR="0081381F" w:rsidRPr="0081381F" w:rsidRDefault="0081381F" w:rsidP="0081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13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1728" w14:textId="77777777" w:rsidR="0081381F" w:rsidRPr="0081381F" w:rsidRDefault="0081381F" w:rsidP="0081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1381F">
              <w:rPr>
                <w:rFonts w:ascii="Calibri" w:eastAsia="Times New Roman" w:hAnsi="Calibri" w:cs="Calibri"/>
                <w:color w:val="000000"/>
                <w:lang w:eastAsia="es-CO"/>
              </w:rPr>
              <w:t>Servicio de distribución de alimentos líquidos de</w:t>
            </w:r>
            <w:r w:rsidRPr="0081381F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 xml:space="preserve">alto valor nutricional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4B0C" w14:textId="77777777" w:rsidR="0081381F" w:rsidRPr="0081381F" w:rsidRDefault="0081381F" w:rsidP="0081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1381F">
              <w:rPr>
                <w:rFonts w:ascii="Calibri" w:eastAsia="Times New Roman" w:hAnsi="Calibri" w:cs="Calibri"/>
                <w:color w:val="000000"/>
                <w:lang w:eastAsia="es-CO"/>
              </w:rPr>
              <w:t>$ 15.727.864.454</w:t>
            </w:r>
          </w:p>
        </w:tc>
      </w:tr>
    </w:tbl>
    <w:p w14:paraId="113CD328" w14:textId="3B38E900" w:rsidR="0081381F" w:rsidRDefault="0081381F" w:rsidP="00411E71">
      <w:pPr>
        <w:jc w:val="both"/>
        <w:rPr>
          <w:rFonts w:ascii="Verdana" w:hAnsi="Verdana"/>
        </w:rPr>
      </w:pPr>
    </w:p>
    <w:p w14:paraId="114F74E0" w14:textId="5D8A8E87" w:rsidR="0081381F" w:rsidRDefault="0081381F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81381F" w:rsidRPr="0081381F" w14:paraId="49386404" w14:textId="77777777" w:rsidTr="0081381F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2D80" w14:textId="77777777" w:rsidR="0081381F" w:rsidRPr="0081381F" w:rsidRDefault="0081381F" w:rsidP="0081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1381F">
              <w:rPr>
                <w:rFonts w:ascii="Calibri" w:eastAsia="Times New Roman" w:hAnsi="Calibri" w:cs="Calibri"/>
                <w:color w:val="000000"/>
                <w:lang w:eastAsia="es-CO"/>
              </w:rPr>
              <w:t>C-4602-1500-5-</w:t>
            </w:r>
            <w:r w:rsidRPr="0081381F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30205b-4102016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2FA9" w14:textId="77777777" w:rsidR="0081381F" w:rsidRPr="0081381F" w:rsidRDefault="0081381F" w:rsidP="0081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13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4E04" w14:textId="77777777" w:rsidR="0081381F" w:rsidRPr="0081381F" w:rsidRDefault="0081381F" w:rsidP="0081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1381F">
              <w:rPr>
                <w:rFonts w:ascii="Calibri" w:eastAsia="Times New Roman" w:hAnsi="Calibri" w:cs="Calibri"/>
                <w:color w:val="000000"/>
                <w:lang w:eastAsia="es-CO"/>
              </w:rPr>
              <w:t>Servicio de atención y prevención a la desnutrición</w:t>
            </w:r>
            <w:r w:rsidRPr="0081381F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 xml:space="preserve">desde el sector inclusión social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F7AC" w14:textId="77777777" w:rsidR="0081381F" w:rsidRPr="0081381F" w:rsidRDefault="0081381F" w:rsidP="0081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1381F">
              <w:rPr>
                <w:rFonts w:ascii="Calibri" w:eastAsia="Times New Roman" w:hAnsi="Calibri" w:cs="Calibri"/>
                <w:color w:val="000000"/>
                <w:lang w:eastAsia="es-CO"/>
              </w:rPr>
              <w:t>$ 180.607.667.501</w:t>
            </w:r>
          </w:p>
        </w:tc>
      </w:tr>
    </w:tbl>
    <w:p w14:paraId="278AB06E" w14:textId="739D33BD" w:rsidR="0081381F" w:rsidRDefault="0081381F" w:rsidP="00411E71">
      <w:pPr>
        <w:jc w:val="both"/>
        <w:rPr>
          <w:rFonts w:ascii="Verdana" w:hAnsi="Verdana"/>
        </w:rPr>
      </w:pPr>
    </w:p>
    <w:p w14:paraId="70D6D943" w14:textId="0015B077" w:rsidR="0081381F" w:rsidRDefault="0081381F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81381F" w:rsidRPr="0081381F" w14:paraId="6440ECB7" w14:textId="77777777" w:rsidTr="0081381F">
        <w:trPr>
          <w:trHeight w:val="288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575F" w14:textId="77777777" w:rsidR="0081381F" w:rsidRPr="0081381F" w:rsidRDefault="0081381F" w:rsidP="0081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1381F">
              <w:rPr>
                <w:rFonts w:ascii="Calibri" w:eastAsia="Times New Roman" w:hAnsi="Calibri" w:cs="Calibri"/>
                <w:color w:val="000000"/>
                <w:lang w:eastAsia="es-CO"/>
              </w:rPr>
              <w:t>C-4602-1500-9-</w:t>
            </w:r>
            <w:r w:rsidRPr="0081381F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704020-4602020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A37C" w14:textId="77777777" w:rsidR="0081381F" w:rsidRPr="0081381F" w:rsidRDefault="0081381F" w:rsidP="0081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13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D34B" w14:textId="77777777" w:rsidR="0081381F" w:rsidRPr="0081381F" w:rsidRDefault="0081381F" w:rsidP="0081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1381F">
              <w:rPr>
                <w:rFonts w:ascii="Calibri" w:eastAsia="Times New Roman" w:hAnsi="Calibri" w:cs="Calibri"/>
                <w:color w:val="000000"/>
                <w:lang w:eastAsia="es-CO"/>
              </w:rPr>
              <w:t>Servicio de atención integral a la primera infancia</w:t>
            </w:r>
            <w:r w:rsidRPr="0081381F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para la promoción de derechos y prevención de</w:t>
            </w:r>
            <w:r w:rsidRPr="0081381F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vulneraciones y amenazas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B8D7" w14:textId="77777777" w:rsidR="0081381F" w:rsidRPr="0081381F" w:rsidRDefault="0081381F" w:rsidP="0081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1381F">
              <w:rPr>
                <w:rFonts w:ascii="Calibri" w:eastAsia="Times New Roman" w:hAnsi="Calibri" w:cs="Calibri"/>
                <w:color w:val="000000"/>
                <w:lang w:eastAsia="es-CO"/>
              </w:rPr>
              <w:t>$ 6.099.043.883.046</w:t>
            </w:r>
          </w:p>
        </w:tc>
      </w:tr>
      <w:tr w:rsidR="0081381F" w:rsidRPr="0081381F" w14:paraId="4485ED95" w14:textId="77777777" w:rsidTr="0081381F">
        <w:trPr>
          <w:trHeight w:val="28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615CD" w14:textId="77777777" w:rsidR="0081381F" w:rsidRPr="0081381F" w:rsidRDefault="0081381F" w:rsidP="0081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33D6" w14:textId="77777777" w:rsidR="0081381F" w:rsidRPr="0081381F" w:rsidRDefault="0081381F" w:rsidP="0081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1381F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74D5" w14:textId="77777777" w:rsidR="0081381F" w:rsidRPr="0081381F" w:rsidRDefault="0081381F" w:rsidP="0081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1381F">
              <w:rPr>
                <w:rFonts w:ascii="Calibri" w:eastAsia="Times New Roman" w:hAnsi="Calibri" w:cs="Calibri"/>
                <w:color w:val="000000"/>
                <w:lang w:eastAsia="es-CO"/>
              </w:rPr>
              <w:t>Recursos corrientes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CBEB" w14:textId="77777777" w:rsidR="0081381F" w:rsidRPr="0081381F" w:rsidRDefault="0081381F" w:rsidP="0081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1381F">
              <w:rPr>
                <w:rFonts w:ascii="Calibri" w:eastAsia="Times New Roman" w:hAnsi="Calibri" w:cs="Calibri"/>
                <w:color w:val="000000"/>
                <w:lang w:eastAsia="es-CO"/>
              </w:rPr>
              <w:t>$ 5.840.000.552.002</w:t>
            </w:r>
          </w:p>
        </w:tc>
      </w:tr>
    </w:tbl>
    <w:p w14:paraId="5B1F77BB" w14:textId="5717B607" w:rsidR="0081381F" w:rsidRDefault="0081381F" w:rsidP="00411E71">
      <w:pPr>
        <w:jc w:val="both"/>
        <w:rPr>
          <w:rFonts w:ascii="Verdana" w:hAnsi="Verdana"/>
        </w:rPr>
      </w:pPr>
    </w:p>
    <w:p w14:paraId="43AF1DA2" w14:textId="0FBB6A45" w:rsidR="0081381F" w:rsidRDefault="0081381F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</w:t>
      </w:r>
      <w:r w:rsidR="00E267B0">
        <w:rPr>
          <w:rFonts w:ascii="Verdana" w:hAnsi="Verdana"/>
        </w:rPr>
        <w:t>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E267B0" w:rsidRPr="00E267B0" w14:paraId="6A00F534" w14:textId="77777777" w:rsidTr="00E267B0">
        <w:trPr>
          <w:trHeight w:val="288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F12B" w14:textId="77777777" w:rsidR="00E267B0" w:rsidRPr="00E267B0" w:rsidRDefault="00E267B0" w:rsidP="00E2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C-4602-1500-9-</w:t>
            </w: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704020-</w:t>
            </w: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4602020-02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BAA4" w14:textId="77777777" w:rsidR="00E267B0" w:rsidRPr="00E267B0" w:rsidRDefault="00E267B0" w:rsidP="00E2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EC03" w14:textId="77777777" w:rsidR="00E267B0" w:rsidRPr="00E267B0" w:rsidRDefault="00E267B0" w:rsidP="00E2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Adquisición de </w:t>
            </w:r>
            <w:proofErr w:type="spellStart"/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>bys</w:t>
            </w:r>
            <w:proofErr w:type="spellEnd"/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- servicio de atención integral a</w:t>
            </w: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la primera infancia para la promoción de derechos</w:t>
            </w: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y prevención de vulneraciones y amenazas -</w:t>
            </w: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fortalecimiento de capacidades y disposición de</w:t>
            </w: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condiciones y oportunidades que promuevan el</w:t>
            </w: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desarrollo integral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FF0A" w14:textId="77777777" w:rsidR="00E267B0" w:rsidRPr="00E267B0" w:rsidRDefault="00E267B0" w:rsidP="00E2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>$ 6.099.043.883.046</w:t>
            </w:r>
          </w:p>
        </w:tc>
      </w:tr>
      <w:tr w:rsidR="00E267B0" w:rsidRPr="00E267B0" w14:paraId="1E2D331A" w14:textId="77777777" w:rsidTr="00E267B0">
        <w:trPr>
          <w:trHeight w:val="28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BAC2C" w14:textId="77777777" w:rsidR="00E267B0" w:rsidRPr="00E267B0" w:rsidRDefault="00E267B0" w:rsidP="00E26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FD7C" w14:textId="77777777" w:rsidR="00E267B0" w:rsidRPr="00E267B0" w:rsidRDefault="00E267B0" w:rsidP="00E2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4E4C" w14:textId="77777777" w:rsidR="00E267B0" w:rsidRPr="00E267B0" w:rsidRDefault="00E267B0" w:rsidP="00E2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>Recursos corrientes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81B1" w14:textId="77777777" w:rsidR="00E267B0" w:rsidRPr="00E267B0" w:rsidRDefault="00E267B0" w:rsidP="00E2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>$ 5.840.000.552.002</w:t>
            </w:r>
          </w:p>
        </w:tc>
      </w:tr>
    </w:tbl>
    <w:p w14:paraId="23E8814F" w14:textId="1F8D9223" w:rsidR="00E267B0" w:rsidRDefault="00E267B0" w:rsidP="00411E71">
      <w:pPr>
        <w:jc w:val="both"/>
        <w:rPr>
          <w:rFonts w:ascii="Verdana" w:hAnsi="Verdana"/>
        </w:rPr>
      </w:pPr>
    </w:p>
    <w:p w14:paraId="152BF9A5" w14:textId="7A8EE9E7" w:rsidR="00E267B0" w:rsidRDefault="00E267B0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E267B0" w:rsidRPr="00E267B0" w14:paraId="2D4ABAEF" w14:textId="77777777" w:rsidTr="00E267B0">
        <w:trPr>
          <w:trHeight w:val="288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841A" w14:textId="77777777" w:rsidR="00E267B0" w:rsidRPr="00E267B0" w:rsidRDefault="00E267B0" w:rsidP="00E2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>C-4602-1500-9-</w:t>
            </w: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704020-4602021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C3EB" w14:textId="77777777" w:rsidR="00E267B0" w:rsidRPr="00E267B0" w:rsidRDefault="00E267B0" w:rsidP="00E2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EC8E" w14:textId="77777777" w:rsidR="00E267B0" w:rsidRPr="00E267B0" w:rsidRDefault="00E267B0" w:rsidP="00E2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>Servicio de atención integral para la promoción de</w:t>
            </w: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derechos y prevención de vulneraciones de niñas,</w:t>
            </w: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niños y adolescentes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E9CA" w14:textId="77777777" w:rsidR="00E267B0" w:rsidRPr="00E267B0" w:rsidRDefault="00E267B0" w:rsidP="00E2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>$ 17.786.024.640</w:t>
            </w:r>
          </w:p>
        </w:tc>
      </w:tr>
      <w:tr w:rsidR="00E267B0" w:rsidRPr="00E267B0" w14:paraId="79E31172" w14:textId="77777777" w:rsidTr="00E267B0">
        <w:trPr>
          <w:trHeight w:val="28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2206B" w14:textId="77777777" w:rsidR="00E267B0" w:rsidRPr="00E267B0" w:rsidRDefault="00E267B0" w:rsidP="00E26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6830" w14:textId="77777777" w:rsidR="00E267B0" w:rsidRPr="00E267B0" w:rsidRDefault="00E267B0" w:rsidP="00E2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BF91" w14:textId="77777777" w:rsidR="00E267B0" w:rsidRPr="00E267B0" w:rsidRDefault="00E267B0" w:rsidP="00E2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>Recursos corrientes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1E79" w14:textId="77777777" w:rsidR="00E267B0" w:rsidRPr="00E267B0" w:rsidRDefault="00E267B0" w:rsidP="00E2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>$ 17.786.024.640</w:t>
            </w:r>
          </w:p>
        </w:tc>
      </w:tr>
      <w:tr w:rsidR="00E267B0" w:rsidRPr="00E267B0" w14:paraId="7EE1EEAB" w14:textId="77777777" w:rsidTr="00E267B0">
        <w:trPr>
          <w:trHeight w:val="576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4E9C" w14:textId="77777777" w:rsidR="00E267B0" w:rsidRPr="00E267B0" w:rsidRDefault="00E267B0" w:rsidP="00E2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>C-4602-1500-9-</w:t>
            </w: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704020-</w:t>
            </w: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4602021-02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6473" w14:textId="77777777" w:rsidR="00E267B0" w:rsidRPr="00E267B0" w:rsidRDefault="00E267B0" w:rsidP="00E2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8F4E" w14:textId="77777777" w:rsidR="00E267B0" w:rsidRPr="00E267B0" w:rsidRDefault="00E267B0" w:rsidP="00E2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Adquisición de </w:t>
            </w:r>
            <w:proofErr w:type="spellStart"/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>bys</w:t>
            </w:r>
            <w:proofErr w:type="spellEnd"/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- servicio de atención integral</w:t>
            </w: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para la promoción de derechos y prevención de</w:t>
            </w: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vulneraciones de niñas, niños y adolescentes -</w:t>
            </w: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fortalecimiento de capacidades y disposición de</w:t>
            </w: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condiciones y oportunidades que promuevan el</w:t>
            </w: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desarrollo integral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832C" w14:textId="77777777" w:rsidR="00E267B0" w:rsidRPr="00E267B0" w:rsidRDefault="00E267B0" w:rsidP="00E2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>$ 17.786.024.640</w:t>
            </w:r>
          </w:p>
        </w:tc>
      </w:tr>
      <w:tr w:rsidR="00E267B0" w:rsidRPr="00E267B0" w14:paraId="35662E33" w14:textId="77777777" w:rsidTr="00E267B0">
        <w:trPr>
          <w:trHeight w:val="288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E2576" w14:textId="77777777" w:rsidR="00E267B0" w:rsidRPr="00E267B0" w:rsidRDefault="00E267B0" w:rsidP="00E26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E5C7" w14:textId="77777777" w:rsidR="00E267B0" w:rsidRPr="00E267B0" w:rsidRDefault="00E267B0" w:rsidP="00E2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C8D4" w14:textId="77777777" w:rsidR="00E267B0" w:rsidRPr="00E267B0" w:rsidRDefault="00E267B0" w:rsidP="00E2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>Recursos corrientes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3612" w14:textId="77777777" w:rsidR="00E267B0" w:rsidRPr="00E267B0" w:rsidRDefault="00E267B0" w:rsidP="00E2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>$ 17.786.024.640</w:t>
            </w:r>
          </w:p>
        </w:tc>
      </w:tr>
    </w:tbl>
    <w:p w14:paraId="57B033D5" w14:textId="2CFAB81B" w:rsidR="00E267B0" w:rsidRDefault="00E267B0" w:rsidP="00411E71">
      <w:pPr>
        <w:jc w:val="both"/>
        <w:rPr>
          <w:rFonts w:ascii="Verdana" w:hAnsi="Verdana"/>
        </w:rPr>
      </w:pPr>
    </w:p>
    <w:p w14:paraId="2975AEE3" w14:textId="546ED1D6" w:rsidR="00E267B0" w:rsidRDefault="00E267B0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E267B0" w:rsidRPr="00E267B0" w14:paraId="79377D5F" w14:textId="77777777" w:rsidTr="00E267B0">
        <w:trPr>
          <w:trHeight w:val="288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199C" w14:textId="77777777" w:rsidR="00E267B0" w:rsidRPr="00E267B0" w:rsidRDefault="00E267B0" w:rsidP="00E2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>C-4602-1500-9-</w:t>
            </w: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704080-4602020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4954" w14:textId="77777777" w:rsidR="00E267B0" w:rsidRPr="00E267B0" w:rsidRDefault="00E267B0" w:rsidP="00E2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00F7" w14:textId="77777777" w:rsidR="00E267B0" w:rsidRPr="00E267B0" w:rsidRDefault="00E267B0" w:rsidP="00E2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>Servicio de atención integral a la primera infancia</w:t>
            </w: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para la promoción de derechos y prevención de</w:t>
            </w: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vulneraciones y amenazas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01AF" w14:textId="77777777" w:rsidR="00E267B0" w:rsidRPr="00E267B0" w:rsidRDefault="00E267B0" w:rsidP="00E2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>$ 517.786.024.640</w:t>
            </w:r>
          </w:p>
        </w:tc>
      </w:tr>
      <w:tr w:rsidR="00E267B0" w:rsidRPr="00E267B0" w14:paraId="0EB06628" w14:textId="77777777" w:rsidTr="00E267B0">
        <w:trPr>
          <w:trHeight w:val="28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1ADCE" w14:textId="77777777" w:rsidR="00E267B0" w:rsidRPr="00E267B0" w:rsidRDefault="00E267B0" w:rsidP="00E26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A142" w14:textId="77777777" w:rsidR="00E267B0" w:rsidRPr="00E267B0" w:rsidRDefault="00E267B0" w:rsidP="00E2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509E" w14:textId="77777777" w:rsidR="00E267B0" w:rsidRPr="00E267B0" w:rsidRDefault="00E267B0" w:rsidP="00E2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>Recursos corrientes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AFF8" w14:textId="77777777" w:rsidR="00E267B0" w:rsidRPr="00E267B0" w:rsidRDefault="00E267B0" w:rsidP="00E2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67B0">
              <w:rPr>
                <w:rFonts w:ascii="Calibri" w:eastAsia="Times New Roman" w:hAnsi="Calibri" w:cs="Calibri"/>
                <w:color w:val="000000"/>
                <w:lang w:eastAsia="es-CO"/>
              </w:rPr>
              <w:t>$ 17.786.024.640</w:t>
            </w:r>
          </w:p>
        </w:tc>
      </w:tr>
    </w:tbl>
    <w:p w14:paraId="3A74D6B5" w14:textId="4F83D2AE" w:rsidR="00E267B0" w:rsidRDefault="00E267B0" w:rsidP="00411E71">
      <w:pPr>
        <w:jc w:val="both"/>
        <w:rPr>
          <w:rFonts w:ascii="Verdana" w:hAnsi="Verdana"/>
        </w:rPr>
      </w:pPr>
    </w:p>
    <w:p w14:paraId="0F362E36" w14:textId="2ADC298D" w:rsidR="00E267B0" w:rsidRDefault="00E267B0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941459" w:rsidRPr="00941459" w14:paraId="3F3AD96A" w14:textId="77777777" w:rsidTr="00941459">
        <w:trPr>
          <w:trHeight w:val="288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66C2" w14:textId="77777777" w:rsidR="00941459" w:rsidRPr="00941459" w:rsidRDefault="00941459" w:rsidP="00941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C-4602-1500-9-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704080-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4602020-02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FB23" w14:textId="77777777" w:rsidR="00941459" w:rsidRPr="00941459" w:rsidRDefault="00941459" w:rsidP="00941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65AE" w14:textId="77777777" w:rsidR="00941459" w:rsidRPr="00941459" w:rsidRDefault="00941459" w:rsidP="00941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Adquisición de </w:t>
            </w:r>
            <w:proofErr w:type="spellStart"/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bys</w:t>
            </w:r>
            <w:proofErr w:type="spellEnd"/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- servicio de atención integral a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la primera infancia para la promoción de derechos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y prevención de vulneraciones y amenazas -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fortalecimiento de capacidades y disposición de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condiciones y oportunidades que promuevan el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desarrollo integra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7046" w14:textId="77777777" w:rsidR="00941459" w:rsidRPr="00941459" w:rsidRDefault="00941459" w:rsidP="00941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$ 517.786.024.640</w:t>
            </w:r>
          </w:p>
        </w:tc>
      </w:tr>
      <w:tr w:rsidR="00941459" w:rsidRPr="00941459" w14:paraId="21C66925" w14:textId="77777777" w:rsidTr="00941459">
        <w:trPr>
          <w:trHeight w:val="28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382E3" w14:textId="77777777" w:rsidR="00941459" w:rsidRPr="00941459" w:rsidRDefault="00941459" w:rsidP="00941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0DF7" w14:textId="77777777" w:rsidR="00941459" w:rsidRPr="00941459" w:rsidRDefault="00941459" w:rsidP="00941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8BDC" w14:textId="77777777" w:rsidR="00941459" w:rsidRPr="00941459" w:rsidRDefault="00941459" w:rsidP="00941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Recursos corrientes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2335" w14:textId="77777777" w:rsidR="00941459" w:rsidRPr="00941459" w:rsidRDefault="00941459" w:rsidP="00941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$ 17.786.024.640</w:t>
            </w:r>
          </w:p>
        </w:tc>
      </w:tr>
    </w:tbl>
    <w:p w14:paraId="5B32D57F" w14:textId="2434328D" w:rsidR="00E267B0" w:rsidRDefault="00E267B0" w:rsidP="00411E71">
      <w:pPr>
        <w:jc w:val="both"/>
        <w:rPr>
          <w:rFonts w:ascii="Verdana" w:hAnsi="Verdana"/>
        </w:rPr>
      </w:pPr>
    </w:p>
    <w:p w14:paraId="0184067F" w14:textId="250B52A9" w:rsidR="00941459" w:rsidRDefault="00941459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Style w:val="Tablaconcuadrcula"/>
        <w:tblW w:w="6420" w:type="dxa"/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941459" w:rsidRPr="00941459" w14:paraId="798F8AC0" w14:textId="77777777" w:rsidTr="00941459">
        <w:trPr>
          <w:trHeight w:val="288"/>
        </w:trPr>
        <w:tc>
          <w:tcPr>
            <w:tcW w:w="1240" w:type="dxa"/>
            <w:vMerge w:val="restart"/>
            <w:hideMark/>
          </w:tcPr>
          <w:p w14:paraId="67BF96B8" w14:textId="77777777" w:rsidR="00941459" w:rsidRPr="00941459" w:rsidRDefault="00941459" w:rsidP="0094145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C-4602-1500-9-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704080-4602021</w:t>
            </w:r>
          </w:p>
        </w:tc>
        <w:tc>
          <w:tcPr>
            <w:tcW w:w="1240" w:type="dxa"/>
            <w:hideMark/>
          </w:tcPr>
          <w:p w14:paraId="3C060ECC" w14:textId="77777777" w:rsidR="00941459" w:rsidRPr="00941459" w:rsidRDefault="00941459" w:rsidP="0094145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hideMark/>
          </w:tcPr>
          <w:p w14:paraId="4F728EE9" w14:textId="77777777" w:rsidR="00941459" w:rsidRPr="00941459" w:rsidRDefault="00941459" w:rsidP="0094145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Servicio de atención integral para la promoción de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derechos y prevención de vulneraciones de niñas,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niños y adolescentes</w:t>
            </w:r>
          </w:p>
        </w:tc>
        <w:tc>
          <w:tcPr>
            <w:tcW w:w="1920" w:type="dxa"/>
            <w:hideMark/>
          </w:tcPr>
          <w:p w14:paraId="78E16293" w14:textId="77777777" w:rsidR="00941459" w:rsidRPr="00941459" w:rsidRDefault="00941459" w:rsidP="0094145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$ 216.257.306.405</w:t>
            </w:r>
          </w:p>
        </w:tc>
      </w:tr>
      <w:tr w:rsidR="00941459" w:rsidRPr="00941459" w14:paraId="6314ADFA" w14:textId="77777777" w:rsidTr="00941459">
        <w:trPr>
          <w:trHeight w:val="288"/>
        </w:trPr>
        <w:tc>
          <w:tcPr>
            <w:tcW w:w="1240" w:type="dxa"/>
            <w:vMerge/>
            <w:hideMark/>
          </w:tcPr>
          <w:p w14:paraId="12CAD094" w14:textId="77777777" w:rsidR="00941459" w:rsidRPr="00941459" w:rsidRDefault="00941459" w:rsidP="00941459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hideMark/>
          </w:tcPr>
          <w:p w14:paraId="09B075BE" w14:textId="77777777" w:rsidR="00941459" w:rsidRPr="00941459" w:rsidRDefault="00941459" w:rsidP="0094145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2020" w:type="dxa"/>
            <w:hideMark/>
          </w:tcPr>
          <w:p w14:paraId="51A1A16F" w14:textId="77777777" w:rsidR="00941459" w:rsidRPr="00941459" w:rsidRDefault="00941459" w:rsidP="0094145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Recursos corrientes</w:t>
            </w:r>
          </w:p>
        </w:tc>
        <w:tc>
          <w:tcPr>
            <w:tcW w:w="1920" w:type="dxa"/>
            <w:hideMark/>
          </w:tcPr>
          <w:p w14:paraId="40BB0DFE" w14:textId="77777777" w:rsidR="00941459" w:rsidRPr="00941459" w:rsidRDefault="00941459" w:rsidP="0094145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$ 216.257.306.405</w:t>
            </w:r>
          </w:p>
        </w:tc>
      </w:tr>
      <w:tr w:rsidR="00941459" w:rsidRPr="00941459" w14:paraId="7BE22848" w14:textId="77777777" w:rsidTr="00941459">
        <w:trPr>
          <w:trHeight w:val="576"/>
        </w:trPr>
        <w:tc>
          <w:tcPr>
            <w:tcW w:w="1240" w:type="dxa"/>
            <w:vMerge w:val="restart"/>
            <w:hideMark/>
          </w:tcPr>
          <w:p w14:paraId="2B632E75" w14:textId="77777777" w:rsidR="00941459" w:rsidRPr="00941459" w:rsidRDefault="00941459" w:rsidP="0094145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C-4602-1500-9-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704080-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4602021-02</w:t>
            </w:r>
          </w:p>
        </w:tc>
        <w:tc>
          <w:tcPr>
            <w:tcW w:w="1240" w:type="dxa"/>
            <w:noWrap/>
            <w:hideMark/>
          </w:tcPr>
          <w:p w14:paraId="16FA01CB" w14:textId="77777777" w:rsidR="00941459" w:rsidRPr="00941459" w:rsidRDefault="00941459" w:rsidP="0094145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hideMark/>
          </w:tcPr>
          <w:p w14:paraId="10238092" w14:textId="77777777" w:rsidR="00941459" w:rsidRPr="00941459" w:rsidRDefault="00941459" w:rsidP="0094145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Adquisición de </w:t>
            </w:r>
            <w:proofErr w:type="spellStart"/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bys</w:t>
            </w:r>
            <w:proofErr w:type="spellEnd"/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- servicio de atención integral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para la promoción de derechos y prevención de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vulneraciones de niñas, niños y adolescentes -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fortalecimiento de capacidades y disposición de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condiciones y oportunidades que promuevan el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desarrollo integra</w:t>
            </w:r>
          </w:p>
        </w:tc>
        <w:tc>
          <w:tcPr>
            <w:tcW w:w="1920" w:type="dxa"/>
            <w:hideMark/>
          </w:tcPr>
          <w:p w14:paraId="3D0820E1" w14:textId="77777777" w:rsidR="00941459" w:rsidRPr="00941459" w:rsidRDefault="00941459" w:rsidP="0094145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$ 216.257.306.405</w:t>
            </w:r>
          </w:p>
        </w:tc>
      </w:tr>
      <w:tr w:rsidR="00941459" w:rsidRPr="00941459" w14:paraId="65D4C306" w14:textId="77777777" w:rsidTr="00941459">
        <w:trPr>
          <w:trHeight w:val="288"/>
        </w:trPr>
        <w:tc>
          <w:tcPr>
            <w:tcW w:w="1240" w:type="dxa"/>
            <w:vMerge/>
            <w:hideMark/>
          </w:tcPr>
          <w:p w14:paraId="2E305C7A" w14:textId="77777777" w:rsidR="00941459" w:rsidRPr="00941459" w:rsidRDefault="00941459" w:rsidP="00941459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noWrap/>
            <w:hideMark/>
          </w:tcPr>
          <w:p w14:paraId="105873CA" w14:textId="77777777" w:rsidR="00941459" w:rsidRPr="00941459" w:rsidRDefault="00941459" w:rsidP="0094145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2020" w:type="dxa"/>
            <w:hideMark/>
          </w:tcPr>
          <w:p w14:paraId="2C5EBA17" w14:textId="77777777" w:rsidR="00941459" w:rsidRPr="00941459" w:rsidRDefault="00941459" w:rsidP="0094145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Recursos corrientes</w:t>
            </w:r>
          </w:p>
        </w:tc>
        <w:tc>
          <w:tcPr>
            <w:tcW w:w="1920" w:type="dxa"/>
            <w:hideMark/>
          </w:tcPr>
          <w:p w14:paraId="4915D68D" w14:textId="77777777" w:rsidR="00941459" w:rsidRPr="00941459" w:rsidRDefault="00941459" w:rsidP="0094145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$ 216.257.306.405</w:t>
            </w:r>
          </w:p>
        </w:tc>
      </w:tr>
    </w:tbl>
    <w:p w14:paraId="3E6EEEA8" w14:textId="77777777" w:rsidR="00941459" w:rsidRDefault="00941459" w:rsidP="00411E71">
      <w:pPr>
        <w:jc w:val="both"/>
        <w:rPr>
          <w:rFonts w:ascii="Verdana" w:hAnsi="Verdana"/>
        </w:rPr>
      </w:pPr>
    </w:p>
    <w:p w14:paraId="15B704F3" w14:textId="2E9FC65F" w:rsidR="00E267B0" w:rsidRDefault="00941459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Style w:val="Tablaconcuadrcula"/>
        <w:tblW w:w="6420" w:type="dxa"/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941459" w:rsidRPr="00941459" w14:paraId="735E2E96" w14:textId="77777777" w:rsidTr="00941459">
        <w:trPr>
          <w:trHeight w:val="288"/>
        </w:trPr>
        <w:tc>
          <w:tcPr>
            <w:tcW w:w="1240" w:type="dxa"/>
            <w:hideMark/>
          </w:tcPr>
          <w:p w14:paraId="7EE5F06D" w14:textId="77777777" w:rsidR="00941459" w:rsidRPr="00941459" w:rsidRDefault="00941459" w:rsidP="00941459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C-4602-1500-9-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704080-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4602022-02</w:t>
            </w:r>
          </w:p>
        </w:tc>
        <w:tc>
          <w:tcPr>
            <w:tcW w:w="1240" w:type="dxa"/>
            <w:hideMark/>
          </w:tcPr>
          <w:p w14:paraId="56459323" w14:textId="77777777" w:rsidR="00941459" w:rsidRPr="00941459" w:rsidRDefault="00941459" w:rsidP="0094145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hideMark/>
          </w:tcPr>
          <w:p w14:paraId="462A8433" w14:textId="77777777" w:rsidR="00941459" w:rsidRPr="00941459" w:rsidRDefault="00941459" w:rsidP="0094145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Adquisición de </w:t>
            </w:r>
            <w:proofErr w:type="spellStart"/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bys</w:t>
            </w:r>
            <w:proofErr w:type="spellEnd"/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- servicio de atención integral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a las familias y comunidades - fortalecimiento de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capacidades y disposición de condiciones y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oportunidades que promuevan el desarrollo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integral de las niñas, niños, adolescentes,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familias y comunidades</w:t>
            </w:r>
          </w:p>
        </w:tc>
        <w:tc>
          <w:tcPr>
            <w:tcW w:w="1920" w:type="dxa"/>
            <w:hideMark/>
          </w:tcPr>
          <w:p w14:paraId="681E743D" w14:textId="77777777" w:rsidR="00941459" w:rsidRPr="00941459" w:rsidRDefault="00941459" w:rsidP="0094145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$ 180.000.000.000</w:t>
            </w:r>
          </w:p>
        </w:tc>
      </w:tr>
    </w:tbl>
    <w:p w14:paraId="4289E807" w14:textId="51AE477B" w:rsidR="00941459" w:rsidRDefault="00941459" w:rsidP="00411E71">
      <w:pPr>
        <w:jc w:val="both"/>
        <w:rPr>
          <w:rFonts w:ascii="Verdana" w:hAnsi="Verdana"/>
        </w:rPr>
      </w:pPr>
    </w:p>
    <w:p w14:paraId="25F91A58" w14:textId="07F55653" w:rsidR="00941459" w:rsidRDefault="00941459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941459" w:rsidRPr="00941459" w14:paraId="75F378A4" w14:textId="77777777" w:rsidTr="00941459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6824" w14:textId="77777777" w:rsidR="00941459" w:rsidRPr="00941459" w:rsidRDefault="00941459" w:rsidP="00941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C-4602-1500-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10-704040-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4602011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0DBD" w14:textId="77777777" w:rsidR="00941459" w:rsidRPr="00941459" w:rsidRDefault="00941459" w:rsidP="00941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CB46" w14:textId="77777777" w:rsidR="00941459" w:rsidRPr="00941459" w:rsidRDefault="00941459" w:rsidP="00941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Servicio de asistencia técnica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1E70" w14:textId="77777777" w:rsidR="00941459" w:rsidRPr="00941459" w:rsidRDefault="00941459" w:rsidP="00941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$ 3.720.867.446</w:t>
            </w:r>
          </w:p>
        </w:tc>
      </w:tr>
    </w:tbl>
    <w:p w14:paraId="69FD6991" w14:textId="06B0B2FF" w:rsidR="00941459" w:rsidRDefault="00941459" w:rsidP="00411E71">
      <w:pPr>
        <w:jc w:val="both"/>
        <w:rPr>
          <w:rFonts w:ascii="Verdana" w:hAnsi="Verdana"/>
        </w:rPr>
      </w:pPr>
    </w:p>
    <w:p w14:paraId="43CF8F9E" w14:textId="072AD700" w:rsidR="00941459" w:rsidRDefault="00941459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941459" w:rsidRPr="00941459" w14:paraId="0C75B5DA" w14:textId="77777777" w:rsidTr="00941459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555C" w14:textId="77777777" w:rsidR="00941459" w:rsidRPr="00941459" w:rsidRDefault="00941459" w:rsidP="00941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C-4602-1500-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10-704040-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4602013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7D39" w14:textId="77777777" w:rsidR="00941459" w:rsidRPr="00941459" w:rsidRDefault="00941459" w:rsidP="00941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9C2C" w14:textId="77777777" w:rsidR="00941459" w:rsidRPr="00941459" w:rsidRDefault="00941459" w:rsidP="00941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Servicio de atención integral a adolescentes y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jóvenes vinculados en procesos de responsabilidad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penal y/o medidas de restablecimiento en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administración de justicia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FAC1" w14:textId="77777777" w:rsidR="00941459" w:rsidRPr="00941459" w:rsidRDefault="00941459" w:rsidP="00941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$ 244.414.303.566</w:t>
            </w:r>
          </w:p>
        </w:tc>
      </w:tr>
    </w:tbl>
    <w:p w14:paraId="1186C9B0" w14:textId="21C9A80E" w:rsidR="00941459" w:rsidRDefault="00941459" w:rsidP="00411E71">
      <w:pPr>
        <w:jc w:val="both"/>
        <w:rPr>
          <w:rFonts w:ascii="Verdana" w:hAnsi="Verdana"/>
        </w:rPr>
      </w:pPr>
    </w:p>
    <w:p w14:paraId="5040D59C" w14:textId="454E8428" w:rsidR="00941459" w:rsidRDefault="00941459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941459" w:rsidRPr="00941459" w14:paraId="09934ACC" w14:textId="77777777" w:rsidTr="00941459">
        <w:trPr>
          <w:trHeight w:val="288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EFD1" w14:textId="77777777" w:rsidR="00941459" w:rsidRPr="00941459" w:rsidRDefault="00941459" w:rsidP="00941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C-4602-1500-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10-704040-</w:t>
            </w: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4602013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DD46" w14:textId="77777777" w:rsidR="00941459" w:rsidRPr="00941459" w:rsidRDefault="00941459" w:rsidP="00941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21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90AF" w14:textId="77777777" w:rsidR="00941459" w:rsidRPr="00941459" w:rsidRDefault="00941459" w:rsidP="00941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Otros recursos de tesorería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63A4" w14:textId="77777777" w:rsidR="00941459" w:rsidRPr="00941459" w:rsidRDefault="00941459" w:rsidP="00941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$ 10.861.630.260</w:t>
            </w:r>
          </w:p>
        </w:tc>
      </w:tr>
      <w:tr w:rsidR="00941459" w:rsidRPr="00941459" w14:paraId="19F187F4" w14:textId="77777777" w:rsidTr="00941459">
        <w:trPr>
          <w:trHeight w:val="28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91AC5" w14:textId="77777777" w:rsidR="00941459" w:rsidRPr="00941459" w:rsidRDefault="00941459" w:rsidP="00941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ED47" w14:textId="77777777" w:rsidR="00941459" w:rsidRPr="00941459" w:rsidRDefault="00941459" w:rsidP="00941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A46C" w14:textId="77777777" w:rsidR="00941459" w:rsidRPr="00941459" w:rsidRDefault="00941459" w:rsidP="00941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Rentas parafiscales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7EBB" w14:textId="77777777" w:rsidR="00941459" w:rsidRPr="00941459" w:rsidRDefault="00941459" w:rsidP="00941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41459">
              <w:rPr>
                <w:rFonts w:ascii="Calibri" w:eastAsia="Times New Roman" w:hAnsi="Calibri" w:cs="Calibri"/>
                <w:color w:val="000000"/>
                <w:lang w:eastAsia="es-CO"/>
              </w:rPr>
              <w:t>$ 91.888.176.988</w:t>
            </w:r>
          </w:p>
        </w:tc>
      </w:tr>
    </w:tbl>
    <w:p w14:paraId="7030CDA4" w14:textId="57F5F293" w:rsidR="00941459" w:rsidRDefault="00941459" w:rsidP="00411E71">
      <w:pPr>
        <w:jc w:val="both"/>
        <w:rPr>
          <w:rFonts w:ascii="Verdana" w:hAnsi="Verdana"/>
        </w:rPr>
      </w:pPr>
    </w:p>
    <w:p w14:paraId="1167D7D5" w14:textId="1B52B474" w:rsidR="0053430C" w:rsidRDefault="0053430C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53430C" w:rsidRPr="0053430C" w14:paraId="135FF218" w14:textId="77777777" w:rsidTr="0053430C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DDA6" w14:textId="77777777" w:rsidR="0053430C" w:rsidRPr="0053430C" w:rsidRDefault="0053430C" w:rsidP="00534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t>C-4602-1500-</w:t>
            </w: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10-704040-</w:t>
            </w: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4602013-02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E7F2" w14:textId="77777777" w:rsidR="0053430C" w:rsidRPr="0053430C" w:rsidRDefault="0053430C" w:rsidP="0053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030F" w14:textId="77777777" w:rsidR="0053430C" w:rsidRPr="0053430C" w:rsidRDefault="0053430C" w:rsidP="0053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Adquisición de </w:t>
            </w:r>
            <w:proofErr w:type="spellStart"/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t>bys</w:t>
            </w:r>
            <w:proofErr w:type="spellEnd"/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- servicio de atención integral a</w:t>
            </w: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adolescentes y jóvenes vinculados en procesos de</w:t>
            </w: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responsabilidad penal y/o medidas de</w:t>
            </w: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restablecimiento en administración de justicia. -</w:t>
            </w: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fortalecimiento de capacidades individuales,</w:t>
            </w: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familiares e institucional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469F" w14:textId="77777777" w:rsidR="0053430C" w:rsidRPr="0053430C" w:rsidRDefault="0053430C" w:rsidP="0053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t>$ 244.414.303.566</w:t>
            </w:r>
          </w:p>
        </w:tc>
      </w:tr>
    </w:tbl>
    <w:p w14:paraId="4EE191D1" w14:textId="21668547" w:rsidR="0053430C" w:rsidRDefault="0053430C" w:rsidP="00411E71">
      <w:pPr>
        <w:jc w:val="both"/>
        <w:rPr>
          <w:rFonts w:ascii="Verdana" w:hAnsi="Verdana"/>
        </w:rPr>
      </w:pPr>
    </w:p>
    <w:p w14:paraId="7513BB26" w14:textId="625E1844" w:rsidR="0053430C" w:rsidRDefault="0053430C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53430C" w:rsidRPr="0053430C" w14:paraId="07AC3DC4" w14:textId="77777777" w:rsidTr="0053430C">
        <w:trPr>
          <w:trHeight w:val="288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6839" w14:textId="77777777" w:rsidR="0053430C" w:rsidRPr="0053430C" w:rsidRDefault="0053430C" w:rsidP="0053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t>C-4602-1500-</w:t>
            </w: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10-704040-</w:t>
            </w: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4602013-02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104C" w14:textId="77777777" w:rsidR="0053430C" w:rsidRPr="0053430C" w:rsidRDefault="0053430C" w:rsidP="0053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t>21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194A" w14:textId="77777777" w:rsidR="0053430C" w:rsidRPr="0053430C" w:rsidRDefault="0053430C" w:rsidP="0053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t>Otros recursos de tesorería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F217" w14:textId="77777777" w:rsidR="0053430C" w:rsidRPr="0053430C" w:rsidRDefault="0053430C" w:rsidP="0053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t>$ 10.861.630.260</w:t>
            </w:r>
          </w:p>
        </w:tc>
      </w:tr>
      <w:tr w:rsidR="0053430C" w:rsidRPr="0053430C" w14:paraId="647AF27F" w14:textId="77777777" w:rsidTr="0053430C">
        <w:trPr>
          <w:trHeight w:val="28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A40C5" w14:textId="77777777" w:rsidR="0053430C" w:rsidRPr="0053430C" w:rsidRDefault="0053430C" w:rsidP="00534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CB16" w14:textId="77777777" w:rsidR="0053430C" w:rsidRPr="0053430C" w:rsidRDefault="0053430C" w:rsidP="0053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FF34" w14:textId="77777777" w:rsidR="0053430C" w:rsidRPr="0053430C" w:rsidRDefault="0053430C" w:rsidP="0053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Rentas parafiscales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639A" w14:textId="77777777" w:rsidR="0053430C" w:rsidRPr="0053430C" w:rsidRDefault="0053430C" w:rsidP="0053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t>$ 91.888.176.988</w:t>
            </w:r>
          </w:p>
        </w:tc>
      </w:tr>
    </w:tbl>
    <w:p w14:paraId="4ED5CC82" w14:textId="288910A2" w:rsidR="0053430C" w:rsidRDefault="0053430C" w:rsidP="00411E71">
      <w:pPr>
        <w:jc w:val="both"/>
        <w:rPr>
          <w:rFonts w:ascii="Verdana" w:hAnsi="Verdana"/>
        </w:rPr>
      </w:pPr>
    </w:p>
    <w:p w14:paraId="2D4FEA53" w14:textId="66172EEC" w:rsidR="0053430C" w:rsidRDefault="0053430C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53430C" w:rsidRPr="0053430C" w14:paraId="043C9DB2" w14:textId="77777777" w:rsidTr="0053430C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C89F" w14:textId="77777777" w:rsidR="0053430C" w:rsidRPr="0053430C" w:rsidRDefault="0053430C" w:rsidP="00534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t>C-4602-1500-</w:t>
            </w: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10-704040-</w:t>
            </w: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4602014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57D9" w14:textId="77777777" w:rsidR="0053430C" w:rsidRPr="0053430C" w:rsidRDefault="0053430C" w:rsidP="0053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02BC" w14:textId="77777777" w:rsidR="0053430C" w:rsidRPr="0053430C" w:rsidRDefault="0053430C" w:rsidP="0053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t>Servicio de protección para el restablecimiento de</w:t>
            </w: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 xml:space="preserve">derechos de niños, niñas, adolescentes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DD82" w14:textId="77777777" w:rsidR="0053430C" w:rsidRPr="0053430C" w:rsidRDefault="0053430C" w:rsidP="0053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t>$ 1.279.598.466.392</w:t>
            </w:r>
          </w:p>
        </w:tc>
      </w:tr>
    </w:tbl>
    <w:p w14:paraId="22700EB2" w14:textId="4A5F08EB" w:rsidR="0053430C" w:rsidRDefault="0053430C" w:rsidP="00411E71">
      <w:pPr>
        <w:jc w:val="both"/>
        <w:rPr>
          <w:rFonts w:ascii="Verdana" w:hAnsi="Verdana"/>
        </w:rPr>
      </w:pPr>
    </w:p>
    <w:p w14:paraId="3AE5FCBB" w14:textId="29C63FE3" w:rsidR="0053430C" w:rsidRDefault="0053430C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53430C" w:rsidRPr="0053430C" w14:paraId="09724DA4" w14:textId="77777777" w:rsidTr="0053430C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38D4" w14:textId="77777777" w:rsidR="0053430C" w:rsidRPr="0053430C" w:rsidRDefault="0053430C" w:rsidP="00534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t>C-4602-1500-</w:t>
            </w: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10-704040-</w:t>
            </w: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4602014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0B76" w14:textId="77777777" w:rsidR="0053430C" w:rsidRPr="0053430C" w:rsidRDefault="0053430C" w:rsidP="0053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t>21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7DAB" w14:textId="77777777" w:rsidR="0053430C" w:rsidRPr="0053430C" w:rsidRDefault="0053430C" w:rsidP="0053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t>Otros recursos de tesorería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CDC1" w14:textId="77777777" w:rsidR="0053430C" w:rsidRPr="0053430C" w:rsidRDefault="0053430C" w:rsidP="00534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430C">
              <w:rPr>
                <w:rFonts w:ascii="Calibri" w:eastAsia="Times New Roman" w:hAnsi="Calibri" w:cs="Calibri"/>
                <w:color w:val="000000"/>
                <w:lang w:eastAsia="es-CO"/>
              </w:rPr>
              <w:t>$ 213.071.256.199</w:t>
            </w:r>
          </w:p>
        </w:tc>
      </w:tr>
    </w:tbl>
    <w:p w14:paraId="358D9E63" w14:textId="0E66E801" w:rsidR="0053430C" w:rsidRDefault="0053430C" w:rsidP="00411E71">
      <w:pPr>
        <w:jc w:val="both"/>
        <w:rPr>
          <w:rFonts w:ascii="Verdana" w:hAnsi="Verdana"/>
        </w:rPr>
      </w:pPr>
    </w:p>
    <w:p w14:paraId="1CDF1FE5" w14:textId="3B7DCCA2" w:rsidR="0053430C" w:rsidRDefault="0053430C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D238A2" w:rsidRPr="00D238A2" w14:paraId="5E35D751" w14:textId="77777777" w:rsidTr="00D238A2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F207" w14:textId="77777777" w:rsidR="00D238A2" w:rsidRPr="00D238A2" w:rsidRDefault="00D238A2" w:rsidP="00D23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C-4602-1500-</w:t>
            </w: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10-704040-</w:t>
            </w: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4602014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C599" w14:textId="77777777" w:rsidR="00D238A2" w:rsidRPr="00D238A2" w:rsidRDefault="00D238A2" w:rsidP="00D23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23E6" w14:textId="77777777" w:rsidR="00D238A2" w:rsidRPr="00D238A2" w:rsidRDefault="00D238A2" w:rsidP="00D23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Rentas parafiscales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F391" w14:textId="77777777" w:rsidR="00D238A2" w:rsidRPr="00D238A2" w:rsidRDefault="00D238A2" w:rsidP="00D23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$ 1.043.759.161.019</w:t>
            </w:r>
          </w:p>
        </w:tc>
      </w:tr>
    </w:tbl>
    <w:p w14:paraId="6420441B" w14:textId="25D419D3" w:rsidR="0053430C" w:rsidRDefault="0053430C" w:rsidP="00411E71">
      <w:pPr>
        <w:jc w:val="both"/>
        <w:rPr>
          <w:rFonts w:ascii="Verdana" w:hAnsi="Verdana"/>
        </w:rPr>
      </w:pPr>
    </w:p>
    <w:p w14:paraId="54EF84CC" w14:textId="60CAF01E" w:rsidR="00D238A2" w:rsidRDefault="00D238A2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D238A2" w:rsidRPr="00D238A2" w14:paraId="004ED028" w14:textId="77777777" w:rsidTr="00D238A2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8493" w14:textId="77777777" w:rsidR="00D238A2" w:rsidRPr="00D238A2" w:rsidRDefault="00D238A2" w:rsidP="00D23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C-4602-1500-</w:t>
            </w: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10-704040-</w:t>
            </w: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4602014-02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D911" w14:textId="77777777" w:rsidR="00D238A2" w:rsidRPr="00D238A2" w:rsidRDefault="00D238A2" w:rsidP="00D23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21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169A" w14:textId="77777777" w:rsidR="00D238A2" w:rsidRPr="00D238A2" w:rsidRDefault="00D238A2" w:rsidP="00D23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Otros recursos de </w:t>
            </w:r>
            <w:proofErr w:type="spellStart"/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tesorerí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D8FA" w14:textId="77777777" w:rsidR="00D238A2" w:rsidRPr="00D238A2" w:rsidRDefault="00D238A2" w:rsidP="00D23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$ 213.071.256.199</w:t>
            </w:r>
          </w:p>
        </w:tc>
      </w:tr>
    </w:tbl>
    <w:p w14:paraId="646A940D" w14:textId="7D95918F" w:rsidR="00D238A2" w:rsidRDefault="00D238A2" w:rsidP="00411E71">
      <w:pPr>
        <w:jc w:val="both"/>
        <w:rPr>
          <w:rFonts w:ascii="Verdana" w:hAnsi="Verdana"/>
        </w:rPr>
      </w:pPr>
    </w:p>
    <w:p w14:paraId="6DFE27BD" w14:textId="6E6CFB10" w:rsidR="00D238A2" w:rsidRDefault="00D238A2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D238A2" w:rsidRPr="00D238A2" w14:paraId="33A1F976" w14:textId="77777777" w:rsidTr="00D238A2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0A69" w14:textId="77777777" w:rsidR="00D238A2" w:rsidRPr="00D238A2" w:rsidRDefault="00D238A2" w:rsidP="00D23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C-4602-1500-</w:t>
            </w: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10-704040-</w:t>
            </w: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4602014-02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0DBA" w14:textId="77777777" w:rsidR="00D238A2" w:rsidRPr="00D238A2" w:rsidRDefault="00D238A2" w:rsidP="00D23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5929" w14:textId="77777777" w:rsidR="00D238A2" w:rsidRPr="00D238A2" w:rsidRDefault="00D238A2" w:rsidP="00D23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Rentas </w:t>
            </w:r>
            <w:proofErr w:type="spellStart"/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parafiscale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5A67" w14:textId="77777777" w:rsidR="00D238A2" w:rsidRPr="00D238A2" w:rsidRDefault="00D238A2" w:rsidP="00D23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$ 1.043.759.161.019</w:t>
            </w:r>
          </w:p>
        </w:tc>
      </w:tr>
      <w:tr w:rsidR="00D238A2" w:rsidRPr="00D238A2" w14:paraId="5E1BC35A" w14:textId="77777777" w:rsidTr="00D238A2">
        <w:trPr>
          <w:trHeight w:val="201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E7C0" w14:textId="77777777" w:rsidR="00D238A2" w:rsidRPr="00D238A2" w:rsidRDefault="00D238A2" w:rsidP="00D23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C-4602-1500-</w:t>
            </w: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10-704040-</w:t>
            </w: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4602015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A051" w14:textId="77777777" w:rsidR="00D238A2" w:rsidRPr="00D238A2" w:rsidRDefault="00D238A2" w:rsidP="00D23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2F06" w14:textId="77777777" w:rsidR="00D238A2" w:rsidRPr="00D238A2" w:rsidRDefault="00D238A2" w:rsidP="00D23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Servicio de apoyo técnico para la articulación con</w:t>
            </w: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los actores del sistema nacional de bienestar</w:t>
            </w: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familiar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CCBA" w14:textId="77777777" w:rsidR="00D238A2" w:rsidRPr="00D238A2" w:rsidRDefault="00D238A2" w:rsidP="00D23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$ 42.871.874.808</w:t>
            </w:r>
          </w:p>
        </w:tc>
      </w:tr>
    </w:tbl>
    <w:p w14:paraId="65E8814F" w14:textId="2225EDC9" w:rsidR="00D238A2" w:rsidRDefault="00D238A2" w:rsidP="00411E71">
      <w:pPr>
        <w:jc w:val="both"/>
        <w:rPr>
          <w:rFonts w:ascii="Verdana" w:hAnsi="Verdana"/>
        </w:rPr>
      </w:pPr>
    </w:p>
    <w:p w14:paraId="2420087F" w14:textId="2967820F" w:rsidR="00D238A2" w:rsidRDefault="00D238A2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D238A2" w:rsidRPr="00D238A2" w14:paraId="21DC9505" w14:textId="77777777" w:rsidTr="00D238A2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6B7F" w14:textId="77777777" w:rsidR="00D238A2" w:rsidRPr="00D238A2" w:rsidRDefault="00D238A2" w:rsidP="00D23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C-4602-1500-</w:t>
            </w: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10-704040-</w:t>
            </w: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4602015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AB18" w14:textId="77777777" w:rsidR="00D238A2" w:rsidRPr="00D238A2" w:rsidRDefault="00D238A2" w:rsidP="00D23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AE41" w14:textId="77777777" w:rsidR="00D238A2" w:rsidRPr="00D238A2" w:rsidRDefault="00D238A2" w:rsidP="00D23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Rentas </w:t>
            </w:r>
            <w:proofErr w:type="spellStart"/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parafiscale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DB3E" w14:textId="77777777" w:rsidR="00D238A2" w:rsidRPr="00D238A2" w:rsidRDefault="00D238A2" w:rsidP="00D23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$ 797.116.727</w:t>
            </w:r>
          </w:p>
        </w:tc>
      </w:tr>
    </w:tbl>
    <w:p w14:paraId="02F54DF9" w14:textId="6589824B" w:rsidR="00D238A2" w:rsidRDefault="00D238A2" w:rsidP="00411E71">
      <w:pPr>
        <w:jc w:val="both"/>
        <w:rPr>
          <w:rFonts w:ascii="Verdana" w:hAnsi="Verdana"/>
        </w:rPr>
      </w:pPr>
    </w:p>
    <w:p w14:paraId="6758702E" w14:textId="0021B86A" w:rsidR="00D238A2" w:rsidRDefault="00D238A2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D238A2" w:rsidRPr="00D238A2" w14:paraId="1AAC2B14" w14:textId="77777777" w:rsidTr="00D238A2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7B7A" w14:textId="77777777" w:rsidR="00D238A2" w:rsidRPr="00D238A2" w:rsidRDefault="00D238A2" w:rsidP="00D23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C-4602-1500-</w:t>
            </w: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10-704040-</w:t>
            </w: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4602015-02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A27A" w14:textId="77777777" w:rsidR="00D238A2" w:rsidRPr="00D238A2" w:rsidRDefault="00D238A2" w:rsidP="00D23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1422" w14:textId="77777777" w:rsidR="00D238A2" w:rsidRPr="00D238A2" w:rsidRDefault="00D238A2" w:rsidP="00D23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Adquisición de </w:t>
            </w:r>
            <w:proofErr w:type="spellStart"/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bys</w:t>
            </w:r>
            <w:proofErr w:type="spellEnd"/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- servicio de apoyo técnico para</w:t>
            </w: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la articulación con los actores del sistema nacional</w:t>
            </w: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de bienestar familiar - fortalecimiento de</w:t>
            </w: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capacidades individuales, familiares e</w:t>
            </w: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institucionales para prevenir y atender la</w:t>
            </w: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materialización del riesgo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592E" w14:textId="77777777" w:rsidR="00D238A2" w:rsidRPr="00D238A2" w:rsidRDefault="00D238A2" w:rsidP="00D23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$ 42.871.874.808</w:t>
            </w:r>
          </w:p>
        </w:tc>
      </w:tr>
    </w:tbl>
    <w:p w14:paraId="28AC6033" w14:textId="0FA12507" w:rsidR="00D238A2" w:rsidRDefault="00D238A2" w:rsidP="00411E71">
      <w:pPr>
        <w:jc w:val="both"/>
        <w:rPr>
          <w:rFonts w:ascii="Verdana" w:hAnsi="Verdana"/>
        </w:rPr>
      </w:pPr>
    </w:p>
    <w:p w14:paraId="341629D4" w14:textId="6C42A3FA" w:rsidR="00D238A2" w:rsidRDefault="00D238A2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D238A2" w:rsidRPr="00D238A2" w14:paraId="3293644A" w14:textId="77777777" w:rsidTr="00D238A2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A388" w14:textId="77777777" w:rsidR="00D238A2" w:rsidRPr="00D238A2" w:rsidRDefault="00D238A2" w:rsidP="00D23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C-4602-1500-</w:t>
            </w: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10-704040-</w:t>
            </w: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4602015-02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6E5A" w14:textId="77777777" w:rsidR="00D238A2" w:rsidRPr="00D238A2" w:rsidRDefault="00D238A2" w:rsidP="00D23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3348" w14:textId="77777777" w:rsidR="00D238A2" w:rsidRPr="00D238A2" w:rsidRDefault="00D238A2" w:rsidP="00D23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Rentas parafiscales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4106" w14:textId="77777777" w:rsidR="00D238A2" w:rsidRPr="00D238A2" w:rsidRDefault="00D238A2" w:rsidP="00D23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$ 797.116.727</w:t>
            </w:r>
          </w:p>
        </w:tc>
      </w:tr>
    </w:tbl>
    <w:p w14:paraId="53998E7A" w14:textId="1AC3585E" w:rsidR="00D238A2" w:rsidRDefault="00D238A2" w:rsidP="00411E71">
      <w:pPr>
        <w:jc w:val="both"/>
        <w:rPr>
          <w:rFonts w:ascii="Verdana" w:hAnsi="Verdana"/>
        </w:rPr>
      </w:pPr>
    </w:p>
    <w:p w14:paraId="5321DD92" w14:textId="619F5CA3" w:rsidR="00D238A2" w:rsidRDefault="00D238A2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D238A2" w:rsidRPr="00D238A2" w14:paraId="536342F1" w14:textId="77777777" w:rsidTr="00D238A2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8ADC" w14:textId="77777777" w:rsidR="00D238A2" w:rsidRPr="00D238A2" w:rsidRDefault="00D238A2" w:rsidP="00D23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C-4699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EC91" w14:textId="77777777" w:rsidR="00D238A2" w:rsidRPr="00D238A2" w:rsidRDefault="00D238A2" w:rsidP="00D23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5DEE" w14:textId="77777777" w:rsidR="00D238A2" w:rsidRPr="00D238A2" w:rsidRDefault="00D238A2" w:rsidP="00D23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Fortalecimiento y apoyo a la gestión institucional</w:t>
            </w: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 xml:space="preserve">del sector igualdad y equidad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327A" w14:textId="77777777" w:rsidR="00D238A2" w:rsidRPr="00D238A2" w:rsidRDefault="00D238A2" w:rsidP="00D23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238A2">
              <w:rPr>
                <w:rFonts w:ascii="Calibri" w:eastAsia="Times New Roman" w:hAnsi="Calibri" w:cs="Calibri"/>
                <w:color w:val="000000"/>
                <w:lang w:eastAsia="es-CO"/>
              </w:rPr>
              <w:t>$ 480.000.000.000</w:t>
            </w:r>
          </w:p>
        </w:tc>
      </w:tr>
    </w:tbl>
    <w:p w14:paraId="39B1CD21" w14:textId="26BE3776" w:rsidR="00D238A2" w:rsidRDefault="00D238A2" w:rsidP="00411E71">
      <w:pPr>
        <w:jc w:val="both"/>
        <w:rPr>
          <w:rFonts w:ascii="Verdana" w:hAnsi="Verdana"/>
        </w:rPr>
      </w:pPr>
    </w:p>
    <w:p w14:paraId="6A6280C8" w14:textId="73E64F24" w:rsidR="00D238A2" w:rsidRDefault="00D238A2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277C82" w:rsidRPr="00277C82" w14:paraId="21BBDD44" w14:textId="77777777" w:rsidTr="00277C82">
        <w:trPr>
          <w:trHeight w:val="288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32D5" w14:textId="77777777" w:rsidR="00277C82" w:rsidRPr="00277C82" w:rsidRDefault="00277C82" w:rsidP="0027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7C82">
              <w:rPr>
                <w:rFonts w:ascii="Calibri" w:eastAsia="Times New Roman" w:hAnsi="Calibri" w:cs="Calibri"/>
                <w:color w:val="000000"/>
                <w:lang w:eastAsia="es-CO"/>
              </w:rPr>
              <w:t>C-4699-1500-3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F72A" w14:textId="77777777" w:rsidR="00277C82" w:rsidRPr="00277C82" w:rsidRDefault="00277C82" w:rsidP="0027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7C8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BB4E" w14:textId="77777777" w:rsidR="00277C82" w:rsidRPr="00277C82" w:rsidRDefault="00277C82" w:rsidP="0027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7C82">
              <w:rPr>
                <w:rFonts w:ascii="Calibri" w:eastAsia="Times New Roman" w:hAnsi="Calibri" w:cs="Calibri"/>
                <w:color w:val="000000"/>
                <w:lang w:eastAsia="es-CO"/>
              </w:rPr>
              <w:t>Fortalecimiento de la capacidad institucional del</w:t>
            </w:r>
            <w:r w:rsidRPr="00277C8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ICBF brindando el soporte oportuno y necesario</w:t>
            </w:r>
            <w:r w:rsidRPr="00277C82">
              <w:rPr>
                <w:rFonts w:ascii="Calibri" w:eastAsia="Times New Roman" w:hAnsi="Calibri" w:cs="Calibri"/>
                <w:color w:val="000000"/>
                <w:lang w:eastAsia="es-CO"/>
              </w:rPr>
              <w:br/>
            </w:r>
            <w:r w:rsidRPr="00277C82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para la adecuada prestación del servicio público de</w:t>
            </w:r>
            <w:r w:rsidRPr="00277C8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bienestar familiar a nivel nacional y territorial</w:t>
            </w:r>
            <w:r w:rsidRPr="00277C8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nacional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9040" w14:textId="77777777" w:rsidR="00277C82" w:rsidRPr="00277C82" w:rsidRDefault="00277C82" w:rsidP="0027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7C82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$ 400.000.000.000</w:t>
            </w:r>
          </w:p>
        </w:tc>
      </w:tr>
      <w:tr w:rsidR="00277C82" w:rsidRPr="00277C82" w14:paraId="64CEE01E" w14:textId="77777777" w:rsidTr="00277C82">
        <w:trPr>
          <w:trHeight w:val="28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43067" w14:textId="77777777" w:rsidR="00277C82" w:rsidRPr="00277C82" w:rsidRDefault="00277C82" w:rsidP="00277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A9D2" w14:textId="77777777" w:rsidR="00277C82" w:rsidRPr="00277C82" w:rsidRDefault="00277C82" w:rsidP="0027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7C82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C54A" w14:textId="77777777" w:rsidR="00277C82" w:rsidRPr="00277C82" w:rsidRDefault="00277C82" w:rsidP="0027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7C82">
              <w:rPr>
                <w:rFonts w:ascii="Calibri" w:eastAsia="Times New Roman" w:hAnsi="Calibri" w:cs="Calibri"/>
                <w:color w:val="000000"/>
                <w:lang w:eastAsia="es-CO"/>
              </w:rPr>
              <w:t>Rentas parafiscales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8638" w14:textId="77777777" w:rsidR="00277C82" w:rsidRPr="00277C82" w:rsidRDefault="00277C82" w:rsidP="0027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7C82">
              <w:rPr>
                <w:rFonts w:ascii="Calibri" w:eastAsia="Times New Roman" w:hAnsi="Calibri" w:cs="Calibri"/>
                <w:color w:val="000000"/>
                <w:lang w:eastAsia="es-CO"/>
              </w:rPr>
              <w:t>$ 400.000.000.000</w:t>
            </w:r>
          </w:p>
        </w:tc>
      </w:tr>
    </w:tbl>
    <w:p w14:paraId="65770C84" w14:textId="427B1FDF" w:rsidR="00D238A2" w:rsidRDefault="00D238A2" w:rsidP="00411E71">
      <w:pPr>
        <w:jc w:val="both"/>
        <w:rPr>
          <w:rFonts w:ascii="Verdana" w:hAnsi="Verdana"/>
        </w:rPr>
      </w:pPr>
    </w:p>
    <w:p w14:paraId="088297AA" w14:textId="201D8BDF" w:rsidR="00277C82" w:rsidRDefault="00277C82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Style w:val="Tablaconcuadrcula"/>
        <w:tblW w:w="6420" w:type="dxa"/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277C82" w:rsidRPr="00277C82" w14:paraId="458CEE7D" w14:textId="77777777" w:rsidTr="00277C82">
        <w:trPr>
          <w:trHeight w:val="1116"/>
        </w:trPr>
        <w:tc>
          <w:tcPr>
            <w:tcW w:w="1240" w:type="dxa"/>
            <w:vMerge w:val="restart"/>
            <w:hideMark/>
          </w:tcPr>
          <w:p w14:paraId="14D9EC43" w14:textId="77777777" w:rsidR="00277C82" w:rsidRPr="00277C82" w:rsidRDefault="00277C82" w:rsidP="00277C82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C-4699-1500-3- 53105b-4699004</w:t>
            </w:r>
          </w:p>
        </w:tc>
        <w:tc>
          <w:tcPr>
            <w:tcW w:w="1240" w:type="dxa"/>
            <w:hideMark/>
          </w:tcPr>
          <w:p w14:paraId="07499518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hideMark/>
          </w:tcPr>
          <w:p w14:paraId="2CE96986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Documentos normativos</w:t>
            </w:r>
          </w:p>
        </w:tc>
        <w:tc>
          <w:tcPr>
            <w:tcW w:w="1920" w:type="dxa"/>
            <w:hideMark/>
          </w:tcPr>
          <w:p w14:paraId="11820F2D" w14:textId="77777777" w:rsidR="00277C82" w:rsidRPr="00277C82" w:rsidRDefault="00277C82" w:rsidP="00277C82">
            <w:pPr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$ 1.576.510.437</w:t>
            </w:r>
          </w:p>
        </w:tc>
      </w:tr>
      <w:tr w:rsidR="00277C82" w:rsidRPr="00277C82" w14:paraId="4EC87746" w14:textId="77777777" w:rsidTr="00277C82">
        <w:trPr>
          <w:trHeight w:val="300"/>
        </w:trPr>
        <w:tc>
          <w:tcPr>
            <w:tcW w:w="1240" w:type="dxa"/>
            <w:vMerge/>
            <w:hideMark/>
          </w:tcPr>
          <w:p w14:paraId="4AA613A4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240" w:type="dxa"/>
            <w:hideMark/>
          </w:tcPr>
          <w:p w14:paraId="604C5970" w14:textId="77777777" w:rsidR="00277C82" w:rsidRPr="00277C82" w:rsidRDefault="00277C82" w:rsidP="00277C82">
            <w:pPr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27</w:t>
            </w:r>
          </w:p>
        </w:tc>
        <w:tc>
          <w:tcPr>
            <w:tcW w:w="2020" w:type="dxa"/>
            <w:hideMark/>
          </w:tcPr>
          <w:p w14:paraId="6C0FF5E0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Rentas parafiscales</w:t>
            </w:r>
          </w:p>
        </w:tc>
        <w:tc>
          <w:tcPr>
            <w:tcW w:w="1920" w:type="dxa"/>
            <w:hideMark/>
          </w:tcPr>
          <w:p w14:paraId="3B588A90" w14:textId="77777777" w:rsidR="00277C82" w:rsidRPr="00277C82" w:rsidRDefault="00277C82" w:rsidP="00277C82">
            <w:pPr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$ 1.576.510.437</w:t>
            </w:r>
          </w:p>
        </w:tc>
      </w:tr>
      <w:tr w:rsidR="00277C82" w:rsidRPr="00277C82" w14:paraId="020FB211" w14:textId="77777777" w:rsidTr="00277C82">
        <w:trPr>
          <w:trHeight w:val="840"/>
        </w:trPr>
        <w:tc>
          <w:tcPr>
            <w:tcW w:w="1240" w:type="dxa"/>
            <w:vMerge w:val="restart"/>
            <w:hideMark/>
          </w:tcPr>
          <w:p w14:paraId="7B94A4C6" w14:textId="77777777" w:rsidR="00277C82" w:rsidRPr="00277C82" w:rsidRDefault="00277C82" w:rsidP="00277C82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C-4699-1500-3-53105b-</w:t>
            </w:r>
          </w:p>
        </w:tc>
        <w:tc>
          <w:tcPr>
            <w:tcW w:w="1240" w:type="dxa"/>
            <w:hideMark/>
          </w:tcPr>
          <w:p w14:paraId="108232CC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hideMark/>
          </w:tcPr>
          <w:p w14:paraId="6DE3811E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proofErr w:type="spellStart"/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Adquisicion</w:t>
            </w:r>
            <w:proofErr w:type="spellEnd"/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 xml:space="preserve"> de </w:t>
            </w:r>
            <w:proofErr w:type="spellStart"/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bys</w:t>
            </w:r>
            <w:proofErr w:type="spellEnd"/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 xml:space="preserve"> - documentos normativos -</w:t>
            </w:r>
          </w:p>
        </w:tc>
        <w:tc>
          <w:tcPr>
            <w:tcW w:w="1920" w:type="dxa"/>
            <w:noWrap/>
            <w:hideMark/>
          </w:tcPr>
          <w:p w14:paraId="4BDD40E7" w14:textId="77777777" w:rsidR="00277C82" w:rsidRPr="00277C82" w:rsidRDefault="00277C82" w:rsidP="00277C82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7C8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277C82" w:rsidRPr="00277C82" w14:paraId="38CCAB27" w14:textId="77777777" w:rsidTr="00277C82">
        <w:trPr>
          <w:trHeight w:val="828"/>
        </w:trPr>
        <w:tc>
          <w:tcPr>
            <w:tcW w:w="1240" w:type="dxa"/>
            <w:vMerge/>
            <w:hideMark/>
          </w:tcPr>
          <w:p w14:paraId="2F2EE8FB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240" w:type="dxa"/>
            <w:vMerge w:val="restart"/>
            <w:hideMark/>
          </w:tcPr>
          <w:p w14:paraId="35AC9E82" w14:textId="77777777" w:rsidR="00277C82" w:rsidRPr="00277C82" w:rsidRDefault="00277C82" w:rsidP="00277C82">
            <w:pPr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27</w:t>
            </w:r>
          </w:p>
        </w:tc>
        <w:tc>
          <w:tcPr>
            <w:tcW w:w="2020" w:type="dxa"/>
            <w:hideMark/>
          </w:tcPr>
          <w:p w14:paraId="3A49A9FC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fortalecimiento de la capacidad institucional del</w:t>
            </w:r>
          </w:p>
        </w:tc>
        <w:tc>
          <w:tcPr>
            <w:tcW w:w="1920" w:type="dxa"/>
            <w:vMerge w:val="restart"/>
            <w:hideMark/>
          </w:tcPr>
          <w:p w14:paraId="370AEA56" w14:textId="77777777" w:rsidR="00277C82" w:rsidRPr="00277C82" w:rsidRDefault="00277C82" w:rsidP="00277C82">
            <w:pPr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$ 1.576.510.437</w:t>
            </w:r>
          </w:p>
        </w:tc>
      </w:tr>
      <w:tr w:rsidR="00277C82" w:rsidRPr="00277C82" w14:paraId="4A468226" w14:textId="77777777" w:rsidTr="00277C82">
        <w:trPr>
          <w:trHeight w:val="828"/>
        </w:trPr>
        <w:tc>
          <w:tcPr>
            <w:tcW w:w="1240" w:type="dxa"/>
            <w:vMerge/>
            <w:hideMark/>
          </w:tcPr>
          <w:p w14:paraId="1ECEBCB4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240" w:type="dxa"/>
            <w:vMerge/>
            <w:hideMark/>
          </w:tcPr>
          <w:p w14:paraId="7C2A0E71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020" w:type="dxa"/>
            <w:hideMark/>
          </w:tcPr>
          <w:p w14:paraId="74790912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ICBF brindando el soporte oportuno y necesario</w:t>
            </w:r>
          </w:p>
        </w:tc>
        <w:tc>
          <w:tcPr>
            <w:tcW w:w="1920" w:type="dxa"/>
            <w:vMerge/>
            <w:hideMark/>
          </w:tcPr>
          <w:p w14:paraId="625DF9D6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277C82" w:rsidRPr="00277C82" w14:paraId="7CABE107" w14:textId="77777777" w:rsidTr="00277C82">
        <w:trPr>
          <w:trHeight w:val="840"/>
        </w:trPr>
        <w:tc>
          <w:tcPr>
            <w:tcW w:w="1240" w:type="dxa"/>
            <w:vMerge/>
            <w:hideMark/>
          </w:tcPr>
          <w:p w14:paraId="0DFBCBDE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240" w:type="dxa"/>
            <w:vMerge/>
            <w:hideMark/>
          </w:tcPr>
          <w:p w14:paraId="0FC8B1E2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020" w:type="dxa"/>
            <w:hideMark/>
          </w:tcPr>
          <w:p w14:paraId="215CE15A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 xml:space="preserve">para la adecuada prestación del servicio </w:t>
            </w:r>
            <w:proofErr w:type="spellStart"/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publico</w:t>
            </w:r>
            <w:proofErr w:type="spellEnd"/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 xml:space="preserve"> de</w:t>
            </w:r>
          </w:p>
        </w:tc>
        <w:tc>
          <w:tcPr>
            <w:tcW w:w="1920" w:type="dxa"/>
            <w:vMerge/>
            <w:hideMark/>
          </w:tcPr>
          <w:p w14:paraId="033E00A8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277C82" w:rsidRPr="00277C82" w14:paraId="0B0647F4" w14:textId="77777777" w:rsidTr="00277C82">
        <w:trPr>
          <w:trHeight w:val="828"/>
        </w:trPr>
        <w:tc>
          <w:tcPr>
            <w:tcW w:w="1240" w:type="dxa"/>
            <w:vMerge w:val="restart"/>
            <w:hideMark/>
          </w:tcPr>
          <w:p w14:paraId="68E4CBFE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4699004-02</w:t>
            </w:r>
          </w:p>
        </w:tc>
        <w:tc>
          <w:tcPr>
            <w:tcW w:w="1240" w:type="dxa"/>
            <w:vMerge w:val="restart"/>
            <w:hideMark/>
          </w:tcPr>
          <w:p w14:paraId="2C72C92F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hideMark/>
          </w:tcPr>
          <w:p w14:paraId="4A9CD7DB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bienestar familiar a nivel nacional y territorial</w:t>
            </w:r>
          </w:p>
        </w:tc>
        <w:tc>
          <w:tcPr>
            <w:tcW w:w="1920" w:type="dxa"/>
            <w:noWrap/>
            <w:hideMark/>
          </w:tcPr>
          <w:p w14:paraId="7E11C6D8" w14:textId="77777777" w:rsidR="00277C82" w:rsidRPr="00277C82" w:rsidRDefault="00277C82" w:rsidP="00277C82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7C8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277C82" w:rsidRPr="00277C82" w14:paraId="2A3CC923" w14:textId="77777777" w:rsidTr="00277C82">
        <w:trPr>
          <w:trHeight w:val="300"/>
        </w:trPr>
        <w:tc>
          <w:tcPr>
            <w:tcW w:w="1240" w:type="dxa"/>
            <w:vMerge/>
            <w:hideMark/>
          </w:tcPr>
          <w:p w14:paraId="0B031C4F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240" w:type="dxa"/>
            <w:vMerge/>
            <w:hideMark/>
          </w:tcPr>
          <w:p w14:paraId="1161ACD0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020" w:type="dxa"/>
            <w:hideMark/>
          </w:tcPr>
          <w:p w14:paraId="6B2F5E2F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nacional</w:t>
            </w:r>
          </w:p>
        </w:tc>
        <w:tc>
          <w:tcPr>
            <w:tcW w:w="1920" w:type="dxa"/>
            <w:noWrap/>
            <w:hideMark/>
          </w:tcPr>
          <w:p w14:paraId="133D1AE0" w14:textId="77777777" w:rsidR="00277C82" w:rsidRPr="00277C82" w:rsidRDefault="00277C82" w:rsidP="00277C82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7C8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277C82" w:rsidRPr="00277C82" w14:paraId="1FC383E4" w14:textId="77777777" w:rsidTr="00277C82">
        <w:trPr>
          <w:trHeight w:val="300"/>
        </w:trPr>
        <w:tc>
          <w:tcPr>
            <w:tcW w:w="1240" w:type="dxa"/>
            <w:hideMark/>
          </w:tcPr>
          <w:p w14:paraId="78FCFB4F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hideMark/>
          </w:tcPr>
          <w:p w14:paraId="1C41FD5D" w14:textId="77777777" w:rsidR="00277C82" w:rsidRPr="00277C82" w:rsidRDefault="00277C82" w:rsidP="00277C82">
            <w:pPr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27</w:t>
            </w:r>
          </w:p>
        </w:tc>
        <w:tc>
          <w:tcPr>
            <w:tcW w:w="2020" w:type="dxa"/>
            <w:hideMark/>
          </w:tcPr>
          <w:p w14:paraId="2AA18F69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Rentas parafiscales</w:t>
            </w:r>
          </w:p>
        </w:tc>
        <w:tc>
          <w:tcPr>
            <w:tcW w:w="1920" w:type="dxa"/>
            <w:hideMark/>
          </w:tcPr>
          <w:p w14:paraId="13077295" w14:textId="77777777" w:rsidR="00277C82" w:rsidRPr="00277C82" w:rsidRDefault="00277C82" w:rsidP="00277C82">
            <w:pPr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$ 1.576.510.437</w:t>
            </w:r>
          </w:p>
        </w:tc>
      </w:tr>
      <w:tr w:rsidR="00277C82" w:rsidRPr="00277C82" w14:paraId="608BBAAC" w14:textId="77777777" w:rsidTr="00277C82">
        <w:trPr>
          <w:trHeight w:val="552"/>
        </w:trPr>
        <w:tc>
          <w:tcPr>
            <w:tcW w:w="1240" w:type="dxa"/>
            <w:hideMark/>
          </w:tcPr>
          <w:p w14:paraId="2AA7796D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C-4699-1500-3-</w:t>
            </w:r>
          </w:p>
        </w:tc>
        <w:tc>
          <w:tcPr>
            <w:tcW w:w="1240" w:type="dxa"/>
            <w:vMerge w:val="restart"/>
            <w:hideMark/>
          </w:tcPr>
          <w:p w14:paraId="75EA1BE4" w14:textId="77777777" w:rsidR="00277C82" w:rsidRPr="00277C82" w:rsidRDefault="00277C82" w:rsidP="00277C82">
            <w:pPr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27</w:t>
            </w:r>
          </w:p>
        </w:tc>
        <w:tc>
          <w:tcPr>
            <w:tcW w:w="2020" w:type="dxa"/>
            <w:hideMark/>
          </w:tcPr>
          <w:p w14:paraId="313CFD1B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Sedes adecuadas</w:t>
            </w:r>
          </w:p>
        </w:tc>
        <w:tc>
          <w:tcPr>
            <w:tcW w:w="1920" w:type="dxa"/>
            <w:hideMark/>
          </w:tcPr>
          <w:p w14:paraId="0BC6B147" w14:textId="77777777" w:rsidR="00277C82" w:rsidRPr="00277C82" w:rsidRDefault="00277C82" w:rsidP="00277C82">
            <w:pPr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$ 12.925.231.250</w:t>
            </w:r>
          </w:p>
        </w:tc>
      </w:tr>
      <w:tr w:rsidR="00277C82" w:rsidRPr="00277C82" w14:paraId="069EB9C9" w14:textId="77777777" w:rsidTr="00277C82">
        <w:trPr>
          <w:trHeight w:val="564"/>
        </w:trPr>
        <w:tc>
          <w:tcPr>
            <w:tcW w:w="1240" w:type="dxa"/>
            <w:hideMark/>
          </w:tcPr>
          <w:p w14:paraId="6B853611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53105b-4699014</w:t>
            </w:r>
          </w:p>
        </w:tc>
        <w:tc>
          <w:tcPr>
            <w:tcW w:w="1240" w:type="dxa"/>
            <w:vMerge/>
            <w:hideMark/>
          </w:tcPr>
          <w:p w14:paraId="7078255B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020" w:type="dxa"/>
            <w:hideMark/>
          </w:tcPr>
          <w:p w14:paraId="4C3E0593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Rentas parafiscales</w:t>
            </w:r>
          </w:p>
        </w:tc>
        <w:tc>
          <w:tcPr>
            <w:tcW w:w="1920" w:type="dxa"/>
            <w:hideMark/>
          </w:tcPr>
          <w:p w14:paraId="0268B970" w14:textId="77777777" w:rsidR="00277C82" w:rsidRPr="00277C82" w:rsidRDefault="00277C82" w:rsidP="00277C82">
            <w:pPr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$ 12.925.231.250</w:t>
            </w:r>
          </w:p>
        </w:tc>
      </w:tr>
      <w:tr w:rsidR="00277C82" w:rsidRPr="00277C82" w14:paraId="54C1C086" w14:textId="77777777" w:rsidTr="00277C82">
        <w:trPr>
          <w:trHeight w:val="564"/>
        </w:trPr>
        <w:tc>
          <w:tcPr>
            <w:tcW w:w="1240" w:type="dxa"/>
            <w:hideMark/>
          </w:tcPr>
          <w:p w14:paraId="1249FB10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hideMark/>
          </w:tcPr>
          <w:p w14:paraId="3B315145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hideMark/>
          </w:tcPr>
          <w:p w14:paraId="6E07A50F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proofErr w:type="spellStart"/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Adquisicion</w:t>
            </w:r>
            <w:proofErr w:type="spellEnd"/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 xml:space="preserve"> de </w:t>
            </w:r>
            <w:proofErr w:type="spellStart"/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bys</w:t>
            </w:r>
            <w:proofErr w:type="spellEnd"/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 xml:space="preserve"> - sedes adecuadas</w:t>
            </w:r>
          </w:p>
        </w:tc>
        <w:tc>
          <w:tcPr>
            <w:tcW w:w="1920" w:type="dxa"/>
            <w:noWrap/>
            <w:hideMark/>
          </w:tcPr>
          <w:p w14:paraId="365422A4" w14:textId="77777777" w:rsidR="00277C82" w:rsidRPr="00277C82" w:rsidRDefault="00277C82" w:rsidP="00277C82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7C8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277C82" w:rsidRPr="00277C82" w14:paraId="542E1BAB" w14:textId="77777777" w:rsidTr="00277C82">
        <w:trPr>
          <w:trHeight w:val="840"/>
        </w:trPr>
        <w:tc>
          <w:tcPr>
            <w:tcW w:w="1240" w:type="dxa"/>
            <w:hideMark/>
          </w:tcPr>
          <w:p w14:paraId="2803B171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hideMark/>
          </w:tcPr>
          <w:p w14:paraId="30BB10F2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hideMark/>
          </w:tcPr>
          <w:p w14:paraId="1385E60A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fortalecimiento de la capacidad institucional del</w:t>
            </w:r>
          </w:p>
        </w:tc>
        <w:tc>
          <w:tcPr>
            <w:tcW w:w="1920" w:type="dxa"/>
            <w:noWrap/>
            <w:hideMark/>
          </w:tcPr>
          <w:p w14:paraId="12D6C41C" w14:textId="77777777" w:rsidR="00277C82" w:rsidRPr="00277C82" w:rsidRDefault="00277C82" w:rsidP="00277C82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7C8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277C82" w:rsidRPr="00277C82" w14:paraId="5E7F8A07" w14:textId="77777777" w:rsidTr="00277C82">
        <w:trPr>
          <w:trHeight w:val="828"/>
        </w:trPr>
        <w:tc>
          <w:tcPr>
            <w:tcW w:w="1240" w:type="dxa"/>
            <w:hideMark/>
          </w:tcPr>
          <w:p w14:paraId="07E8637D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lastRenderedPageBreak/>
              <w:t>C-4699-1500-3-</w:t>
            </w:r>
          </w:p>
        </w:tc>
        <w:tc>
          <w:tcPr>
            <w:tcW w:w="1240" w:type="dxa"/>
            <w:vMerge w:val="restart"/>
            <w:hideMark/>
          </w:tcPr>
          <w:p w14:paraId="793D6941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hideMark/>
          </w:tcPr>
          <w:p w14:paraId="43FBE151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ICBF brindando el soporte oportuno y necesario</w:t>
            </w:r>
          </w:p>
        </w:tc>
        <w:tc>
          <w:tcPr>
            <w:tcW w:w="1920" w:type="dxa"/>
            <w:vMerge w:val="restart"/>
            <w:hideMark/>
          </w:tcPr>
          <w:p w14:paraId="30FFC043" w14:textId="77777777" w:rsidR="00277C82" w:rsidRPr="00277C82" w:rsidRDefault="00277C82" w:rsidP="00277C82">
            <w:pPr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$ 12.925.231.250</w:t>
            </w:r>
          </w:p>
        </w:tc>
      </w:tr>
      <w:tr w:rsidR="00277C82" w:rsidRPr="00277C82" w14:paraId="27F3853F" w14:textId="77777777" w:rsidTr="00277C82">
        <w:trPr>
          <w:trHeight w:val="840"/>
        </w:trPr>
        <w:tc>
          <w:tcPr>
            <w:tcW w:w="1240" w:type="dxa"/>
            <w:hideMark/>
          </w:tcPr>
          <w:p w14:paraId="5DDF1784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53105b-</w:t>
            </w:r>
          </w:p>
        </w:tc>
        <w:tc>
          <w:tcPr>
            <w:tcW w:w="1240" w:type="dxa"/>
            <w:vMerge/>
            <w:hideMark/>
          </w:tcPr>
          <w:p w14:paraId="52960F26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020" w:type="dxa"/>
            <w:hideMark/>
          </w:tcPr>
          <w:p w14:paraId="61D009BB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 xml:space="preserve">para la adecuada </w:t>
            </w:r>
            <w:proofErr w:type="spellStart"/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prestacion</w:t>
            </w:r>
            <w:proofErr w:type="spellEnd"/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 xml:space="preserve"> del servicio </w:t>
            </w:r>
            <w:proofErr w:type="spellStart"/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publico</w:t>
            </w:r>
            <w:proofErr w:type="spellEnd"/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 xml:space="preserve"> de</w:t>
            </w:r>
          </w:p>
        </w:tc>
        <w:tc>
          <w:tcPr>
            <w:tcW w:w="1920" w:type="dxa"/>
            <w:vMerge/>
            <w:hideMark/>
          </w:tcPr>
          <w:p w14:paraId="05123E7A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277C82" w:rsidRPr="00277C82" w14:paraId="3424F4A3" w14:textId="77777777" w:rsidTr="00277C82">
        <w:trPr>
          <w:trHeight w:val="840"/>
        </w:trPr>
        <w:tc>
          <w:tcPr>
            <w:tcW w:w="1240" w:type="dxa"/>
            <w:hideMark/>
          </w:tcPr>
          <w:p w14:paraId="444B7AD5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4699014-02</w:t>
            </w:r>
          </w:p>
        </w:tc>
        <w:tc>
          <w:tcPr>
            <w:tcW w:w="1240" w:type="dxa"/>
            <w:hideMark/>
          </w:tcPr>
          <w:p w14:paraId="1EB41905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hideMark/>
          </w:tcPr>
          <w:p w14:paraId="7E308DE9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bienestar familiar a nivel nacional y territorial</w:t>
            </w:r>
          </w:p>
        </w:tc>
        <w:tc>
          <w:tcPr>
            <w:tcW w:w="1920" w:type="dxa"/>
            <w:noWrap/>
            <w:hideMark/>
          </w:tcPr>
          <w:p w14:paraId="27C10D38" w14:textId="77777777" w:rsidR="00277C82" w:rsidRPr="00277C82" w:rsidRDefault="00277C82" w:rsidP="00277C82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7C8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277C82" w:rsidRPr="00277C82" w14:paraId="1C786CB3" w14:textId="77777777" w:rsidTr="00277C82">
        <w:trPr>
          <w:trHeight w:val="300"/>
        </w:trPr>
        <w:tc>
          <w:tcPr>
            <w:tcW w:w="1240" w:type="dxa"/>
            <w:hideMark/>
          </w:tcPr>
          <w:p w14:paraId="08C9DC26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hideMark/>
          </w:tcPr>
          <w:p w14:paraId="430F437E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hideMark/>
          </w:tcPr>
          <w:p w14:paraId="3B9D20A0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nacional</w:t>
            </w:r>
          </w:p>
        </w:tc>
        <w:tc>
          <w:tcPr>
            <w:tcW w:w="1920" w:type="dxa"/>
            <w:noWrap/>
            <w:hideMark/>
          </w:tcPr>
          <w:p w14:paraId="15F96A87" w14:textId="77777777" w:rsidR="00277C82" w:rsidRPr="00277C82" w:rsidRDefault="00277C82" w:rsidP="00277C82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7C8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277C82" w:rsidRPr="00277C82" w14:paraId="7E8477E7" w14:textId="77777777" w:rsidTr="00277C82">
        <w:trPr>
          <w:trHeight w:val="300"/>
        </w:trPr>
        <w:tc>
          <w:tcPr>
            <w:tcW w:w="1240" w:type="dxa"/>
            <w:hideMark/>
          </w:tcPr>
          <w:p w14:paraId="52EED695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hideMark/>
          </w:tcPr>
          <w:p w14:paraId="2FAAFDE1" w14:textId="77777777" w:rsidR="00277C82" w:rsidRPr="00277C82" w:rsidRDefault="00277C82" w:rsidP="00277C82">
            <w:pPr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27</w:t>
            </w:r>
          </w:p>
        </w:tc>
        <w:tc>
          <w:tcPr>
            <w:tcW w:w="2020" w:type="dxa"/>
            <w:hideMark/>
          </w:tcPr>
          <w:p w14:paraId="4DDA5BDB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Rentas parafiscales</w:t>
            </w:r>
          </w:p>
        </w:tc>
        <w:tc>
          <w:tcPr>
            <w:tcW w:w="1920" w:type="dxa"/>
            <w:hideMark/>
          </w:tcPr>
          <w:p w14:paraId="4D02C676" w14:textId="77777777" w:rsidR="00277C82" w:rsidRPr="00277C82" w:rsidRDefault="00277C82" w:rsidP="00277C82">
            <w:pPr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$ 12.925.231.250</w:t>
            </w:r>
          </w:p>
        </w:tc>
      </w:tr>
      <w:tr w:rsidR="00277C82" w:rsidRPr="00277C82" w14:paraId="76335538" w14:textId="77777777" w:rsidTr="00277C82">
        <w:trPr>
          <w:trHeight w:val="828"/>
        </w:trPr>
        <w:tc>
          <w:tcPr>
            <w:tcW w:w="1240" w:type="dxa"/>
            <w:hideMark/>
          </w:tcPr>
          <w:p w14:paraId="3AF8CD5B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C-4699-1500-3-</w:t>
            </w:r>
          </w:p>
        </w:tc>
        <w:tc>
          <w:tcPr>
            <w:tcW w:w="1240" w:type="dxa"/>
            <w:vMerge w:val="restart"/>
            <w:hideMark/>
          </w:tcPr>
          <w:p w14:paraId="75EB0062" w14:textId="77777777" w:rsidR="00277C82" w:rsidRPr="00277C82" w:rsidRDefault="00277C82" w:rsidP="00277C82">
            <w:pPr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27</w:t>
            </w:r>
          </w:p>
        </w:tc>
        <w:tc>
          <w:tcPr>
            <w:tcW w:w="2020" w:type="dxa"/>
            <w:hideMark/>
          </w:tcPr>
          <w:p w14:paraId="537AB81F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Servicio de implementación sistemas de gestión</w:t>
            </w:r>
          </w:p>
        </w:tc>
        <w:tc>
          <w:tcPr>
            <w:tcW w:w="1920" w:type="dxa"/>
            <w:hideMark/>
          </w:tcPr>
          <w:p w14:paraId="25F6554E" w14:textId="77777777" w:rsidR="00277C82" w:rsidRPr="00277C82" w:rsidRDefault="00277C82" w:rsidP="00277C82">
            <w:pPr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$ 346.111.269.648</w:t>
            </w:r>
          </w:p>
        </w:tc>
      </w:tr>
      <w:tr w:rsidR="00277C82" w:rsidRPr="00277C82" w14:paraId="7982F65A" w14:textId="77777777" w:rsidTr="00277C82">
        <w:trPr>
          <w:trHeight w:val="564"/>
        </w:trPr>
        <w:tc>
          <w:tcPr>
            <w:tcW w:w="1240" w:type="dxa"/>
            <w:hideMark/>
          </w:tcPr>
          <w:p w14:paraId="2A5934EA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53105b-4699018</w:t>
            </w:r>
          </w:p>
        </w:tc>
        <w:tc>
          <w:tcPr>
            <w:tcW w:w="1240" w:type="dxa"/>
            <w:vMerge/>
            <w:hideMark/>
          </w:tcPr>
          <w:p w14:paraId="3B4FBA51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020" w:type="dxa"/>
            <w:hideMark/>
          </w:tcPr>
          <w:p w14:paraId="7CAB8FF0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Rentas parafiscales</w:t>
            </w:r>
          </w:p>
        </w:tc>
        <w:tc>
          <w:tcPr>
            <w:tcW w:w="1920" w:type="dxa"/>
            <w:hideMark/>
          </w:tcPr>
          <w:p w14:paraId="5CBDD436" w14:textId="77777777" w:rsidR="00277C82" w:rsidRPr="00277C82" w:rsidRDefault="00277C82" w:rsidP="00277C82">
            <w:pPr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$ 346.111.269.648</w:t>
            </w:r>
          </w:p>
        </w:tc>
      </w:tr>
      <w:tr w:rsidR="00277C82" w:rsidRPr="00277C82" w14:paraId="7DC4E1AD" w14:textId="77777777" w:rsidTr="00277C82">
        <w:trPr>
          <w:trHeight w:val="828"/>
        </w:trPr>
        <w:tc>
          <w:tcPr>
            <w:tcW w:w="1240" w:type="dxa"/>
            <w:hideMark/>
          </w:tcPr>
          <w:p w14:paraId="3031D9A0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C-4699-1500-3-</w:t>
            </w:r>
          </w:p>
        </w:tc>
        <w:tc>
          <w:tcPr>
            <w:tcW w:w="1240" w:type="dxa"/>
            <w:vMerge w:val="restart"/>
            <w:hideMark/>
          </w:tcPr>
          <w:p w14:paraId="03769D94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hideMark/>
          </w:tcPr>
          <w:p w14:paraId="7887F10F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 xml:space="preserve">Adquisición de </w:t>
            </w:r>
            <w:proofErr w:type="spellStart"/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bys</w:t>
            </w:r>
            <w:proofErr w:type="spellEnd"/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 xml:space="preserve"> - servicio de implementación</w:t>
            </w:r>
          </w:p>
        </w:tc>
        <w:tc>
          <w:tcPr>
            <w:tcW w:w="1920" w:type="dxa"/>
            <w:vMerge w:val="restart"/>
            <w:hideMark/>
          </w:tcPr>
          <w:p w14:paraId="1237B26E" w14:textId="77777777" w:rsidR="00277C82" w:rsidRPr="00277C82" w:rsidRDefault="00277C82" w:rsidP="00277C82">
            <w:pPr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$ 346.111.269.648</w:t>
            </w:r>
          </w:p>
        </w:tc>
      </w:tr>
      <w:tr w:rsidR="00277C82" w:rsidRPr="00277C82" w14:paraId="3258417A" w14:textId="77777777" w:rsidTr="00277C82">
        <w:trPr>
          <w:trHeight w:val="828"/>
        </w:trPr>
        <w:tc>
          <w:tcPr>
            <w:tcW w:w="1240" w:type="dxa"/>
            <w:hideMark/>
          </w:tcPr>
          <w:p w14:paraId="0512A123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53105b-</w:t>
            </w:r>
          </w:p>
        </w:tc>
        <w:tc>
          <w:tcPr>
            <w:tcW w:w="1240" w:type="dxa"/>
            <w:vMerge/>
            <w:hideMark/>
          </w:tcPr>
          <w:p w14:paraId="36BC75C9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020" w:type="dxa"/>
            <w:hideMark/>
          </w:tcPr>
          <w:p w14:paraId="76FF7117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 xml:space="preserve">sistemas de </w:t>
            </w:r>
            <w:proofErr w:type="spellStart"/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gestion</w:t>
            </w:r>
            <w:proofErr w:type="spellEnd"/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 xml:space="preserve"> - fortalecimiento de la</w:t>
            </w:r>
          </w:p>
        </w:tc>
        <w:tc>
          <w:tcPr>
            <w:tcW w:w="1920" w:type="dxa"/>
            <w:vMerge/>
            <w:hideMark/>
          </w:tcPr>
          <w:p w14:paraId="40A26DBA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277C82" w:rsidRPr="00277C82" w14:paraId="0602B540" w14:textId="77777777" w:rsidTr="00277C82">
        <w:trPr>
          <w:trHeight w:val="828"/>
        </w:trPr>
        <w:tc>
          <w:tcPr>
            <w:tcW w:w="1240" w:type="dxa"/>
            <w:hideMark/>
          </w:tcPr>
          <w:p w14:paraId="7ED4B50A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4699018-02</w:t>
            </w:r>
          </w:p>
        </w:tc>
        <w:tc>
          <w:tcPr>
            <w:tcW w:w="1240" w:type="dxa"/>
            <w:vMerge/>
            <w:hideMark/>
          </w:tcPr>
          <w:p w14:paraId="41324B07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020" w:type="dxa"/>
            <w:hideMark/>
          </w:tcPr>
          <w:p w14:paraId="417511E7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capacidad institucional del ICBF brindando el</w:t>
            </w:r>
          </w:p>
        </w:tc>
        <w:tc>
          <w:tcPr>
            <w:tcW w:w="1920" w:type="dxa"/>
            <w:vMerge/>
            <w:hideMark/>
          </w:tcPr>
          <w:p w14:paraId="433C93E6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277C82" w:rsidRPr="00277C82" w14:paraId="0629DC71" w14:textId="77777777" w:rsidTr="00277C82">
        <w:trPr>
          <w:trHeight w:val="840"/>
        </w:trPr>
        <w:tc>
          <w:tcPr>
            <w:tcW w:w="1240" w:type="dxa"/>
            <w:hideMark/>
          </w:tcPr>
          <w:p w14:paraId="30F011CC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vMerge/>
            <w:hideMark/>
          </w:tcPr>
          <w:p w14:paraId="04E785C5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020" w:type="dxa"/>
            <w:hideMark/>
          </w:tcPr>
          <w:p w14:paraId="4103950F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77C82">
              <w:rPr>
                <w:rFonts w:ascii="Arial" w:eastAsia="Times New Roman" w:hAnsi="Arial" w:cs="Arial"/>
                <w:color w:val="000000"/>
                <w:lang w:eastAsia="es-CO"/>
              </w:rPr>
              <w:t>soporte oportuno y necesario para la adecuada</w:t>
            </w:r>
          </w:p>
        </w:tc>
        <w:tc>
          <w:tcPr>
            <w:tcW w:w="1920" w:type="dxa"/>
            <w:vMerge/>
            <w:hideMark/>
          </w:tcPr>
          <w:p w14:paraId="417A26A8" w14:textId="77777777" w:rsidR="00277C82" w:rsidRPr="00277C82" w:rsidRDefault="00277C82" w:rsidP="00277C82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288BA26F" w14:textId="6AC8C6C5" w:rsidR="00277C82" w:rsidRDefault="00277C82" w:rsidP="00411E71">
      <w:pPr>
        <w:jc w:val="both"/>
        <w:rPr>
          <w:rFonts w:ascii="Verdana" w:hAnsi="Verdana"/>
        </w:rPr>
      </w:pPr>
    </w:p>
    <w:p w14:paraId="30C89623" w14:textId="1A3484E0" w:rsidR="00F3062C" w:rsidRDefault="00F3062C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020"/>
        <w:gridCol w:w="1920"/>
      </w:tblGrid>
      <w:tr w:rsidR="00277C82" w:rsidRPr="00277C82" w14:paraId="599FE7ED" w14:textId="77777777" w:rsidTr="00277C82">
        <w:trPr>
          <w:trHeight w:val="288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4BE0" w14:textId="77777777" w:rsidR="00277C82" w:rsidRPr="00277C82" w:rsidRDefault="00277C82" w:rsidP="0027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7C8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B681" w14:textId="77777777" w:rsidR="00277C82" w:rsidRPr="00277C82" w:rsidRDefault="00277C82" w:rsidP="0027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7C8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3C72" w14:textId="77777777" w:rsidR="00277C82" w:rsidRPr="00277C82" w:rsidRDefault="00277C82" w:rsidP="0027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7C82">
              <w:rPr>
                <w:rFonts w:ascii="Calibri" w:eastAsia="Times New Roman" w:hAnsi="Calibri" w:cs="Calibri"/>
                <w:color w:val="000000"/>
                <w:lang w:eastAsia="es-CO"/>
              </w:rPr>
              <w:t>prestación del servicio público de bienestar</w:t>
            </w:r>
            <w:r w:rsidRPr="00277C8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familiar a nivel nacional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A31F" w14:textId="77777777" w:rsidR="00277C82" w:rsidRPr="00277C82" w:rsidRDefault="00277C82" w:rsidP="0027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7C8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277C82" w:rsidRPr="00277C82" w14:paraId="11454FBB" w14:textId="77777777" w:rsidTr="00277C82">
        <w:trPr>
          <w:trHeight w:val="28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15F1D" w14:textId="77777777" w:rsidR="00277C82" w:rsidRPr="00277C82" w:rsidRDefault="00277C82" w:rsidP="00277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CA93" w14:textId="77777777" w:rsidR="00277C82" w:rsidRPr="00277C82" w:rsidRDefault="00277C82" w:rsidP="0027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7C82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70F3" w14:textId="77777777" w:rsidR="00277C82" w:rsidRPr="00277C82" w:rsidRDefault="00277C82" w:rsidP="0027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7C82">
              <w:rPr>
                <w:rFonts w:ascii="Calibri" w:eastAsia="Times New Roman" w:hAnsi="Calibri" w:cs="Calibri"/>
                <w:color w:val="000000"/>
                <w:lang w:eastAsia="es-CO"/>
              </w:rPr>
              <w:t>Rentas parafiscales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E463" w14:textId="77777777" w:rsidR="00277C82" w:rsidRPr="00277C82" w:rsidRDefault="00277C82" w:rsidP="0027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7C82">
              <w:rPr>
                <w:rFonts w:ascii="Calibri" w:eastAsia="Times New Roman" w:hAnsi="Calibri" w:cs="Calibri"/>
                <w:color w:val="000000"/>
                <w:lang w:eastAsia="es-CO"/>
              </w:rPr>
              <w:t>$ 346.111.269.648</w:t>
            </w:r>
          </w:p>
        </w:tc>
      </w:tr>
    </w:tbl>
    <w:p w14:paraId="0DF5CA07" w14:textId="6BDA35C7" w:rsidR="00277C82" w:rsidRDefault="00277C82" w:rsidP="00411E71">
      <w:pPr>
        <w:jc w:val="both"/>
        <w:rPr>
          <w:rFonts w:ascii="Verdana" w:hAnsi="Verdana"/>
        </w:rPr>
      </w:pPr>
    </w:p>
    <w:p w14:paraId="2D4DFA2C" w14:textId="47B7DF7B" w:rsidR="00F3062C" w:rsidRDefault="00F3062C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1"/>
        <w:gridCol w:w="1031"/>
        <w:gridCol w:w="1915"/>
        <w:gridCol w:w="1813"/>
      </w:tblGrid>
      <w:tr w:rsidR="00F3062C" w:rsidRPr="00F3062C" w14:paraId="78B30C52" w14:textId="77777777" w:rsidTr="00F3062C">
        <w:trPr>
          <w:trHeight w:val="28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5D47" w14:textId="77777777" w:rsidR="00F3062C" w:rsidRPr="00F3062C" w:rsidRDefault="00F3062C" w:rsidP="00F30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>C-4699-1500-3-</w:t>
            </w: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53105b4699021-02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3AA4" w14:textId="77777777" w:rsidR="00F3062C" w:rsidRPr="00F3062C" w:rsidRDefault="00F3062C" w:rsidP="00F30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9B38" w14:textId="77777777" w:rsidR="00F3062C" w:rsidRPr="00F3062C" w:rsidRDefault="00F3062C" w:rsidP="00F30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Adquisición de </w:t>
            </w:r>
            <w:proofErr w:type="spellStart"/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>bys</w:t>
            </w:r>
            <w:proofErr w:type="spellEnd"/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- documentos de planeación -</w:t>
            </w: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br/>
            </w: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fortalecimiento de la capacidad institucional del</w:t>
            </w: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br/>
            </w:r>
            <w:proofErr w:type="spellStart"/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>icbf</w:t>
            </w:r>
            <w:proofErr w:type="spellEnd"/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brindando el soporte oportuno y necesario</w:t>
            </w: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para la adecuada prestación del servicio público de</w:t>
            </w: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bienestar familiar a nivel nacional y territorial</w:t>
            </w: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nacional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6D90" w14:textId="77777777" w:rsidR="00F3062C" w:rsidRPr="00F3062C" w:rsidRDefault="00F3062C" w:rsidP="00F30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$ 3.098.236.213</w:t>
            </w:r>
          </w:p>
        </w:tc>
      </w:tr>
    </w:tbl>
    <w:p w14:paraId="74054A79" w14:textId="2BFC553A" w:rsidR="00F3062C" w:rsidRDefault="00F3062C" w:rsidP="00411E71">
      <w:pPr>
        <w:jc w:val="both"/>
        <w:rPr>
          <w:rFonts w:ascii="Verdana" w:hAnsi="Verdana"/>
        </w:rPr>
      </w:pPr>
    </w:p>
    <w:p w14:paraId="0A5E4CE5" w14:textId="733E99A8" w:rsidR="00F3062C" w:rsidRDefault="00F3062C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1"/>
        <w:gridCol w:w="1093"/>
        <w:gridCol w:w="1868"/>
        <w:gridCol w:w="1798"/>
      </w:tblGrid>
      <w:tr w:rsidR="00F3062C" w:rsidRPr="00F3062C" w14:paraId="63237CE9" w14:textId="77777777" w:rsidTr="00F3062C">
        <w:trPr>
          <w:trHeight w:val="288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8658" w14:textId="77777777" w:rsidR="00F3062C" w:rsidRPr="00F3062C" w:rsidRDefault="00F3062C" w:rsidP="00F30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>C-4699-1500-3-</w:t>
            </w: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53105b-4699022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C478" w14:textId="77777777" w:rsidR="00F3062C" w:rsidRPr="00F3062C" w:rsidRDefault="00F3062C" w:rsidP="00F30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1C05" w14:textId="77777777" w:rsidR="00F3062C" w:rsidRPr="00F3062C" w:rsidRDefault="00F3062C" w:rsidP="00F30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>Servicios de información actualizados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98ED" w14:textId="77777777" w:rsidR="00F3062C" w:rsidRPr="00F3062C" w:rsidRDefault="00F3062C" w:rsidP="00F30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>$ 32.299.812.900</w:t>
            </w:r>
          </w:p>
        </w:tc>
      </w:tr>
      <w:tr w:rsidR="00F3062C" w:rsidRPr="00F3062C" w14:paraId="2B1EB971" w14:textId="77777777" w:rsidTr="00F3062C">
        <w:trPr>
          <w:trHeight w:val="288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BD50D" w14:textId="77777777" w:rsidR="00F3062C" w:rsidRPr="00F3062C" w:rsidRDefault="00F3062C" w:rsidP="00F30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4ED5" w14:textId="77777777" w:rsidR="00F3062C" w:rsidRPr="00F3062C" w:rsidRDefault="00F3062C" w:rsidP="00F30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0591" w14:textId="77777777" w:rsidR="00F3062C" w:rsidRPr="00F3062C" w:rsidRDefault="00F3062C" w:rsidP="00F30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>Rentas parafiscales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4A63" w14:textId="77777777" w:rsidR="00F3062C" w:rsidRPr="00F3062C" w:rsidRDefault="00F3062C" w:rsidP="00F30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>$ 32.299.812.900</w:t>
            </w:r>
          </w:p>
        </w:tc>
      </w:tr>
      <w:tr w:rsidR="00F3062C" w:rsidRPr="00F3062C" w14:paraId="3F135A18" w14:textId="77777777" w:rsidTr="00F3062C">
        <w:trPr>
          <w:trHeight w:val="576"/>
        </w:trPr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F918" w14:textId="77777777" w:rsidR="00F3062C" w:rsidRPr="00F3062C" w:rsidRDefault="00F3062C" w:rsidP="00F30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>C-4699-1500-3-</w:t>
            </w: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53105b4699022-02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EDC6" w14:textId="77777777" w:rsidR="00F3062C" w:rsidRPr="00F3062C" w:rsidRDefault="00F3062C" w:rsidP="00F30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BFE3" w14:textId="77777777" w:rsidR="00F3062C" w:rsidRPr="00F3062C" w:rsidRDefault="00F3062C" w:rsidP="00F30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Adquisición de </w:t>
            </w:r>
            <w:proofErr w:type="spellStart"/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>bys</w:t>
            </w:r>
            <w:proofErr w:type="spellEnd"/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- servicios de información</w:t>
            </w: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actualizados - fortalecimiento de la capacidad</w:t>
            </w: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institucional del ICBF brindando el soporte</w:t>
            </w: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oportuno y necesario para la adecuada prestación</w:t>
            </w: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del servicio público de bienestar familiar a nivel</w:t>
            </w: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nacional y territorial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4427" w14:textId="77777777" w:rsidR="00F3062C" w:rsidRPr="00F3062C" w:rsidRDefault="00F3062C" w:rsidP="00F30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>$ 32.299.812.900</w:t>
            </w:r>
          </w:p>
        </w:tc>
      </w:tr>
      <w:tr w:rsidR="00F3062C" w:rsidRPr="00F3062C" w14:paraId="61134EBB" w14:textId="77777777" w:rsidTr="00F3062C">
        <w:trPr>
          <w:trHeight w:val="288"/>
        </w:trPr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420F6" w14:textId="77777777" w:rsidR="00F3062C" w:rsidRPr="00F3062C" w:rsidRDefault="00F3062C" w:rsidP="00F30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59D4" w14:textId="77777777" w:rsidR="00F3062C" w:rsidRPr="00F3062C" w:rsidRDefault="00F3062C" w:rsidP="00F30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F966" w14:textId="77777777" w:rsidR="00F3062C" w:rsidRPr="00F3062C" w:rsidRDefault="00F3062C" w:rsidP="00F30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>Rentas parafiscales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A0A9" w14:textId="77777777" w:rsidR="00F3062C" w:rsidRPr="00F3062C" w:rsidRDefault="00F3062C" w:rsidP="00F30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>$ 32.299.812.900</w:t>
            </w:r>
          </w:p>
        </w:tc>
      </w:tr>
    </w:tbl>
    <w:p w14:paraId="4399B0A0" w14:textId="765C614E" w:rsidR="00F3062C" w:rsidRDefault="00F3062C" w:rsidP="00411E71">
      <w:pPr>
        <w:jc w:val="both"/>
        <w:rPr>
          <w:rFonts w:ascii="Verdana" w:hAnsi="Verdana"/>
        </w:rPr>
      </w:pPr>
    </w:p>
    <w:p w14:paraId="510DDCFA" w14:textId="07C1681D" w:rsidR="00F3062C" w:rsidRDefault="00F3062C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1"/>
        <w:gridCol w:w="1061"/>
        <w:gridCol w:w="1931"/>
        <w:gridCol w:w="1767"/>
      </w:tblGrid>
      <w:tr w:rsidR="00F3062C" w:rsidRPr="00F3062C" w14:paraId="2CF2D867" w14:textId="77777777" w:rsidTr="00F3062C">
        <w:trPr>
          <w:trHeight w:val="28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8F0F" w14:textId="77777777" w:rsidR="00F3062C" w:rsidRPr="00F3062C" w:rsidRDefault="00F3062C" w:rsidP="00F30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>C-4699-1500-3-</w:t>
            </w: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53105b4699023-02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003A" w14:textId="77777777" w:rsidR="00F3062C" w:rsidRPr="00F3062C" w:rsidRDefault="00F3062C" w:rsidP="00F30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7960" w14:textId="77777777" w:rsidR="00F3062C" w:rsidRPr="00F3062C" w:rsidRDefault="00F3062C" w:rsidP="00F30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Adquisición de </w:t>
            </w:r>
            <w:proofErr w:type="spellStart"/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>bys</w:t>
            </w:r>
            <w:proofErr w:type="spellEnd"/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- servicios de información</w:t>
            </w: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 xml:space="preserve">implementados - fortalecimiento de </w:t>
            </w: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la capacidad</w:t>
            </w: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 xml:space="preserve">institucional del </w:t>
            </w:r>
            <w:proofErr w:type="spellStart"/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>icbf</w:t>
            </w:r>
            <w:proofErr w:type="spellEnd"/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brindando el soporte oportuno</w:t>
            </w: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y necesario para la adecuada prestación del</w:t>
            </w: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servicio público de bienestar familiar a nivel</w:t>
            </w: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nacional y territorial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3C94" w14:textId="77777777" w:rsidR="00F3062C" w:rsidRPr="00F3062C" w:rsidRDefault="00F3062C" w:rsidP="00F30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3062C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$ 8.805.766</w:t>
            </w:r>
          </w:p>
        </w:tc>
      </w:tr>
    </w:tbl>
    <w:p w14:paraId="21C3CA7F" w14:textId="6C1182AD" w:rsidR="00F3062C" w:rsidRDefault="00F3062C" w:rsidP="00411E71">
      <w:pPr>
        <w:jc w:val="both"/>
        <w:rPr>
          <w:rFonts w:ascii="Verdana" w:hAnsi="Verdana"/>
        </w:rPr>
      </w:pPr>
    </w:p>
    <w:p w14:paraId="76CF24B9" w14:textId="1D9F3806" w:rsidR="00F3062C" w:rsidRDefault="00F3062C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1"/>
        <w:gridCol w:w="1044"/>
        <w:gridCol w:w="1923"/>
        <w:gridCol w:w="1792"/>
      </w:tblGrid>
      <w:tr w:rsidR="0015781E" w:rsidRPr="0015781E" w14:paraId="7E89592B" w14:textId="77777777" w:rsidTr="0015781E">
        <w:trPr>
          <w:trHeight w:val="28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B7EA" w14:textId="77777777" w:rsidR="0015781E" w:rsidRPr="0015781E" w:rsidRDefault="0015781E" w:rsidP="00157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>C-4699-1500-3-</w:t>
            </w: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53105b4699023-02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6ED6" w14:textId="77777777" w:rsidR="0015781E" w:rsidRPr="0015781E" w:rsidRDefault="0015781E" w:rsidP="00157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F7FC" w14:textId="77777777" w:rsidR="0015781E" w:rsidRPr="0015781E" w:rsidRDefault="0015781E" w:rsidP="00157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Adquisición de </w:t>
            </w:r>
            <w:proofErr w:type="spellStart"/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>bys</w:t>
            </w:r>
            <w:proofErr w:type="spellEnd"/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- servicios de información</w:t>
            </w: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implementados - fortalecimiento de la capacidad</w:t>
            </w: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 xml:space="preserve">institucional del </w:t>
            </w:r>
            <w:proofErr w:type="spellStart"/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>icbf</w:t>
            </w:r>
            <w:proofErr w:type="spellEnd"/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brindando el soporte oportuno</w:t>
            </w: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y necesario para la adecuada prestación del</w:t>
            </w: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servicio público de bienestar familiar a nivel</w:t>
            </w: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nacional y territorial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5C22" w14:textId="77777777" w:rsidR="0015781E" w:rsidRPr="0015781E" w:rsidRDefault="0015781E" w:rsidP="00157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>$ 754.000.000</w:t>
            </w:r>
          </w:p>
        </w:tc>
      </w:tr>
    </w:tbl>
    <w:p w14:paraId="00350837" w14:textId="31DF3CEB" w:rsidR="00F3062C" w:rsidRDefault="00F3062C" w:rsidP="00411E71">
      <w:pPr>
        <w:jc w:val="both"/>
        <w:rPr>
          <w:rFonts w:ascii="Verdana" w:hAnsi="Verdana"/>
        </w:rPr>
      </w:pPr>
    </w:p>
    <w:p w14:paraId="5C30D7D0" w14:textId="3E834A3D" w:rsidR="0015781E" w:rsidRDefault="0015781E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4"/>
        <w:gridCol w:w="1084"/>
        <w:gridCol w:w="1916"/>
        <w:gridCol w:w="1826"/>
      </w:tblGrid>
      <w:tr w:rsidR="0015781E" w:rsidRPr="0015781E" w14:paraId="3B6E429C" w14:textId="77777777" w:rsidTr="0015781E">
        <w:trPr>
          <w:trHeight w:val="288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F786" w14:textId="77777777" w:rsidR="0015781E" w:rsidRPr="0015781E" w:rsidRDefault="0015781E" w:rsidP="00157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>C-4699-1500-3-</w:t>
            </w: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53105b4699027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9789" w14:textId="77777777" w:rsidR="0015781E" w:rsidRPr="0015781E" w:rsidRDefault="0015781E" w:rsidP="00157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4406" w14:textId="77777777" w:rsidR="0015781E" w:rsidRPr="0015781E" w:rsidRDefault="0015781E" w:rsidP="00157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>Documentos metodológicos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918B" w14:textId="77777777" w:rsidR="0015781E" w:rsidRPr="0015781E" w:rsidRDefault="0015781E" w:rsidP="00157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>$ 3.226.133.786</w:t>
            </w:r>
          </w:p>
        </w:tc>
      </w:tr>
      <w:tr w:rsidR="0015781E" w:rsidRPr="0015781E" w14:paraId="043B6C80" w14:textId="77777777" w:rsidTr="0015781E">
        <w:trPr>
          <w:trHeight w:val="288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E2E98" w14:textId="77777777" w:rsidR="0015781E" w:rsidRPr="0015781E" w:rsidRDefault="0015781E" w:rsidP="00157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417B" w14:textId="77777777" w:rsidR="0015781E" w:rsidRPr="0015781E" w:rsidRDefault="0015781E" w:rsidP="00157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D15E" w14:textId="77777777" w:rsidR="0015781E" w:rsidRPr="0015781E" w:rsidRDefault="0015781E" w:rsidP="00157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>Rentas parafiscales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DA24" w14:textId="77777777" w:rsidR="0015781E" w:rsidRPr="0015781E" w:rsidRDefault="0015781E" w:rsidP="00157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>$ 3.226.133.786</w:t>
            </w:r>
          </w:p>
        </w:tc>
      </w:tr>
    </w:tbl>
    <w:p w14:paraId="4DC3E23F" w14:textId="2EA88C61" w:rsidR="0015781E" w:rsidRDefault="0015781E" w:rsidP="00411E71">
      <w:pPr>
        <w:jc w:val="both"/>
        <w:rPr>
          <w:rFonts w:ascii="Verdana" w:hAnsi="Verdana"/>
        </w:rPr>
      </w:pPr>
    </w:p>
    <w:p w14:paraId="131E289A" w14:textId="22ECD870" w:rsidR="0015781E" w:rsidRDefault="0015781E" w:rsidP="00411E71">
      <w:pPr>
        <w:jc w:val="both"/>
        <w:rPr>
          <w:rFonts w:ascii="Verdana" w:hAnsi="Verdana"/>
        </w:rPr>
      </w:pPr>
      <w:r>
        <w:rPr>
          <w:rFonts w:ascii="Verdana" w:hAnsi="Verdana"/>
        </w:rPr>
        <w:t>(…)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1"/>
        <w:gridCol w:w="1101"/>
        <w:gridCol w:w="1879"/>
        <w:gridCol w:w="1779"/>
      </w:tblGrid>
      <w:tr w:rsidR="0015781E" w:rsidRPr="0015781E" w14:paraId="3944B46C" w14:textId="77777777" w:rsidTr="0015781E">
        <w:trPr>
          <w:trHeight w:val="288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B6FC" w14:textId="77777777" w:rsidR="0015781E" w:rsidRPr="0015781E" w:rsidRDefault="0015781E" w:rsidP="00157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>C-4699-1500-3-</w:t>
            </w: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53105b4699027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B864" w14:textId="77777777" w:rsidR="0015781E" w:rsidRPr="0015781E" w:rsidRDefault="0015781E" w:rsidP="00157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9BCF" w14:textId="77777777" w:rsidR="0015781E" w:rsidRPr="0015781E" w:rsidRDefault="0015781E" w:rsidP="00157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>Documentos metodológicos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38FA" w14:textId="77777777" w:rsidR="0015781E" w:rsidRPr="0015781E" w:rsidRDefault="0015781E" w:rsidP="00157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>$ 3.226.133.786</w:t>
            </w:r>
          </w:p>
        </w:tc>
      </w:tr>
      <w:tr w:rsidR="0015781E" w:rsidRPr="0015781E" w14:paraId="405D3DC6" w14:textId="77777777" w:rsidTr="0015781E">
        <w:trPr>
          <w:trHeight w:val="288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A78C4" w14:textId="77777777" w:rsidR="0015781E" w:rsidRPr="0015781E" w:rsidRDefault="0015781E" w:rsidP="00157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AF66" w14:textId="77777777" w:rsidR="0015781E" w:rsidRPr="0015781E" w:rsidRDefault="0015781E" w:rsidP="00157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BEBD" w14:textId="77777777" w:rsidR="0015781E" w:rsidRPr="0015781E" w:rsidRDefault="0015781E" w:rsidP="00157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>Rentas parafiscales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149A" w14:textId="77777777" w:rsidR="0015781E" w:rsidRPr="0015781E" w:rsidRDefault="0015781E" w:rsidP="00157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>$ 3.226.133.786</w:t>
            </w:r>
          </w:p>
        </w:tc>
      </w:tr>
      <w:tr w:rsidR="0015781E" w:rsidRPr="0015781E" w14:paraId="03BA7932" w14:textId="77777777" w:rsidTr="0015781E">
        <w:trPr>
          <w:trHeight w:val="576"/>
        </w:trPr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A900" w14:textId="77777777" w:rsidR="0015781E" w:rsidRPr="0015781E" w:rsidRDefault="0015781E" w:rsidP="00157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>C-4699-1500-3-</w:t>
            </w: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53105b4699027-02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3733" w14:textId="77777777" w:rsidR="0015781E" w:rsidRPr="0015781E" w:rsidRDefault="0015781E" w:rsidP="00157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5CF7" w14:textId="77777777" w:rsidR="0015781E" w:rsidRPr="0015781E" w:rsidRDefault="0015781E" w:rsidP="00157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Adquisición de </w:t>
            </w:r>
            <w:proofErr w:type="spellStart"/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>bys</w:t>
            </w:r>
            <w:proofErr w:type="spellEnd"/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- documentos </w:t>
            </w: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metodológicos -</w:t>
            </w: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fortalecimiento de la capacidad institucional del</w:t>
            </w: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ICBF brindando el soporte oportuno y necesario</w:t>
            </w: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para la adecuada prestación del servicio público de</w:t>
            </w: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bienestar familiar a nivel nacional y territorial</w:t>
            </w: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br/>
            </w:r>
            <w:proofErr w:type="spellStart"/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>naciona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6DD6" w14:textId="77777777" w:rsidR="0015781E" w:rsidRPr="0015781E" w:rsidRDefault="0015781E" w:rsidP="00157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$ 3.226.133.786</w:t>
            </w:r>
          </w:p>
        </w:tc>
      </w:tr>
      <w:tr w:rsidR="0015781E" w:rsidRPr="0015781E" w14:paraId="3FF4653E" w14:textId="77777777" w:rsidTr="0015781E">
        <w:trPr>
          <w:trHeight w:val="288"/>
        </w:trPr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82D76" w14:textId="77777777" w:rsidR="0015781E" w:rsidRPr="0015781E" w:rsidRDefault="0015781E" w:rsidP="00157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C77B" w14:textId="77777777" w:rsidR="0015781E" w:rsidRPr="0015781E" w:rsidRDefault="0015781E" w:rsidP="00157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9BB0" w14:textId="77777777" w:rsidR="0015781E" w:rsidRPr="0015781E" w:rsidRDefault="0015781E" w:rsidP="00157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>Rentas parafiscales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9F42" w14:textId="77777777" w:rsidR="0015781E" w:rsidRPr="0015781E" w:rsidRDefault="0015781E" w:rsidP="00157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>$ 3.226.133.786</w:t>
            </w:r>
          </w:p>
        </w:tc>
      </w:tr>
    </w:tbl>
    <w:p w14:paraId="73380339" w14:textId="5526BD10" w:rsidR="0015781E" w:rsidRDefault="0015781E" w:rsidP="00411E71">
      <w:pPr>
        <w:jc w:val="both"/>
        <w:rPr>
          <w:rFonts w:ascii="Verdana" w:hAnsi="Verdana"/>
        </w:rPr>
      </w:pPr>
    </w:p>
    <w:tbl>
      <w:tblPr>
        <w:tblW w:w="6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2020"/>
      </w:tblGrid>
      <w:tr w:rsidR="0015781E" w:rsidRPr="0015781E" w14:paraId="2A044202" w14:textId="77777777" w:rsidTr="0015781E">
        <w:trPr>
          <w:trHeight w:val="28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D181" w14:textId="77777777" w:rsidR="0015781E" w:rsidRPr="0015781E" w:rsidRDefault="0015781E" w:rsidP="00157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gramStart"/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>Total</w:t>
            </w:r>
            <w:proofErr w:type="gramEnd"/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Presupuesto de Gasto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29A3" w14:textId="77777777" w:rsidR="0015781E" w:rsidRPr="0015781E" w:rsidRDefault="0015781E" w:rsidP="00157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781E">
              <w:rPr>
                <w:rFonts w:ascii="Calibri" w:eastAsia="Times New Roman" w:hAnsi="Calibri" w:cs="Calibri"/>
                <w:color w:val="000000"/>
                <w:lang w:eastAsia="es-CO"/>
              </w:rPr>
              <w:t>$ 10.690.759.712.325</w:t>
            </w:r>
          </w:p>
        </w:tc>
      </w:tr>
    </w:tbl>
    <w:p w14:paraId="4A2FF889" w14:textId="288ED34A" w:rsidR="0015781E" w:rsidRDefault="0015781E" w:rsidP="00411E71">
      <w:pPr>
        <w:jc w:val="both"/>
        <w:rPr>
          <w:rFonts w:ascii="Verdana" w:hAnsi="Verdana"/>
        </w:rPr>
      </w:pPr>
    </w:p>
    <w:p w14:paraId="43EF5F52" w14:textId="74DE8E6A" w:rsidR="0015781E" w:rsidRPr="0015781E" w:rsidRDefault="0015781E" w:rsidP="0015781E">
      <w:pPr>
        <w:jc w:val="both"/>
        <w:rPr>
          <w:rFonts w:ascii="Verdana" w:hAnsi="Verdana"/>
        </w:rPr>
      </w:pPr>
      <w:r w:rsidRPr="0015781E">
        <w:rPr>
          <w:rFonts w:ascii="Verdana" w:hAnsi="Verdana"/>
          <w:b/>
          <w:bCs/>
        </w:rPr>
        <w:t>PARÁGRAFO.</w:t>
      </w:r>
      <w:r w:rsidRPr="0015781E">
        <w:rPr>
          <w:rFonts w:ascii="Verdana" w:hAnsi="Verdana"/>
        </w:rPr>
        <w:t xml:space="preserve"> Los demás apartes contenidos en el artículo segundo de la</w:t>
      </w:r>
      <w:r>
        <w:rPr>
          <w:rFonts w:ascii="Verdana" w:hAnsi="Verdana"/>
        </w:rPr>
        <w:t xml:space="preserve"> </w:t>
      </w:r>
      <w:r w:rsidRPr="0015781E">
        <w:rPr>
          <w:rFonts w:ascii="Verdana" w:hAnsi="Verdana"/>
        </w:rPr>
        <w:t>Resolución</w:t>
      </w:r>
      <w:r>
        <w:rPr>
          <w:rFonts w:ascii="Verdana" w:hAnsi="Verdana"/>
        </w:rPr>
        <w:t xml:space="preserve"> </w:t>
      </w:r>
      <w:r w:rsidRPr="0015781E">
        <w:rPr>
          <w:rFonts w:ascii="Verdana" w:hAnsi="Verdana"/>
        </w:rPr>
        <w:t>No. 6432 del 31 de diciembre del 2024 permanecen incólumes.</w:t>
      </w:r>
    </w:p>
    <w:p w14:paraId="1D31A6C9" w14:textId="43D5DD55" w:rsidR="0015781E" w:rsidRPr="0015781E" w:rsidRDefault="0015781E" w:rsidP="0015781E">
      <w:pPr>
        <w:jc w:val="both"/>
        <w:rPr>
          <w:rFonts w:ascii="Verdana" w:hAnsi="Verdana"/>
        </w:rPr>
      </w:pPr>
      <w:r w:rsidRPr="0015781E">
        <w:rPr>
          <w:rFonts w:ascii="Verdana" w:hAnsi="Verdana"/>
          <w:b/>
          <w:bCs/>
        </w:rPr>
        <w:t xml:space="preserve">ARTÍCULO </w:t>
      </w:r>
      <w:r w:rsidRPr="0015781E">
        <w:rPr>
          <w:rFonts w:ascii="Verdana" w:hAnsi="Verdana"/>
          <w:b/>
          <w:bCs/>
        </w:rPr>
        <w:t>3o</w:t>
      </w:r>
      <w:r w:rsidRPr="0015781E">
        <w:rPr>
          <w:rFonts w:ascii="Verdana" w:hAnsi="Verdana"/>
          <w:b/>
          <w:bCs/>
        </w:rPr>
        <w:t>. ORDENAR</w:t>
      </w:r>
      <w:r w:rsidRPr="0015781E">
        <w:rPr>
          <w:rFonts w:ascii="Verdana" w:hAnsi="Verdana"/>
        </w:rPr>
        <w:t xml:space="preserve"> al </w:t>
      </w:r>
      <w:proofErr w:type="gramStart"/>
      <w:r w:rsidRPr="0015781E">
        <w:rPr>
          <w:rFonts w:ascii="Verdana" w:hAnsi="Verdana"/>
        </w:rPr>
        <w:t>Director</w:t>
      </w:r>
      <w:proofErr w:type="gramEnd"/>
      <w:r w:rsidRPr="0015781E">
        <w:rPr>
          <w:rFonts w:ascii="Verdana" w:hAnsi="Verdana"/>
        </w:rPr>
        <w:t xml:space="preserve"> Financiero o a quien este designe,</w:t>
      </w:r>
      <w:r>
        <w:rPr>
          <w:rFonts w:ascii="Verdana" w:hAnsi="Verdana"/>
        </w:rPr>
        <w:t xml:space="preserve"> </w:t>
      </w:r>
      <w:r w:rsidRPr="0015781E">
        <w:rPr>
          <w:rFonts w:ascii="Verdana" w:hAnsi="Verdana"/>
        </w:rPr>
        <w:t>COMUNICAR el contenido de la presente Resolución a los interesados.</w:t>
      </w:r>
    </w:p>
    <w:p w14:paraId="02DA62AD" w14:textId="2130FF12" w:rsidR="0015781E" w:rsidRPr="0015781E" w:rsidRDefault="0015781E" w:rsidP="0015781E">
      <w:pPr>
        <w:jc w:val="both"/>
        <w:rPr>
          <w:rFonts w:ascii="Verdana" w:hAnsi="Verdana"/>
        </w:rPr>
      </w:pPr>
      <w:r w:rsidRPr="0015781E">
        <w:rPr>
          <w:rFonts w:ascii="Verdana" w:hAnsi="Verdana"/>
          <w:b/>
          <w:bCs/>
        </w:rPr>
        <w:t xml:space="preserve">ARTÍCULO </w:t>
      </w:r>
      <w:r w:rsidRPr="0015781E">
        <w:rPr>
          <w:rFonts w:ascii="Verdana" w:hAnsi="Verdana"/>
          <w:b/>
          <w:bCs/>
        </w:rPr>
        <w:t>4o</w:t>
      </w:r>
      <w:r w:rsidRPr="0015781E">
        <w:rPr>
          <w:rFonts w:ascii="Verdana" w:hAnsi="Verdana"/>
          <w:b/>
          <w:bCs/>
        </w:rPr>
        <w:t>.</w:t>
      </w:r>
      <w:r w:rsidRPr="0015781E">
        <w:rPr>
          <w:rFonts w:ascii="Verdana" w:hAnsi="Verdana"/>
        </w:rPr>
        <w:t xml:space="preserve"> La presente Resolución deberá entenderse incorporada a la</w:t>
      </w:r>
      <w:r>
        <w:rPr>
          <w:rFonts w:ascii="Verdana" w:hAnsi="Verdana"/>
        </w:rPr>
        <w:t xml:space="preserve"> </w:t>
      </w:r>
      <w:r w:rsidRPr="0015781E">
        <w:rPr>
          <w:rFonts w:ascii="Verdana" w:hAnsi="Verdana"/>
        </w:rPr>
        <w:t>Resolución 6432 del 31 de diciembre de 2024 y rige a partir de la fecha de su</w:t>
      </w:r>
      <w:r>
        <w:rPr>
          <w:rFonts w:ascii="Verdana" w:hAnsi="Verdana"/>
        </w:rPr>
        <w:t xml:space="preserve"> </w:t>
      </w:r>
      <w:r w:rsidRPr="0015781E">
        <w:rPr>
          <w:rFonts w:ascii="Verdana" w:hAnsi="Verdana"/>
        </w:rPr>
        <w:t>expedición.</w:t>
      </w:r>
    </w:p>
    <w:p w14:paraId="0F08492A" w14:textId="783CD556" w:rsidR="0015781E" w:rsidRPr="005F6702" w:rsidRDefault="005F6702" w:rsidP="005F6702">
      <w:pPr>
        <w:jc w:val="center"/>
        <w:rPr>
          <w:rFonts w:ascii="Verdana" w:hAnsi="Verdana"/>
          <w:b/>
          <w:bCs/>
        </w:rPr>
      </w:pPr>
      <w:r w:rsidRPr="005F6702">
        <w:rPr>
          <w:rFonts w:ascii="Verdana" w:hAnsi="Verdana"/>
          <w:b/>
          <w:bCs/>
        </w:rPr>
        <w:t>COMUNÍQUESE Y CÚMPLASE</w:t>
      </w:r>
    </w:p>
    <w:p w14:paraId="4BEB7A38" w14:textId="0472BB3D" w:rsidR="0015781E" w:rsidRPr="005F6702" w:rsidRDefault="005F6702" w:rsidP="005F6702">
      <w:pPr>
        <w:jc w:val="center"/>
        <w:rPr>
          <w:rFonts w:ascii="Verdana" w:hAnsi="Verdana"/>
        </w:rPr>
      </w:pPr>
      <w:r w:rsidRPr="005F6702">
        <w:rPr>
          <w:rFonts w:ascii="Verdana" w:hAnsi="Verdana"/>
        </w:rPr>
        <w:t>DADO EN BOGOTÁ D.C., A LOS TRES (3) DÍAS DE ENERO DEL 2025</w:t>
      </w:r>
    </w:p>
    <w:p w14:paraId="23BC9C66" w14:textId="660B596E" w:rsidR="0015781E" w:rsidRPr="005F6702" w:rsidRDefault="005F6702" w:rsidP="005F6702">
      <w:pPr>
        <w:jc w:val="center"/>
        <w:rPr>
          <w:rFonts w:ascii="Verdana" w:hAnsi="Verdana"/>
          <w:b/>
          <w:bCs/>
        </w:rPr>
      </w:pPr>
      <w:r w:rsidRPr="005F6702">
        <w:rPr>
          <w:rFonts w:ascii="Verdana" w:hAnsi="Verdana"/>
          <w:b/>
          <w:bCs/>
        </w:rPr>
        <w:t>ASTRID ELIANA CÁCERES CÁRDENAS</w:t>
      </w:r>
    </w:p>
    <w:p w14:paraId="0A4C75A2" w14:textId="3868111E" w:rsidR="0015781E" w:rsidRPr="005F6702" w:rsidRDefault="005F6702" w:rsidP="005F6702">
      <w:pPr>
        <w:jc w:val="center"/>
        <w:rPr>
          <w:rFonts w:ascii="Verdana" w:hAnsi="Verdana"/>
        </w:rPr>
      </w:pPr>
      <w:r w:rsidRPr="005F6702">
        <w:rPr>
          <w:rFonts w:ascii="Verdana" w:hAnsi="Verdana"/>
        </w:rPr>
        <w:t>DIRECTORA GENERAL</w:t>
      </w:r>
    </w:p>
    <w:p w14:paraId="64341A6C" w14:textId="77777777" w:rsidR="00277C82" w:rsidRPr="00411E71" w:rsidRDefault="00277C82" w:rsidP="00411E71">
      <w:pPr>
        <w:jc w:val="both"/>
        <w:rPr>
          <w:rFonts w:ascii="Verdana" w:hAnsi="Verdana"/>
        </w:rPr>
      </w:pPr>
    </w:p>
    <w:sectPr w:rsidR="00277C82" w:rsidRPr="00411E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CF46A" w14:textId="77777777" w:rsidR="008B721E" w:rsidRDefault="008B721E" w:rsidP="008B721E">
      <w:pPr>
        <w:spacing w:after="0" w:line="240" w:lineRule="auto"/>
      </w:pPr>
      <w:r>
        <w:separator/>
      </w:r>
    </w:p>
  </w:endnote>
  <w:endnote w:type="continuationSeparator" w:id="0">
    <w:p w14:paraId="67321C65" w14:textId="77777777" w:rsidR="008B721E" w:rsidRDefault="008B721E" w:rsidP="008B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3AC3E" w14:textId="77777777" w:rsidR="008B721E" w:rsidRDefault="008B721E" w:rsidP="008B721E">
      <w:pPr>
        <w:spacing w:after="0" w:line="240" w:lineRule="auto"/>
      </w:pPr>
      <w:r>
        <w:separator/>
      </w:r>
    </w:p>
  </w:footnote>
  <w:footnote w:type="continuationSeparator" w:id="0">
    <w:p w14:paraId="05FCE4FA" w14:textId="77777777" w:rsidR="008B721E" w:rsidRDefault="008B721E" w:rsidP="008B7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BF"/>
    <w:rsid w:val="000B4793"/>
    <w:rsid w:val="0015781E"/>
    <w:rsid w:val="00277C82"/>
    <w:rsid w:val="00297ECF"/>
    <w:rsid w:val="003D4F33"/>
    <w:rsid w:val="00411E71"/>
    <w:rsid w:val="0053430C"/>
    <w:rsid w:val="005F6702"/>
    <w:rsid w:val="0081381F"/>
    <w:rsid w:val="008B619A"/>
    <w:rsid w:val="008B721E"/>
    <w:rsid w:val="008E5DBF"/>
    <w:rsid w:val="00941459"/>
    <w:rsid w:val="009468FA"/>
    <w:rsid w:val="00A156BE"/>
    <w:rsid w:val="00C20462"/>
    <w:rsid w:val="00D238A2"/>
    <w:rsid w:val="00D9731D"/>
    <w:rsid w:val="00E267B0"/>
    <w:rsid w:val="00F3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39FC"/>
  <w15:chartTrackingRefBased/>
  <w15:docId w15:val="{9DC58738-213E-4A36-9CDE-31033000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72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721E"/>
  </w:style>
  <w:style w:type="paragraph" w:styleId="Piedepgina">
    <w:name w:val="footer"/>
    <w:basedOn w:val="Normal"/>
    <w:link w:val="PiedepginaCar"/>
    <w:uiPriority w:val="99"/>
    <w:unhideWhenUsed/>
    <w:rsid w:val="008B72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F21BB-B63F-475C-BCAD-2E07F1B558D1}"/>
</file>

<file path=customXml/itemProps2.xml><?xml version="1.0" encoding="utf-8"?>
<ds:datastoreItem xmlns:ds="http://schemas.openxmlformats.org/officeDocument/2006/customXml" ds:itemID="{B4B8AF55-E15A-4B68-BEFF-FFDB3930077B}"/>
</file>

<file path=customXml/itemProps3.xml><?xml version="1.0" encoding="utf-8"?>
<ds:datastoreItem xmlns:ds="http://schemas.openxmlformats.org/officeDocument/2006/customXml" ds:itemID="{61B4365D-60DE-4906-9C67-49B3ADAF8F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18</Pages>
  <Words>2907</Words>
  <Characters>15994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2026-03-24T15:05:00Z</dcterms:created>
  <dcterms:modified xsi:type="dcterms:W3CDTF">2026-03-24T17:50:00Z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