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6E82" w14:textId="162F7D8D" w:rsidR="000B4793" w:rsidRDefault="00FA24C2" w:rsidP="00FA24C2">
      <w:pPr>
        <w:jc w:val="center"/>
        <w:rPr>
          <w:rFonts w:ascii="Verdana" w:hAnsi="Verdana"/>
          <w:b/>
          <w:bCs/>
        </w:rPr>
      </w:pPr>
      <w:r w:rsidRPr="00FA24C2">
        <w:rPr>
          <w:rFonts w:ascii="Verdana" w:hAnsi="Verdana"/>
          <w:b/>
          <w:bCs/>
        </w:rPr>
        <w:t>RESOLUCIÓN 5791 DE 2024</w:t>
      </w:r>
    </w:p>
    <w:p w14:paraId="0797C304" w14:textId="65D13667" w:rsidR="00FA24C2" w:rsidRPr="00FA24C2" w:rsidRDefault="00FA24C2" w:rsidP="00FA24C2">
      <w:pPr>
        <w:rPr>
          <w:rFonts w:ascii="Verdana" w:hAnsi="Verdana"/>
          <w:sz w:val="20"/>
          <w:szCs w:val="20"/>
        </w:rPr>
      </w:pPr>
      <w:r w:rsidRPr="00FA24C2">
        <w:rPr>
          <w:rFonts w:ascii="Verdana" w:hAnsi="Verdana"/>
          <w:sz w:val="20"/>
          <w:szCs w:val="20"/>
        </w:rPr>
        <w:t xml:space="preserve">Fecha de Expedición: </w:t>
      </w:r>
      <w:r w:rsidR="00AE5959">
        <w:rPr>
          <w:rFonts w:ascii="Verdana" w:hAnsi="Verdana"/>
          <w:sz w:val="20"/>
          <w:szCs w:val="20"/>
        </w:rPr>
        <w:t>10</w:t>
      </w:r>
      <w:r w:rsidRPr="00FA24C2">
        <w:rPr>
          <w:rFonts w:ascii="Verdana" w:hAnsi="Verdana"/>
          <w:sz w:val="20"/>
          <w:szCs w:val="20"/>
        </w:rPr>
        <w:t xml:space="preserve"> de </w:t>
      </w:r>
      <w:r w:rsidR="00AE5959">
        <w:rPr>
          <w:rFonts w:ascii="Verdana" w:hAnsi="Verdana"/>
          <w:sz w:val="20"/>
          <w:szCs w:val="20"/>
        </w:rPr>
        <w:t>diciembre</w:t>
      </w:r>
      <w:r w:rsidRPr="00FA24C2">
        <w:rPr>
          <w:rFonts w:ascii="Verdana" w:hAnsi="Verdana"/>
          <w:sz w:val="20"/>
          <w:szCs w:val="20"/>
        </w:rPr>
        <w:t xml:space="preserve"> de 2024</w:t>
      </w:r>
    </w:p>
    <w:p w14:paraId="642119A9" w14:textId="5969AD36" w:rsidR="00FA24C2" w:rsidRPr="00FA24C2" w:rsidRDefault="00FA24C2" w:rsidP="00FA24C2">
      <w:pPr>
        <w:rPr>
          <w:rFonts w:ascii="Verdana" w:hAnsi="Verdana"/>
          <w:sz w:val="20"/>
          <w:szCs w:val="20"/>
        </w:rPr>
      </w:pPr>
      <w:r w:rsidRPr="00FA24C2">
        <w:rPr>
          <w:rFonts w:ascii="Verdana" w:hAnsi="Verdana"/>
          <w:sz w:val="20"/>
          <w:szCs w:val="20"/>
        </w:rPr>
        <w:t xml:space="preserve">Fecha de entrada en vigencia: </w:t>
      </w:r>
      <w:r w:rsidR="00AE5959">
        <w:rPr>
          <w:rFonts w:ascii="Verdana" w:hAnsi="Verdana"/>
          <w:sz w:val="20"/>
          <w:szCs w:val="20"/>
        </w:rPr>
        <w:t>10</w:t>
      </w:r>
      <w:r w:rsidRPr="00FA24C2">
        <w:rPr>
          <w:rFonts w:ascii="Verdana" w:hAnsi="Verdana"/>
          <w:sz w:val="20"/>
          <w:szCs w:val="20"/>
        </w:rPr>
        <w:t xml:space="preserve"> de </w:t>
      </w:r>
      <w:r w:rsidR="00AE5959">
        <w:rPr>
          <w:rFonts w:ascii="Verdana" w:hAnsi="Verdana"/>
          <w:sz w:val="20"/>
          <w:szCs w:val="20"/>
        </w:rPr>
        <w:t>diciembre</w:t>
      </w:r>
      <w:r w:rsidRPr="00FA24C2">
        <w:rPr>
          <w:rFonts w:ascii="Verdana" w:hAnsi="Verdana"/>
          <w:sz w:val="20"/>
          <w:szCs w:val="20"/>
        </w:rPr>
        <w:t xml:space="preserve"> de 2024</w:t>
      </w:r>
    </w:p>
    <w:p w14:paraId="64E264D9" w14:textId="77777777" w:rsidR="00FA24C2" w:rsidRPr="00FA24C2" w:rsidRDefault="00FA24C2" w:rsidP="00FA24C2">
      <w:pPr>
        <w:rPr>
          <w:rFonts w:ascii="Verdana" w:hAnsi="Verdana"/>
          <w:sz w:val="20"/>
          <w:szCs w:val="20"/>
        </w:rPr>
      </w:pPr>
      <w:r w:rsidRPr="00FA24C2">
        <w:rPr>
          <w:rFonts w:ascii="Verdana" w:hAnsi="Verdana"/>
          <w:sz w:val="20"/>
          <w:szCs w:val="20"/>
        </w:rPr>
        <w:t>Estado de la vigencia: Vigente.</w:t>
      </w:r>
    </w:p>
    <w:p w14:paraId="5C43CDB8" w14:textId="77777777" w:rsidR="00FA24C2" w:rsidRPr="00FA24C2" w:rsidRDefault="00FA24C2" w:rsidP="00FA24C2">
      <w:pPr>
        <w:rPr>
          <w:rFonts w:ascii="Verdana" w:hAnsi="Verdana"/>
          <w:sz w:val="20"/>
          <w:szCs w:val="20"/>
        </w:rPr>
      </w:pPr>
      <w:r w:rsidRPr="00FA24C2">
        <w:rPr>
          <w:rFonts w:ascii="Verdana" w:hAnsi="Verdana"/>
          <w:sz w:val="20"/>
          <w:szCs w:val="20"/>
        </w:rPr>
        <w:t xml:space="preserve"> </w:t>
      </w:r>
    </w:p>
    <w:p w14:paraId="3037F379" w14:textId="77777777" w:rsidR="00FA24C2" w:rsidRPr="00FA24C2" w:rsidRDefault="00FA24C2" w:rsidP="00FA24C2">
      <w:pPr>
        <w:rPr>
          <w:rFonts w:ascii="Verdana" w:hAnsi="Verdana"/>
          <w:sz w:val="20"/>
          <w:szCs w:val="20"/>
        </w:rPr>
      </w:pPr>
      <w:r w:rsidRPr="00FA24C2">
        <w:rPr>
          <w:rFonts w:ascii="Verdana" w:hAnsi="Verdana"/>
          <w:sz w:val="20"/>
          <w:szCs w:val="20"/>
        </w:rPr>
        <w:t>Fecha de publicación en Diario Oficial: N/A</w:t>
      </w:r>
    </w:p>
    <w:p w14:paraId="36F04784" w14:textId="0177322A" w:rsidR="00FA24C2" w:rsidRDefault="00FA24C2" w:rsidP="00FA24C2">
      <w:pPr>
        <w:rPr>
          <w:rFonts w:ascii="Verdana" w:hAnsi="Verdana"/>
          <w:sz w:val="20"/>
          <w:szCs w:val="20"/>
        </w:rPr>
      </w:pPr>
      <w:r w:rsidRPr="00FA24C2">
        <w:rPr>
          <w:rFonts w:ascii="Verdana" w:hAnsi="Verdana"/>
          <w:sz w:val="20"/>
          <w:szCs w:val="20"/>
        </w:rPr>
        <w:t>Número del Diario Oficial: N/A.</w:t>
      </w:r>
    </w:p>
    <w:p w14:paraId="399C3C37" w14:textId="77777777" w:rsidR="00FA24C2" w:rsidRDefault="00FA24C2" w:rsidP="00FA24C2">
      <w:pPr>
        <w:jc w:val="center"/>
        <w:rPr>
          <w:rFonts w:ascii="Verdana" w:hAnsi="Verdana"/>
          <w:b/>
          <w:bCs/>
        </w:rPr>
      </w:pPr>
      <w:r w:rsidRPr="00FA24C2">
        <w:rPr>
          <w:rFonts w:ascii="Verdana" w:hAnsi="Verdana"/>
          <w:b/>
          <w:bCs/>
        </w:rPr>
        <w:t>RESOLUCIÓN 5791 DE 2024</w:t>
      </w:r>
    </w:p>
    <w:p w14:paraId="419234FB" w14:textId="45545943" w:rsidR="00C93187" w:rsidRDefault="00C93187" w:rsidP="00FA24C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(10 de diciembre)</w:t>
      </w:r>
    </w:p>
    <w:p w14:paraId="4E91ECC4" w14:textId="266B3860" w:rsidR="00FA24C2" w:rsidRPr="00FA24C2" w:rsidRDefault="00FA24C2" w:rsidP="00FA24C2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FA24C2">
        <w:rPr>
          <w:rFonts w:ascii="Verdana" w:hAnsi="Verdana"/>
        </w:rPr>
        <w:t>Por medio de la cual se amplía el término del régimen de transición establecido en el artículo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tercero de la Resolución 3111 del 10 de julio de 2024</w:t>
      </w:r>
      <w:r>
        <w:rPr>
          <w:rFonts w:ascii="Verdana" w:hAnsi="Verdana"/>
        </w:rPr>
        <w:t>”</w:t>
      </w:r>
    </w:p>
    <w:p w14:paraId="490D587F" w14:textId="36728543" w:rsidR="00FA24C2" w:rsidRPr="00FA24C2" w:rsidRDefault="00FA24C2" w:rsidP="00FA24C2">
      <w:pPr>
        <w:jc w:val="center"/>
        <w:rPr>
          <w:rFonts w:ascii="Verdana" w:hAnsi="Verdana"/>
          <w:b/>
          <w:bCs/>
        </w:rPr>
      </w:pPr>
      <w:r w:rsidRPr="00FA24C2">
        <w:rPr>
          <w:rFonts w:ascii="Verdana" w:hAnsi="Verdana"/>
          <w:b/>
          <w:bCs/>
        </w:rPr>
        <w:t>LA DIRECTORA GENERAL DEL INSTITUTO COLOMBIANO DE BIENESTAR FAMILIAR CECILIA DE LA FUENTE DE LLERAS - ICBF</w:t>
      </w:r>
    </w:p>
    <w:p w14:paraId="2E1424EE" w14:textId="1413A482" w:rsidR="00FA24C2" w:rsidRPr="00FA24C2" w:rsidRDefault="00FA24C2" w:rsidP="00FA24C2">
      <w:pPr>
        <w:jc w:val="center"/>
        <w:rPr>
          <w:rFonts w:ascii="Verdana" w:hAnsi="Verdana"/>
        </w:rPr>
      </w:pPr>
      <w:r w:rsidRPr="00FA24C2">
        <w:rPr>
          <w:rFonts w:ascii="Verdana" w:hAnsi="Verdana"/>
        </w:rPr>
        <w:t>En uso de sus facultades legales y en especial las conferidas en el literal b) del artículo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28 de la Ley 7 de 1979, en el artículo 78 de la Ley 489 de 1998, el Decreto 987 de 2012,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en los artículos 11, 148, 163 y 177 de la Ley 1098 de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2006 y,</w:t>
      </w:r>
    </w:p>
    <w:p w14:paraId="54CC1567" w14:textId="509AC014" w:rsidR="00FA24C2" w:rsidRDefault="00FA24C2" w:rsidP="00FA24C2">
      <w:pPr>
        <w:jc w:val="center"/>
        <w:rPr>
          <w:rFonts w:ascii="Verdana" w:hAnsi="Verdana"/>
          <w:b/>
          <w:bCs/>
        </w:rPr>
      </w:pPr>
      <w:r w:rsidRPr="00FA24C2">
        <w:rPr>
          <w:rFonts w:ascii="Verdana" w:hAnsi="Verdana"/>
          <w:b/>
          <w:bCs/>
        </w:rPr>
        <w:t>CONSIDERANDO</w:t>
      </w:r>
    </w:p>
    <w:p w14:paraId="21A9E541" w14:textId="0B2F8C93" w:rsidR="00FA24C2" w:rsidRPr="00FA24C2" w:rsidRDefault="00FA24C2" w:rsidP="00FA24C2">
      <w:pPr>
        <w:jc w:val="both"/>
        <w:rPr>
          <w:rFonts w:ascii="Verdana" w:hAnsi="Verdana"/>
        </w:rPr>
      </w:pPr>
      <w:r w:rsidRPr="00FA24C2">
        <w:rPr>
          <w:rFonts w:ascii="Verdana" w:hAnsi="Verdana"/>
        </w:rPr>
        <w:t>Que de acuerdo con lo establecido en la Ley 7a de 1979, el artículo 12 del Decreto 2388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de 1979 compilado en el Decreto 1084 de 2015, las actividades que realicen las entidades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pertenecientes al Sistema Nacional de Bienestar Familiar deberán cumplirse con estricta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sujeción a las normas del servicio y a los reglamentos dictados por el Instituto Colombiano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de Bienestar Familiar -ICBF.</w:t>
      </w:r>
    </w:p>
    <w:p w14:paraId="01854297" w14:textId="2B29F19D" w:rsidR="00FA24C2" w:rsidRPr="00FA24C2" w:rsidRDefault="00FA24C2" w:rsidP="00FA24C2">
      <w:pPr>
        <w:jc w:val="both"/>
        <w:rPr>
          <w:rFonts w:ascii="Verdana" w:hAnsi="Verdana"/>
        </w:rPr>
      </w:pPr>
      <w:r w:rsidRPr="00FA24C2">
        <w:rPr>
          <w:rFonts w:ascii="Verdana" w:hAnsi="Verdana"/>
        </w:rPr>
        <w:t>Que la Ley 1098 de 2006 - Código de la Infancia y la Adolescencia, incluyó en el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ordenamiento jurídico normas sustantivas y procesales para la protección integral de los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niños, niñas y adolescentes, garantizar el ejercicio de sus derechos y libertades, así como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su restablecimiento.</w:t>
      </w:r>
    </w:p>
    <w:p w14:paraId="5128D4D4" w14:textId="486C2573" w:rsidR="00FA24C2" w:rsidRPr="00FA24C2" w:rsidRDefault="00FA24C2" w:rsidP="00FA24C2">
      <w:pPr>
        <w:jc w:val="both"/>
        <w:rPr>
          <w:rFonts w:ascii="Verdana" w:hAnsi="Verdana"/>
        </w:rPr>
      </w:pPr>
      <w:r w:rsidRPr="00FA24C2">
        <w:rPr>
          <w:rFonts w:ascii="Verdana" w:hAnsi="Verdana"/>
        </w:rPr>
        <w:t>Que el parágrafo del artículo 11 de la citada Ley, establece que el Instituto Colombiano de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Bienestar Familiar -ICBF, como ente Coordinador del Sistema Nacional de Bienestar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Familiar, mantendrá todas las funciones que hoy tiene y definirá los lineamientos técnicos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 xml:space="preserve">que las entidades deben cumplir para garantizar los derechos de </w:t>
      </w:r>
      <w:r>
        <w:rPr>
          <w:rFonts w:ascii="Verdana" w:hAnsi="Verdana"/>
        </w:rPr>
        <w:t>l</w:t>
      </w:r>
      <w:r w:rsidRPr="00FA24C2">
        <w:rPr>
          <w:rFonts w:ascii="Verdana" w:hAnsi="Verdana"/>
        </w:rPr>
        <w:t>os niños, niñas y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adolescentes, y para asegurar su restablecimiento.</w:t>
      </w:r>
    </w:p>
    <w:p w14:paraId="61705551" w14:textId="7F3A878E" w:rsidR="00FA24C2" w:rsidRPr="00FA24C2" w:rsidRDefault="00FA24C2" w:rsidP="00FA24C2">
      <w:pPr>
        <w:jc w:val="both"/>
        <w:rPr>
          <w:rFonts w:ascii="Verdana" w:hAnsi="Verdana"/>
        </w:rPr>
      </w:pPr>
      <w:r w:rsidRPr="00FA24C2">
        <w:rPr>
          <w:rFonts w:ascii="Verdana" w:hAnsi="Verdana"/>
        </w:rPr>
        <w:t>Que el precitado Código de la Infancia y la Adolescencia en su artículo 139 define el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 xml:space="preserve">Sistema de Responsabilidad Penal para Adolescentes - SRPA, como el conjunto </w:t>
      </w:r>
      <w:r w:rsidRPr="00FA24C2">
        <w:rPr>
          <w:rFonts w:ascii="Verdana" w:hAnsi="Verdana"/>
        </w:rPr>
        <w:lastRenderedPageBreak/>
        <w:t>de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principios, normas, procedimientos, autoridades judiciales especializadas y entes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administrativos que rigen o intervienen en la investigación y juzgamiento de delitos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cometidos por personas que tengan entre catorce (14) y dieciocho (18) años al momento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de cometer el hecho punible.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Que el artículo 140 ibidem establece que "en materia de responsabilidad penal para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adolescentes tanto el proceso como las medidas que se tomen son de carácter pedagógico,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específico y diferenciado respecto del sistema de adultos, conforme a la protección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integral. Ei proceso deberá garantizar la justicia restaurativa, la verdad y la reparación del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daño".</w:t>
      </w:r>
    </w:p>
    <w:p w14:paraId="1D49A1C1" w14:textId="7194843C" w:rsidR="00FA24C2" w:rsidRPr="00FA24C2" w:rsidRDefault="00FA24C2" w:rsidP="00FA24C2">
      <w:pPr>
        <w:jc w:val="both"/>
        <w:rPr>
          <w:rFonts w:ascii="Verdana" w:hAnsi="Verdana"/>
        </w:rPr>
      </w:pPr>
      <w:r w:rsidRPr="00FA24C2">
        <w:rPr>
          <w:rFonts w:ascii="Verdana" w:hAnsi="Verdana"/>
        </w:rPr>
        <w:t>Que en el parágrafo del artículo 148 dispone que para la ejecución de las sanciones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impuestas a los adolescentes de 14 a 16 años y de 16 a 18 años que cometan delitos, el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ICBF diseñará los lineamientos de los programas especializados en los que tendrán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prevalencia los principios de la política pública de fortalecimiento a la familia, de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conformidad con la Constitución Política y los tratados, convenios y reglas internacionales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que rigen la materia.</w:t>
      </w:r>
    </w:p>
    <w:p w14:paraId="46919E0D" w14:textId="6A9FC4D9" w:rsidR="00FA24C2" w:rsidRDefault="00FA24C2" w:rsidP="00FA24C2">
      <w:pPr>
        <w:jc w:val="both"/>
        <w:rPr>
          <w:rFonts w:ascii="Verdana" w:hAnsi="Verdana"/>
        </w:rPr>
      </w:pPr>
      <w:r w:rsidRPr="00FA24C2">
        <w:rPr>
          <w:rFonts w:ascii="Verdana" w:hAnsi="Verdana"/>
        </w:rPr>
        <w:t>Que el numeral 9 del artículo 163 de la anterior normatividad, contempla que el ICBF</w:t>
      </w:r>
      <w:r>
        <w:rPr>
          <w:rFonts w:ascii="Verdana" w:hAnsi="Verdana"/>
        </w:rPr>
        <w:t xml:space="preserve"> </w:t>
      </w:r>
      <w:r w:rsidRPr="00FA24C2">
        <w:rPr>
          <w:rFonts w:ascii="Verdana" w:hAnsi="Verdana"/>
        </w:rPr>
        <w:t>responderá por los lineamientos técnicos para la ejecución de las medidas pedagógicas.</w:t>
      </w:r>
    </w:p>
    <w:p w14:paraId="4DFF0791" w14:textId="312F27DC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 en su artículo 177, la Ley 1098 de 2006 dispone que las sanciones se cumplirán en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programas o centros de Atención Especializados, debiendo responder a los lineamientos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técnicos diseñados por el ICBF.</w:t>
      </w:r>
    </w:p>
    <w:p w14:paraId="6143E014" w14:textId="21FE2A4E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 el artículo 178 ibidem, señala que las sanciones establecidas en el artículo 177 tienen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una finalidad protectora, educativa y restaurativa y se aplicarán con el apoyo de la familia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y de especialistas.</w:t>
      </w:r>
    </w:p>
    <w:p w14:paraId="17DA8701" w14:textId="33178E9B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 el artículo 38 del Decreto 987 de 20121 atribuyó a la Dirección de Protección, entre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otras, las funciones de diseñar la política institucional dirigida a la infancia y la adolescencia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y definir los lineamientos generales en materia de protección y establecer estándares de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calidad, procesos, procedimientos y métodos de trabajo para la organización y prestación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del Servicio Público de Bienestar Familiar, dando especial énfasis a la optimización de los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procesos que tengan un alto impacto en el servicio que se brinda a los usuarios y en el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mejoramiento de la calidad y la eficiencia del funcionamiento Institucional.</w:t>
      </w:r>
    </w:p>
    <w:p w14:paraId="242D3EB3" w14:textId="7F1FB9AD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 mediante la Resolución 3111 del 10 de julio de 2024, el ICBF adoptó el Manual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Operativo de las modalidades que atienden Medidas y Sanciones del Proceso Judicial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SRPA y el Manual Operativo de las modalidades que atienden Medidas Complementarias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y Alternativas al Proceso Judicial SRPA Restablecimiento en Administración de Justicia -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RAJ.</w:t>
      </w:r>
    </w:p>
    <w:p w14:paraId="076CDB26" w14:textId="6D7B1CE3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 en dicha Resolución se estableció un régimen de transición de seis (6) meses,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período durante el cual las entidades que prestan los servicios para las Modalidades que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atienden Medidas y Sanciones del Proceso Judicial SRPA y las que atienden Medidas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 xml:space="preserve">Complementarias y Alternativas al Proceso Judicial SRPA </w:t>
      </w:r>
      <w:r w:rsidRPr="00610B9E">
        <w:rPr>
          <w:rFonts w:ascii="Verdana" w:hAnsi="Verdana"/>
        </w:rPr>
        <w:lastRenderedPageBreak/>
        <w:t>Restablecimiento en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Administración de Justicia - RAJ, debían realizar los respectivos ajustes operativos.</w:t>
      </w:r>
    </w:p>
    <w:p w14:paraId="3DCC7862" w14:textId="3BDFAD1F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Que, en efecto, durante el período de transición los operadores adelantaron las acciones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administrativas tendientes a implementar los Manuales operativos para las Modalidades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que atienden Medidas y Sanciones del Proceso Judicial SRPA y las que atienden Medidas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Complementarias y Alternativas al Proceso Judicial SRPA Restablecimiento en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Administración de Justicia - RAJ, a excepción del ítem relacionado con el componente de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alimentación y nutrición, teniendo en cuenta que su implementación requirió un trabajo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articulado de las áreas misionales del ICBF con la Dirección de Nutrición para elaborar la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minuta patrón de alimentación que orienta la derivación de ciclos de menús, así como la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lista de intercambios y análisis de contenido nutricional que deben cumplir las entidades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contratistas.</w:t>
      </w:r>
    </w:p>
    <w:p w14:paraId="76D51303" w14:textId="234769A3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Asimismo, la Dirección de Abastecimiento debe realizar el proceso de costeo de dicha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minuta; la Subdirección de Mejoramiento Organizacional deberá publicarla y la Oficina de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Aseguramiento a la Calidad gestionar lo relacionado con el otorgamiento y modificación de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las licencias de funcionamiento, de acuerdo con lo cual, se considera razonable ampliar el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régimen de transición para que los operadores implementen el componente nutricional en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los servicios.</w:t>
      </w:r>
    </w:p>
    <w:p w14:paraId="0E4FAC86" w14:textId="070DD21F" w:rsid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Que a partir de la publicación de la minuta patrón la Subdirección de Responsabilidad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Penal de la Dirección de Protección, deberá desarrollar el fortalecimiento técnico tanto al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personal del ICBF en el nivel regional como a los operadores pedagógicos, en aras del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desarrollo de un proceso adecuado de operación en los servicios de alimentación, a la luz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de la normatividad vigente y las orientaciones inscritas en la Guía Técnica del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Componente de Alimentación y Nutrición para programas y proyectos misionales o los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documentos que los modifiquen, complementen o hagan sus veces, lo que permitirá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concluir el proceso de ajuste de instrumentos requeridos para aplicar las modificaciones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incorporadas en los manuales, teniendo en cuenta la población de especial protección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que debe ser atendida conforme a los manuales modificados.</w:t>
      </w:r>
    </w:p>
    <w:p w14:paraId="38429088" w14:textId="69BB5887" w:rsid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</w:rPr>
        <w:t>En mérito de lo expuesto,</w:t>
      </w:r>
    </w:p>
    <w:p w14:paraId="5340332C" w14:textId="0A892011" w:rsidR="00610B9E" w:rsidRPr="00610B9E" w:rsidRDefault="00610B9E" w:rsidP="00610B9E">
      <w:pPr>
        <w:jc w:val="center"/>
        <w:rPr>
          <w:rFonts w:ascii="Verdana" w:hAnsi="Verdana"/>
          <w:b/>
          <w:bCs/>
        </w:rPr>
      </w:pPr>
      <w:r w:rsidRPr="00610B9E">
        <w:rPr>
          <w:rFonts w:ascii="Verdana" w:hAnsi="Verdana"/>
          <w:b/>
          <w:bCs/>
        </w:rPr>
        <w:t>RESUELVE:</w:t>
      </w:r>
    </w:p>
    <w:p w14:paraId="0E4F5A33" w14:textId="39880CCC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  <w:b/>
          <w:bCs/>
        </w:rPr>
        <w:t>ARTÍCULO 1o: AMPLIAR</w:t>
      </w:r>
      <w:r w:rsidRPr="00610B9E">
        <w:rPr>
          <w:rFonts w:ascii="Verdana" w:hAnsi="Verdana"/>
        </w:rPr>
        <w:t xml:space="preserve"> en seis (6) meses más el término del régimen de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transición establecida en el artículo tercero de la Resolución No. 3111 de 10 de julio de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2024.</w:t>
      </w:r>
    </w:p>
    <w:p w14:paraId="6C54B389" w14:textId="73715531" w:rsidR="00610B9E" w:rsidRPr="00610B9E" w:rsidRDefault="00610B9E" w:rsidP="00610B9E">
      <w:pPr>
        <w:jc w:val="both"/>
        <w:rPr>
          <w:rFonts w:ascii="Verdana" w:hAnsi="Verdana"/>
        </w:rPr>
      </w:pPr>
      <w:r w:rsidRPr="00610B9E">
        <w:rPr>
          <w:rFonts w:ascii="Verdana" w:hAnsi="Verdana"/>
          <w:b/>
          <w:bCs/>
        </w:rPr>
        <w:t>ARTÍCULO 2o:</w:t>
      </w:r>
      <w:r w:rsidRPr="00610B9E">
        <w:rPr>
          <w:rFonts w:ascii="Verdana" w:hAnsi="Verdana"/>
        </w:rPr>
        <w:t xml:space="preserve"> La Dirección de Protección COMUNICARÁ el presente acto</w:t>
      </w:r>
      <w:r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administrativo a la subdirectora de Responsabilidad Penal, los directores regionales, los</w:t>
      </w:r>
      <w:r w:rsidR="00AE5959"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Coordinadores de Grupo de Asistencia Técnica y a todas las entidades que prestan los</w:t>
      </w:r>
      <w:r w:rsidR="00AE5959"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servicios para las Modalidades que atienden Medidas y Sanciones del Proceso Judicial SRPA</w:t>
      </w:r>
      <w:r w:rsidR="00AE5959"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 xml:space="preserve">y las que atienden Medidas </w:t>
      </w:r>
      <w:r w:rsidRPr="00610B9E">
        <w:rPr>
          <w:rFonts w:ascii="Verdana" w:hAnsi="Verdana"/>
        </w:rPr>
        <w:lastRenderedPageBreak/>
        <w:t>Complementarias y Alternativas al Proceso Judicial SRPA</w:t>
      </w:r>
      <w:r w:rsidR="00AE5959"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Restablecimiento en Administración de Justicia - RAJ.</w:t>
      </w:r>
    </w:p>
    <w:p w14:paraId="0FEFE7CD" w14:textId="0A23FD94" w:rsidR="00610B9E" w:rsidRPr="00610B9E" w:rsidRDefault="00610B9E" w:rsidP="00610B9E">
      <w:pPr>
        <w:jc w:val="both"/>
        <w:rPr>
          <w:rFonts w:ascii="Verdana" w:hAnsi="Verdana"/>
        </w:rPr>
      </w:pPr>
      <w:r w:rsidRPr="00AE5959">
        <w:rPr>
          <w:rFonts w:ascii="Verdana" w:hAnsi="Verdana"/>
          <w:b/>
          <w:bCs/>
        </w:rPr>
        <w:t xml:space="preserve">ARTÍCULO </w:t>
      </w:r>
      <w:r w:rsidR="00AE5959" w:rsidRPr="00AE5959">
        <w:rPr>
          <w:rFonts w:ascii="Verdana" w:hAnsi="Verdana"/>
          <w:b/>
          <w:bCs/>
        </w:rPr>
        <w:t>3o</w:t>
      </w:r>
      <w:r w:rsidRPr="00AE5959">
        <w:rPr>
          <w:rFonts w:ascii="Verdana" w:hAnsi="Verdana"/>
          <w:b/>
          <w:bCs/>
        </w:rPr>
        <w:t>: PUBLICIDAD.</w:t>
      </w:r>
      <w:r w:rsidRPr="00610B9E">
        <w:rPr>
          <w:rFonts w:ascii="Verdana" w:hAnsi="Verdana"/>
        </w:rPr>
        <w:t xml:space="preserve"> A través de la Oficina de Comunicaciones,</w:t>
      </w:r>
      <w:r w:rsidR="00AE5959">
        <w:rPr>
          <w:rFonts w:ascii="Verdana" w:hAnsi="Verdana"/>
        </w:rPr>
        <w:t xml:space="preserve"> </w:t>
      </w:r>
      <w:r w:rsidR="00AE5959" w:rsidRPr="00610B9E">
        <w:rPr>
          <w:rFonts w:ascii="Verdana" w:hAnsi="Verdana"/>
        </w:rPr>
        <w:t>publíquese</w:t>
      </w:r>
      <w:r w:rsidRPr="00610B9E">
        <w:rPr>
          <w:rFonts w:ascii="Verdana" w:hAnsi="Verdana"/>
        </w:rPr>
        <w:t xml:space="preserve"> la presente Resolución en la página web del ICBF.</w:t>
      </w:r>
    </w:p>
    <w:p w14:paraId="6408ADBC" w14:textId="76795668" w:rsidR="00610B9E" w:rsidRDefault="00610B9E" w:rsidP="00610B9E">
      <w:pPr>
        <w:jc w:val="both"/>
        <w:rPr>
          <w:rFonts w:ascii="Verdana" w:hAnsi="Verdana"/>
        </w:rPr>
      </w:pPr>
      <w:r w:rsidRPr="00AE5959">
        <w:rPr>
          <w:rFonts w:ascii="Verdana" w:hAnsi="Verdana"/>
          <w:b/>
          <w:bCs/>
        </w:rPr>
        <w:t xml:space="preserve">ARTÍCULO </w:t>
      </w:r>
      <w:r w:rsidR="00AE5959" w:rsidRPr="00AE5959">
        <w:rPr>
          <w:rFonts w:ascii="Verdana" w:hAnsi="Verdana"/>
          <w:b/>
          <w:bCs/>
        </w:rPr>
        <w:t>4o</w:t>
      </w:r>
      <w:r w:rsidRPr="00AE5959">
        <w:rPr>
          <w:rFonts w:ascii="Verdana" w:hAnsi="Verdana"/>
          <w:b/>
          <w:bCs/>
        </w:rPr>
        <w:t>:</w:t>
      </w:r>
      <w:r w:rsidRPr="00610B9E">
        <w:rPr>
          <w:rFonts w:ascii="Verdana" w:hAnsi="Verdana"/>
        </w:rPr>
        <w:t xml:space="preserve"> </w:t>
      </w:r>
      <w:r w:rsidRPr="00AE5959">
        <w:rPr>
          <w:rFonts w:ascii="Verdana" w:hAnsi="Verdana"/>
          <w:b/>
          <w:bCs/>
        </w:rPr>
        <w:t>VIGENCIA.</w:t>
      </w:r>
      <w:r w:rsidRPr="00610B9E">
        <w:rPr>
          <w:rFonts w:ascii="Verdana" w:hAnsi="Verdana"/>
        </w:rPr>
        <w:t xml:space="preserve"> La presente Resolución rige a partir de su</w:t>
      </w:r>
      <w:r w:rsidR="00AE5959">
        <w:rPr>
          <w:rFonts w:ascii="Verdana" w:hAnsi="Verdana"/>
        </w:rPr>
        <w:t xml:space="preserve"> </w:t>
      </w:r>
      <w:r w:rsidRPr="00610B9E">
        <w:rPr>
          <w:rFonts w:ascii="Verdana" w:hAnsi="Verdana"/>
        </w:rPr>
        <w:t>comunicación.</w:t>
      </w:r>
    </w:p>
    <w:p w14:paraId="27F4CF6A" w14:textId="011CDA02" w:rsidR="00AE5959" w:rsidRPr="00AE5959" w:rsidRDefault="00AE5959" w:rsidP="00AE5959">
      <w:pPr>
        <w:jc w:val="center"/>
        <w:rPr>
          <w:rFonts w:ascii="Verdana" w:hAnsi="Verdana"/>
          <w:b/>
          <w:bCs/>
        </w:rPr>
      </w:pPr>
      <w:r w:rsidRPr="00AE5959">
        <w:rPr>
          <w:rFonts w:ascii="Verdana" w:hAnsi="Verdana"/>
          <w:b/>
          <w:bCs/>
        </w:rPr>
        <w:t>PÚBLIQUESE, COMUNÍQUESE Y CÚMPLASE</w:t>
      </w:r>
    </w:p>
    <w:p w14:paraId="3E4DB46E" w14:textId="61C6DF50" w:rsidR="00AE5959" w:rsidRDefault="00AE5959" w:rsidP="00AE5959">
      <w:pPr>
        <w:jc w:val="center"/>
        <w:rPr>
          <w:rFonts w:ascii="Verdana" w:hAnsi="Verdana"/>
        </w:rPr>
      </w:pPr>
      <w:r w:rsidRPr="00AE5959">
        <w:rPr>
          <w:rFonts w:ascii="Verdana" w:hAnsi="Verdana"/>
        </w:rPr>
        <w:t>DADA EN BOGOTA D.C., A LOS</w:t>
      </w:r>
      <w:r>
        <w:rPr>
          <w:rFonts w:ascii="Verdana" w:hAnsi="Verdana"/>
        </w:rPr>
        <w:t xml:space="preserve"> 10 DÍAS DEL MES DE DICIEMBRE DE 2024</w:t>
      </w:r>
    </w:p>
    <w:p w14:paraId="7AECD065" w14:textId="3C8CB873" w:rsidR="00AE5959" w:rsidRPr="00AE5959" w:rsidRDefault="00AE5959" w:rsidP="00AE5959">
      <w:pPr>
        <w:jc w:val="center"/>
        <w:rPr>
          <w:rFonts w:ascii="Verdana" w:hAnsi="Verdana"/>
          <w:b/>
          <w:bCs/>
        </w:rPr>
      </w:pPr>
      <w:r w:rsidRPr="00AE5959">
        <w:rPr>
          <w:rFonts w:ascii="Verdana" w:hAnsi="Verdana"/>
          <w:b/>
          <w:bCs/>
        </w:rPr>
        <w:t>ASTRID ELIANA CACERES CARDENAS</w:t>
      </w:r>
    </w:p>
    <w:p w14:paraId="7C8C58BC" w14:textId="21FA9E48" w:rsidR="00AE5959" w:rsidRPr="00610B9E" w:rsidRDefault="00AE5959" w:rsidP="00AE5959">
      <w:pPr>
        <w:jc w:val="center"/>
        <w:rPr>
          <w:rFonts w:ascii="Verdana" w:hAnsi="Verdana"/>
        </w:rPr>
      </w:pPr>
      <w:r w:rsidRPr="00AE5959">
        <w:rPr>
          <w:rFonts w:ascii="Verdana" w:hAnsi="Verdana"/>
        </w:rPr>
        <w:t>DIRECTORA GENERAL</w:t>
      </w:r>
    </w:p>
    <w:p w14:paraId="40925CE8" w14:textId="1A14348F" w:rsidR="00610B9E" w:rsidRPr="00FA24C2" w:rsidRDefault="00610B9E" w:rsidP="00610B9E">
      <w:pPr>
        <w:jc w:val="both"/>
        <w:rPr>
          <w:rFonts w:ascii="Verdana" w:hAnsi="Verdana"/>
        </w:rPr>
      </w:pPr>
    </w:p>
    <w:sectPr w:rsidR="00610B9E" w:rsidRPr="00FA2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C2"/>
    <w:rsid w:val="000B4793"/>
    <w:rsid w:val="00610B9E"/>
    <w:rsid w:val="007B07F4"/>
    <w:rsid w:val="00AE5959"/>
    <w:rsid w:val="00C93187"/>
    <w:rsid w:val="00F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2C0A"/>
  <w15:chartTrackingRefBased/>
  <w15:docId w15:val="{2891C71C-3D5D-4EBE-AF26-63D8D41F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3DD6C-A3A1-4775-9BE4-3A3E68D605A4}"/>
</file>

<file path=customXml/itemProps2.xml><?xml version="1.0" encoding="utf-8"?>
<ds:datastoreItem xmlns:ds="http://schemas.openxmlformats.org/officeDocument/2006/customXml" ds:itemID="{E0F5B61A-5686-4BAF-B36D-9139A930EF85}"/>
</file>

<file path=customXml/itemProps3.xml><?xml version="1.0" encoding="utf-8"?>
<ds:datastoreItem xmlns:ds="http://schemas.openxmlformats.org/officeDocument/2006/customXml" ds:itemID="{76388A41-9DFB-45A6-9780-7201AF18F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2026-03-19T14:05:00Z</dcterms:created>
  <dcterms:modified xsi:type="dcterms:W3CDTF">2026-03-20T20:42:00Z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