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A21E" w14:textId="073A6596" w:rsidR="00301CE5" w:rsidRPr="00301CE5" w:rsidRDefault="00301CE5" w:rsidP="00301CE5">
      <w:pPr>
        <w:jc w:val="center"/>
        <w:rPr>
          <w:rFonts w:ascii="Verdana" w:hAnsi="Verdana"/>
          <w:b/>
          <w:bCs/>
          <w:sz w:val="22"/>
          <w:szCs w:val="22"/>
        </w:rPr>
      </w:pPr>
      <w:r w:rsidRPr="00301CE5">
        <w:rPr>
          <w:rFonts w:ascii="Verdana" w:hAnsi="Verdana"/>
          <w:b/>
          <w:bCs/>
          <w:sz w:val="22"/>
          <w:szCs w:val="22"/>
        </w:rPr>
        <w:t>RESOLUCIÓN 5764 DE 2013</w:t>
      </w:r>
    </w:p>
    <w:p w14:paraId="05C8980A" w14:textId="13054FCA" w:rsidR="003A5318" w:rsidRPr="00301CE5" w:rsidRDefault="003A5318" w:rsidP="00D62A16">
      <w:pPr>
        <w:rPr>
          <w:rFonts w:ascii="Verdana" w:hAnsi="Verdana"/>
          <w:sz w:val="20"/>
          <w:szCs w:val="20"/>
        </w:rPr>
      </w:pPr>
      <w:r w:rsidRPr="00301CE5">
        <w:rPr>
          <w:rFonts w:ascii="Verdana" w:hAnsi="Verdana"/>
          <w:sz w:val="20"/>
          <w:szCs w:val="20"/>
        </w:rPr>
        <w:t xml:space="preserve">Fecha de Expedición: </w:t>
      </w:r>
      <w:r w:rsidR="00301CE5" w:rsidRPr="00301CE5">
        <w:rPr>
          <w:rFonts w:ascii="Verdana" w:hAnsi="Verdana"/>
          <w:sz w:val="20"/>
          <w:szCs w:val="20"/>
        </w:rPr>
        <w:t>18 de julio</w:t>
      </w:r>
      <w:r w:rsidRPr="00301CE5">
        <w:rPr>
          <w:rFonts w:ascii="Verdana" w:hAnsi="Verdana"/>
          <w:sz w:val="20"/>
          <w:szCs w:val="20"/>
        </w:rPr>
        <w:t xml:space="preserve"> de 2013</w:t>
      </w:r>
    </w:p>
    <w:p w14:paraId="16601753" w14:textId="77777777" w:rsidR="00301CE5" w:rsidRPr="00301CE5" w:rsidRDefault="003A5318" w:rsidP="00D62A16">
      <w:pPr>
        <w:rPr>
          <w:rFonts w:ascii="Verdana" w:hAnsi="Verdana"/>
          <w:sz w:val="20"/>
          <w:szCs w:val="20"/>
        </w:rPr>
      </w:pPr>
      <w:r w:rsidRPr="00301CE5">
        <w:rPr>
          <w:rFonts w:ascii="Verdana" w:hAnsi="Verdana"/>
          <w:sz w:val="20"/>
          <w:szCs w:val="20"/>
        </w:rPr>
        <w:t xml:space="preserve">Fecha de </w:t>
      </w:r>
      <w:proofErr w:type="gramStart"/>
      <w:r w:rsidRPr="00301CE5">
        <w:rPr>
          <w:rFonts w:ascii="Verdana" w:hAnsi="Verdana"/>
          <w:sz w:val="20"/>
          <w:szCs w:val="20"/>
        </w:rPr>
        <w:t>entrada en vigencia</w:t>
      </w:r>
      <w:proofErr w:type="gramEnd"/>
      <w:r w:rsidRPr="00301CE5">
        <w:rPr>
          <w:rFonts w:ascii="Verdana" w:hAnsi="Verdana"/>
          <w:sz w:val="20"/>
          <w:szCs w:val="20"/>
        </w:rPr>
        <w:t xml:space="preserve">: </w:t>
      </w:r>
      <w:r w:rsidR="00301CE5" w:rsidRPr="00301CE5">
        <w:rPr>
          <w:rFonts w:ascii="Verdana" w:hAnsi="Verdana"/>
          <w:sz w:val="20"/>
          <w:szCs w:val="20"/>
        </w:rPr>
        <w:t>5 de agosto de 2013</w:t>
      </w:r>
    </w:p>
    <w:p w14:paraId="3A349A09" w14:textId="77777777" w:rsidR="00301CE5" w:rsidRPr="00301CE5" w:rsidRDefault="003A5318" w:rsidP="00D62A16">
      <w:pPr>
        <w:rPr>
          <w:rFonts w:ascii="Verdana" w:hAnsi="Verdana"/>
          <w:sz w:val="20"/>
          <w:szCs w:val="20"/>
        </w:rPr>
      </w:pPr>
      <w:r w:rsidRPr="00301CE5">
        <w:rPr>
          <w:rFonts w:ascii="Verdana" w:hAnsi="Verdana"/>
          <w:sz w:val="20"/>
          <w:szCs w:val="20"/>
        </w:rPr>
        <w:t xml:space="preserve">Estado de la vigencia: </w:t>
      </w:r>
      <w:r w:rsidR="00301CE5" w:rsidRPr="00301CE5">
        <w:rPr>
          <w:rFonts w:ascii="Verdana" w:hAnsi="Verdana"/>
          <w:sz w:val="20"/>
          <w:szCs w:val="20"/>
        </w:rPr>
        <w:t>derogada por el artículo 23 de la Resolución 7666 de 2016</w:t>
      </w:r>
    </w:p>
    <w:p w14:paraId="7846664D" w14:textId="77777777" w:rsidR="00301CE5" w:rsidRPr="00301CE5" w:rsidRDefault="00301CE5" w:rsidP="00D62A16">
      <w:pPr>
        <w:rPr>
          <w:rFonts w:ascii="Verdana" w:hAnsi="Verdana"/>
          <w:sz w:val="20"/>
          <w:szCs w:val="20"/>
        </w:rPr>
      </w:pPr>
    </w:p>
    <w:p w14:paraId="300C84B7" w14:textId="0F061AFF" w:rsidR="003A5318" w:rsidRPr="00301CE5" w:rsidRDefault="003A5318" w:rsidP="00D62A16">
      <w:pPr>
        <w:rPr>
          <w:rFonts w:ascii="Verdana" w:hAnsi="Verdana"/>
          <w:sz w:val="20"/>
          <w:szCs w:val="20"/>
        </w:rPr>
      </w:pPr>
      <w:r w:rsidRPr="00301CE5">
        <w:rPr>
          <w:rFonts w:ascii="Verdana" w:hAnsi="Verdana"/>
          <w:sz w:val="20"/>
          <w:szCs w:val="20"/>
        </w:rPr>
        <w:t xml:space="preserve">Fecha de publicación en Diario Oficial: </w:t>
      </w:r>
      <w:r w:rsidR="00301CE5" w:rsidRPr="00301CE5">
        <w:rPr>
          <w:rFonts w:ascii="Verdana" w:hAnsi="Verdana"/>
          <w:sz w:val="20"/>
          <w:szCs w:val="20"/>
        </w:rPr>
        <w:t>5 de agosto de 2013</w:t>
      </w:r>
    </w:p>
    <w:p w14:paraId="40AFB080" w14:textId="2D807F8B" w:rsidR="00301CE5" w:rsidRPr="00301CE5" w:rsidRDefault="003A5318" w:rsidP="00D62A16">
      <w:pPr>
        <w:rPr>
          <w:rFonts w:ascii="Verdana" w:hAnsi="Verdana"/>
          <w:sz w:val="20"/>
          <w:szCs w:val="20"/>
        </w:rPr>
      </w:pPr>
      <w:r w:rsidRPr="00301CE5">
        <w:rPr>
          <w:rFonts w:ascii="Verdana" w:hAnsi="Verdana"/>
          <w:sz w:val="20"/>
          <w:szCs w:val="20"/>
        </w:rPr>
        <w:t xml:space="preserve">Número del Diario Oficial: </w:t>
      </w:r>
      <w:r w:rsidR="00301CE5" w:rsidRPr="00301CE5">
        <w:rPr>
          <w:rFonts w:ascii="Verdana" w:hAnsi="Verdana"/>
          <w:sz w:val="20"/>
          <w:szCs w:val="20"/>
        </w:rPr>
        <w:t>No. 48.873</w:t>
      </w:r>
    </w:p>
    <w:p w14:paraId="34541222" w14:textId="43F0402B" w:rsidR="00191E2B" w:rsidRPr="00301CE5" w:rsidRDefault="00191E2B" w:rsidP="00301CE5">
      <w:pPr>
        <w:jc w:val="center"/>
        <w:rPr>
          <w:rFonts w:ascii="Verdana" w:hAnsi="Verdana"/>
          <w:b/>
          <w:bCs/>
          <w:sz w:val="22"/>
          <w:szCs w:val="22"/>
        </w:rPr>
      </w:pPr>
      <w:r w:rsidRPr="00301CE5">
        <w:rPr>
          <w:rFonts w:ascii="Verdana" w:hAnsi="Verdana"/>
          <w:b/>
          <w:bCs/>
          <w:sz w:val="22"/>
          <w:szCs w:val="22"/>
        </w:rPr>
        <w:t>RESOLUCIÓN 5764 DE 2013</w:t>
      </w:r>
    </w:p>
    <w:p w14:paraId="2A1EB97B" w14:textId="203AD225" w:rsidR="00191E2B" w:rsidRPr="00301CE5" w:rsidRDefault="00191E2B" w:rsidP="00301CE5">
      <w:pPr>
        <w:jc w:val="center"/>
        <w:rPr>
          <w:rFonts w:ascii="Verdana" w:hAnsi="Verdana"/>
          <w:b/>
          <w:bCs/>
          <w:sz w:val="22"/>
          <w:szCs w:val="22"/>
        </w:rPr>
      </w:pPr>
      <w:r w:rsidRPr="00301CE5">
        <w:rPr>
          <w:rFonts w:ascii="Verdana" w:hAnsi="Verdana"/>
          <w:b/>
          <w:bCs/>
          <w:sz w:val="22"/>
          <w:szCs w:val="22"/>
        </w:rPr>
        <w:t>(</w:t>
      </w:r>
      <w:r w:rsidR="00301CE5" w:rsidRPr="00301CE5">
        <w:rPr>
          <w:rFonts w:ascii="Verdana" w:hAnsi="Verdana"/>
          <w:b/>
          <w:bCs/>
          <w:sz w:val="22"/>
          <w:szCs w:val="22"/>
        </w:rPr>
        <w:t xml:space="preserve">18 de </w:t>
      </w:r>
      <w:r w:rsidRPr="00301CE5">
        <w:rPr>
          <w:rFonts w:ascii="Verdana" w:hAnsi="Verdana"/>
          <w:b/>
          <w:bCs/>
          <w:sz w:val="22"/>
          <w:szCs w:val="22"/>
        </w:rPr>
        <w:t>julio)</w:t>
      </w:r>
    </w:p>
    <w:p w14:paraId="5F8C6A40" w14:textId="19440556" w:rsidR="00191E2B" w:rsidRPr="00301CE5" w:rsidRDefault="00191E2B" w:rsidP="00301CE5">
      <w:pPr>
        <w:jc w:val="center"/>
        <w:rPr>
          <w:rFonts w:ascii="Verdana" w:hAnsi="Verdana"/>
          <w:b/>
          <w:bCs/>
          <w:sz w:val="22"/>
          <w:szCs w:val="22"/>
        </w:rPr>
      </w:pPr>
      <w:r w:rsidRPr="00301CE5">
        <w:rPr>
          <w:rFonts w:ascii="Verdana" w:hAnsi="Verdana"/>
          <w:b/>
          <w:bCs/>
          <w:sz w:val="22"/>
          <w:szCs w:val="22"/>
        </w:rPr>
        <w:t>INSTITUTO COLOMBIANO DE BIENESTAR FAMILIAR</w:t>
      </w:r>
    </w:p>
    <w:p w14:paraId="0E6CF4C9" w14:textId="1DFF83FF" w:rsidR="00191E2B" w:rsidRPr="00301CE5" w:rsidRDefault="00191E2B" w:rsidP="00301CE5">
      <w:pPr>
        <w:jc w:val="center"/>
        <w:rPr>
          <w:rFonts w:ascii="Verdana" w:hAnsi="Verdana"/>
          <w:b/>
          <w:bCs/>
          <w:sz w:val="22"/>
          <w:szCs w:val="22"/>
        </w:rPr>
      </w:pPr>
      <w:r w:rsidRPr="00301CE5">
        <w:rPr>
          <w:rFonts w:ascii="Verdana" w:hAnsi="Verdana"/>
          <w:b/>
          <w:bCs/>
          <w:sz w:val="22"/>
          <w:szCs w:val="22"/>
        </w:rPr>
        <w:t>CECILIA DE LA FUENTE DE LLERAS</w:t>
      </w:r>
    </w:p>
    <w:p w14:paraId="2E6DB8F2" w14:textId="1ACFC134" w:rsidR="00191E2B" w:rsidRPr="00301CE5" w:rsidRDefault="00191E2B" w:rsidP="00301CE5">
      <w:pPr>
        <w:jc w:val="center"/>
        <w:rPr>
          <w:rFonts w:ascii="Verdana" w:hAnsi="Verdana"/>
          <w:b/>
          <w:bCs/>
          <w:sz w:val="22"/>
          <w:szCs w:val="22"/>
        </w:rPr>
      </w:pPr>
      <w:r w:rsidRPr="00301CE5">
        <w:rPr>
          <w:rFonts w:ascii="Verdana" w:hAnsi="Verdana"/>
          <w:b/>
          <w:bCs/>
          <w:sz w:val="22"/>
          <w:szCs w:val="22"/>
        </w:rPr>
        <w:t>DIRECCIÓN DE GENERAL</w:t>
      </w:r>
    </w:p>
    <w:p w14:paraId="79FC9CFC" w14:textId="7E97A86E" w:rsidR="00191E2B" w:rsidRPr="00D62A16" w:rsidRDefault="00301CE5" w:rsidP="00301CE5">
      <w:pPr>
        <w:jc w:val="center"/>
        <w:rPr>
          <w:rFonts w:ascii="Verdana" w:hAnsi="Verdana"/>
          <w:sz w:val="22"/>
          <w:szCs w:val="22"/>
        </w:rPr>
      </w:pPr>
      <w:r>
        <w:rPr>
          <w:rFonts w:ascii="Verdana" w:hAnsi="Verdana"/>
          <w:sz w:val="22"/>
          <w:szCs w:val="22"/>
        </w:rPr>
        <w:t>“</w:t>
      </w:r>
      <w:r w:rsidR="00191E2B" w:rsidRPr="00D62A16">
        <w:rPr>
          <w:rFonts w:ascii="Verdana" w:hAnsi="Verdana"/>
          <w:sz w:val="22"/>
          <w:szCs w:val="22"/>
        </w:rPr>
        <w:t>Por medio de la cual se crea el Comité de Peticiones, Quejas, Reclamos y Sugerencias.</w:t>
      </w:r>
      <w:r>
        <w:rPr>
          <w:rFonts w:ascii="Verdana" w:hAnsi="Verdana"/>
          <w:sz w:val="22"/>
          <w:szCs w:val="22"/>
        </w:rPr>
        <w:t>”</w:t>
      </w:r>
    </w:p>
    <w:p w14:paraId="2D4BCA50" w14:textId="32D5D3A2" w:rsidR="00191E2B" w:rsidRPr="00301CE5" w:rsidRDefault="00191E2B" w:rsidP="00301CE5">
      <w:pPr>
        <w:jc w:val="center"/>
        <w:rPr>
          <w:rFonts w:ascii="Verdana" w:hAnsi="Verdana"/>
          <w:b/>
          <w:bCs/>
          <w:sz w:val="22"/>
          <w:szCs w:val="22"/>
        </w:rPr>
      </w:pPr>
      <w:r w:rsidRPr="00301CE5">
        <w:rPr>
          <w:rFonts w:ascii="Verdana" w:hAnsi="Verdana"/>
          <w:b/>
          <w:bCs/>
          <w:sz w:val="22"/>
          <w:szCs w:val="22"/>
        </w:rPr>
        <w:t>LA SUBDIRECTORA GENERAL, ENCARGADA DE LAS FUNCIONES DEL DESPACHO DEL DIRECTOR GENERAL DEL INSTITUTO COLOMBIANO DE BIENESTAR FAMILIAR,</w:t>
      </w:r>
    </w:p>
    <w:p w14:paraId="5B4CA23B" w14:textId="6E0AB70F" w:rsidR="00191E2B" w:rsidRPr="00D62A16" w:rsidRDefault="00191E2B" w:rsidP="00301CE5">
      <w:pPr>
        <w:jc w:val="center"/>
        <w:rPr>
          <w:rFonts w:ascii="Verdana" w:hAnsi="Verdana"/>
          <w:sz w:val="22"/>
          <w:szCs w:val="22"/>
        </w:rPr>
      </w:pPr>
      <w:r w:rsidRPr="00D62A16">
        <w:rPr>
          <w:rFonts w:ascii="Verdana" w:hAnsi="Verdana"/>
          <w:sz w:val="22"/>
          <w:szCs w:val="22"/>
        </w:rPr>
        <w:t>Cecilia de la Fuente de Lleras, en uso de sus facultades constitucionales y legales, en especial las consagradas en el artículo 78 de la Ley 489 de 1998 y el Decreto número 987 de 2012, y</w:t>
      </w:r>
    </w:p>
    <w:p w14:paraId="25F88FC5" w14:textId="77777777" w:rsidR="00191E2B" w:rsidRPr="00301CE5" w:rsidRDefault="00191E2B" w:rsidP="00301CE5">
      <w:pPr>
        <w:jc w:val="center"/>
        <w:rPr>
          <w:rFonts w:ascii="Verdana" w:hAnsi="Verdana"/>
          <w:b/>
          <w:bCs/>
          <w:sz w:val="22"/>
          <w:szCs w:val="22"/>
        </w:rPr>
      </w:pPr>
      <w:r w:rsidRPr="00301CE5">
        <w:rPr>
          <w:rFonts w:ascii="Verdana" w:hAnsi="Verdana"/>
          <w:b/>
          <w:bCs/>
          <w:sz w:val="22"/>
          <w:szCs w:val="22"/>
        </w:rPr>
        <w:t>CONSIDERANDO:</w:t>
      </w:r>
    </w:p>
    <w:p w14:paraId="196B7023" w14:textId="4DA14C4F" w:rsidR="00191E2B" w:rsidRPr="00301CE5" w:rsidRDefault="00191E2B" w:rsidP="00301CE5">
      <w:pPr>
        <w:pStyle w:val="Prrafodelista"/>
        <w:numPr>
          <w:ilvl w:val="0"/>
          <w:numId w:val="1"/>
        </w:numPr>
        <w:jc w:val="both"/>
        <w:rPr>
          <w:rFonts w:ascii="Verdana" w:hAnsi="Verdana"/>
          <w:sz w:val="22"/>
          <w:szCs w:val="22"/>
        </w:rPr>
      </w:pPr>
      <w:r w:rsidRPr="00301CE5">
        <w:rPr>
          <w:rFonts w:ascii="Verdana" w:hAnsi="Verdana"/>
          <w:sz w:val="22"/>
          <w:szCs w:val="22"/>
        </w:rPr>
        <w:t>Que el artículo 209 de la Constitución Política de Colombia establece que la función administrativa debe estar al servicio de los intereses generales y desarrolla con fundamento en los principios de igualdad, moralidad, eficacia, economía, celeridad, imparcialidad y publicidad, mediante la descentralización, delegación y desconcentración de funciones;</w:t>
      </w:r>
    </w:p>
    <w:p w14:paraId="7247FB31" w14:textId="3F401C1C" w:rsidR="00191E2B" w:rsidRPr="00301CE5" w:rsidRDefault="00191E2B" w:rsidP="00301CE5">
      <w:pPr>
        <w:pStyle w:val="Prrafodelista"/>
        <w:numPr>
          <w:ilvl w:val="0"/>
          <w:numId w:val="1"/>
        </w:numPr>
        <w:jc w:val="both"/>
        <w:rPr>
          <w:rFonts w:ascii="Verdana" w:hAnsi="Verdana"/>
          <w:sz w:val="22"/>
          <w:szCs w:val="22"/>
        </w:rPr>
      </w:pPr>
      <w:r w:rsidRPr="00301CE5">
        <w:rPr>
          <w:rFonts w:ascii="Verdana" w:hAnsi="Verdana"/>
          <w:sz w:val="22"/>
          <w:szCs w:val="22"/>
        </w:rPr>
        <w:t>Que la Ley 962 de 2005 establece los lineamientos de la política de racionalización de trámites y procedimientos administrativos de los organismos y entidades del Estado y de los particulares que ejercen funciones públicas o prestan servicios públicos;</w:t>
      </w:r>
    </w:p>
    <w:p w14:paraId="4E7C8B59" w14:textId="77777777" w:rsidR="00191E2B" w:rsidRPr="00301CE5" w:rsidRDefault="00191E2B" w:rsidP="00301CE5">
      <w:pPr>
        <w:pStyle w:val="Prrafodelista"/>
        <w:numPr>
          <w:ilvl w:val="0"/>
          <w:numId w:val="1"/>
        </w:numPr>
        <w:jc w:val="both"/>
        <w:rPr>
          <w:rFonts w:ascii="Verdana" w:hAnsi="Verdana"/>
          <w:sz w:val="22"/>
          <w:szCs w:val="22"/>
        </w:rPr>
      </w:pPr>
      <w:r w:rsidRPr="00301CE5">
        <w:rPr>
          <w:rFonts w:ascii="Verdana" w:hAnsi="Verdana"/>
          <w:sz w:val="22"/>
          <w:szCs w:val="22"/>
        </w:rPr>
        <w:t>Que el Decreto número 19 de 2012, tiene por objeto suprimir o transformar los trámites, procedimientos y reglamentos innecesarios existentes en la Administración Pública, con el fin de facilitar la actividad de las personas naturales y jurídicas ante las autoridades, contribuir a la eficiencia y eficacia de estas y desarrollar los principios constitucionales que la rigen;</w:t>
      </w:r>
    </w:p>
    <w:p w14:paraId="27783C46" w14:textId="1E318FA8" w:rsidR="00191E2B" w:rsidRPr="00301CE5" w:rsidRDefault="00191E2B" w:rsidP="00301CE5">
      <w:pPr>
        <w:pStyle w:val="Prrafodelista"/>
        <w:numPr>
          <w:ilvl w:val="0"/>
          <w:numId w:val="1"/>
        </w:numPr>
        <w:jc w:val="both"/>
        <w:rPr>
          <w:rFonts w:ascii="Verdana" w:hAnsi="Verdana"/>
          <w:sz w:val="22"/>
          <w:szCs w:val="22"/>
        </w:rPr>
      </w:pPr>
      <w:r w:rsidRPr="00301CE5">
        <w:rPr>
          <w:rFonts w:ascii="Verdana" w:hAnsi="Verdana"/>
          <w:sz w:val="22"/>
          <w:szCs w:val="22"/>
        </w:rPr>
        <w:lastRenderedPageBreak/>
        <w:t>Que el Decreto número 987 de 2012 fijó la nueva estructura del Instituto Colombiano de Bienestar Familiar, Cecilia de la Fuente de Lleras, por lo cual se requiere formular, desarrollar y ejecutar planes de mejoramiento para la atención y prestación del servicio a los niños, niñas, adolescentes y comunidad;</w:t>
      </w:r>
    </w:p>
    <w:p w14:paraId="6B43ACDF" w14:textId="4F38E71C" w:rsidR="00191E2B" w:rsidRPr="00301CE5" w:rsidRDefault="00191E2B" w:rsidP="00301CE5">
      <w:pPr>
        <w:pStyle w:val="Prrafodelista"/>
        <w:numPr>
          <w:ilvl w:val="0"/>
          <w:numId w:val="1"/>
        </w:numPr>
        <w:jc w:val="both"/>
        <w:rPr>
          <w:rFonts w:ascii="Verdana" w:hAnsi="Verdana"/>
          <w:sz w:val="22"/>
          <w:szCs w:val="22"/>
        </w:rPr>
      </w:pPr>
      <w:r w:rsidRPr="00301CE5">
        <w:rPr>
          <w:rFonts w:ascii="Verdana" w:hAnsi="Verdana"/>
          <w:sz w:val="22"/>
          <w:szCs w:val="22"/>
        </w:rPr>
        <w:t>Que la Ley 1437 de 2011, por la cual se expide el Código de Procedimiento Administrativo y de lo Contencioso Administrativo, establece en virtud del principio de eficacia, que las autoridades buscarán que los procedimientos logren su finalidad y, para el efecto, removerán de oficio los obstáculos puramente formales, evitarán decisiones inhibitorias, dilaciones o retardos y sanearán las irregularidades procedimentales que se presenten, en procura de la efectividad del derecho material objeto de la actuación administrativa;</w:t>
      </w:r>
    </w:p>
    <w:p w14:paraId="5DF27D2E" w14:textId="263CF2D9" w:rsidR="00191E2B" w:rsidRPr="00301CE5" w:rsidRDefault="00191E2B" w:rsidP="00301CE5">
      <w:pPr>
        <w:pStyle w:val="Prrafodelista"/>
        <w:numPr>
          <w:ilvl w:val="0"/>
          <w:numId w:val="1"/>
        </w:numPr>
        <w:jc w:val="both"/>
        <w:rPr>
          <w:rFonts w:ascii="Verdana" w:hAnsi="Verdana"/>
          <w:sz w:val="22"/>
          <w:szCs w:val="22"/>
        </w:rPr>
      </w:pPr>
      <w:r w:rsidRPr="00301CE5">
        <w:rPr>
          <w:rFonts w:ascii="Verdana" w:hAnsi="Verdana"/>
          <w:sz w:val="22"/>
          <w:szCs w:val="22"/>
        </w:rPr>
        <w:t>Que la Ley 1450 de 2011 establece que los organismos y entidades de la Rama Ejecutiva del orden nacional y territorial deberán racionalizar sus procesos, procedimientos, trámites y servicios internos, haciendo uso de las tecnologías de la información y comunicaciones, con el propósito de ofrecer una oportuna, eficiente y eficaz prestación del servicio en la gestión de las organizaciones;</w:t>
      </w:r>
    </w:p>
    <w:p w14:paraId="70091188" w14:textId="6A531EEA" w:rsidR="00191E2B" w:rsidRPr="00301CE5" w:rsidRDefault="00191E2B" w:rsidP="00301CE5">
      <w:pPr>
        <w:pStyle w:val="Prrafodelista"/>
        <w:numPr>
          <w:ilvl w:val="0"/>
          <w:numId w:val="1"/>
        </w:numPr>
        <w:jc w:val="both"/>
        <w:rPr>
          <w:rFonts w:ascii="Verdana" w:hAnsi="Verdana"/>
          <w:sz w:val="22"/>
          <w:szCs w:val="22"/>
        </w:rPr>
      </w:pPr>
      <w:r w:rsidRPr="00301CE5">
        <w:rPr>
          <w:rFonts w:ascii="Verdana" w:hAnsi="Verdana"/>
          <w:sz w:val="22"/>
          <w:szCs w:val="22"/>
        </w:rPr>
        <w:t>Que la Ley 1474 de 2011 prevé que cada entidad del orden nacional, departamental y municipal deberá elaborar anualmente una estrategia de lucha contra la corrupción y de atención al ciudadano, orientadas a fortalecer los mecanismos de prevención, investigación y sanción de actos de corrupción y la efectividad del control de la gestión, por lo que se considera necesario la creación del Comité de Peticiones, Quejas, Reclamos y Sugerencias que garantice la eficiencia en la prestación del servicio del ICBF, y de la Mesa de Blindaje Electoral, con el fin de combatir y prevenir las posibles formas de corrupción que se llegaren a presentar en la entidad durante cualquier periodo electoral que se adelante en el país;</w:t>
      </w:r>
    </w:p>
    <w:p w14:paraId="43279EE7" w14:textId="0E662E90" w:rsidR="00191E2B" w:rsidRPr="00301CE5" w:rsidRDefault="00191E2B" w:rsidP="00D62A16">
      <w:pPr>
        <w:pStyle w:val="Prrafodelista"/>
        <w:numPr>
          <w:ilvl w:val="0"/>
          <w:numId w:val="1"/>
        </w:numPr>
        <w:jc w:val="both"/>
        <w:rPr>
          <w:rFonts w:ascii="Verdana" w:hAnsi="Verdana"/>
          <w:sz w:val="22"/>
          <w:szCs w:val="22"/>
        </w:rPr>
      </w:pPr>
      <w:proofErr w:type="gramStart"/>
      <w:r w:rsidRPr="00301CE5">
        <w:rPr>
          <w:rFonts w:ascii="Verdana" w:hAnsi="Verdana"/>
          <w:sz w:val="22"/>
          <w:szCs w:val="22"/>
        </w:rPr>
        <w:t>Que</w:t>
      </w:r>
      <w:proofErr w:type="gramEnd"/>
      <w:r w:rsidRPr="00301CE5">
        <w:rPr>
          <w:rFonts w:ascii="Verdana" w:hAnsi="Verdana"/>
          <w:sz w:val="22"/>
          <w:szCs w:val="22"/>
        </w:rPr>
        <w:t xml:space="preserve"> en mérito de lo anterior,</w:t>
      </w:r>
    </w:p>
    <w:p w14:paraId="6207E360" w14:textId="77777777" w:rsidR="00191E2B" w:rsidRPr="00301CE5" w:rsidRDefault="00191E2B" w:rsidP="00301CE5">
      <w:pPr>
        <w:jc w:val="center"/>
        <w:rPr>
          <w:rFonts w:ascii="Verdana" w:hAnsi="Verdana"/>
          <w:b/>
          <w:bCs/>
          <w:sz w:val="22"/>
          <w:szCs w:val="22"/>
        </w:rPr>
      </w:pPr>
      <w:r w:rsidRPr="00301CE5">
        <w:rPr>
          <w:rFonts w:ascii="Verdana" w:hAnsi="Verdana"/>
          <w:b/>
          <w:bCs/>
          <w:sz w:val="22"/>
          <w:szCs w:val="22"/>
        </w:rPr>
        <w:t>RESUELVE:</w:t>
      </w:r>
    </w:p>
    <w:p w14:paraId="2918E9FF" w14:textId="3D8C1157" w:rsidR="00191E2B" w:rsidRPr="00D62A16" w:rsidRDefault="00191E2B" w:rsidP="00D62A16">
      <w:pPr>
        <w:rPr>
          <w:rFonts w:ascii="Verdana" w:hAnsi="Verdana"/>
          <w:sz w:val="22"/>
          <w:szCs w:val="22"/>
        </w:rPr>
      </w:pPr>
      <w:r w:rsidRPr="00301CE5">
        <w:rPr>
          <w:rFonts w:ascii="Verdana" w:hAnsi="Verdana"/>
          <w:b/>
          <w:bCs/>
          <w:sz w:val="22"/>
          <w:szCs w:val="22"/>
        </w:rPr>
        <w:t>ARTÍCULO 1o. CREACIÓN Y OBJETO.</w:t>
      </w:r>
      <w:r w:rsidRPr="00D62A16">
        <w:rPr>
          <w:rFonts w:ascii="Verdana" w:hAnsi="Verdana"/>
          <w:sz w:val="22"/>
          <w:szCs w:val="22"/>
        </w:rPr>
        <w:t xml:space="preserve"> Créase el Comité de Peticiones, Quejas, Reclamos y Sugerencias con el objeto de buscar estrategias de modernización y definición de políticas que garanticen la eficiencia en la prestación del servicio en el proceso de gestión de peticiones, quejas, reclamos, denuncias y sugerencias en el ICBF, en los diferentes niveles de atención de la entidad.</w:t>
      </w:r>
    </w:p>
    <w:p w14:paraId="7FA39BC6" w14:textId="21A48E2B" w:rsidR="00191E2B" w:rsidRPr="00D62A16" w:rsidRDefault="00191E2B" w:rsidP="00D62A16">
      <w:pPr>
        <w:rPr>
          <w:rFonts w:ascii="Verdana" w:hAnsi="Verdana"/>
          <w:sz w:val="22"/>
          <w:szCs w:val="22"/>
        </w:rPr>
      </w:pPr>
      <w:r w:rsidRPr="00301CE5">
        <w:rPr>
          <w:rFonts w:ascii="Verdana" w:hAnsi="Verdana"/>
          <w:b/>
          <w:bCs/>
          <w:sz w:val="22"/>
          <w:szCs w:val="22"/>
        </w:rPr>
        <w:t>ARTÍCULO 2o. INTEGRACIÓN.</w:t>
      </w:r>
      <w:r w:rsidRPr="00D62A16">
        <w:rPr>
          <w:rFonts w:ascii="Verdana" w:hAnsi="Verdana"/>
          <w:sz w:val="22"/>
          <w:szCs w:val="22"/>
        </w:rPr>
        <w:t xml:space="preserve"> El Comité de Peticiones, Quejas, Reclamos y Sugerencias, estará conformado de la siguiente manera:</w:t>
      </w:r>
    </w:p>
    <w:p w14:paraId="429BE58E" w14:textId="137AFFF9" w:rsidR="00191E2B" w:rsidRPr="00301CE5" w:rsidRDefault="00191E2B" w:rsidP="00301CE5">
      <w:pPr>
        <w:pStyle w:val="Prrafodelista"/>
        <w:numPr>
          <w:ilvl w:val="0"/>
          <w:numId w:val="3"/>
        </w:numPr>
        <w:rPr>
          <w:rFonts w:ascii="Verdana" w:hAnsi="Verdana"/>
          <w:sz w:val="22"/>
          <w:szCs w:val="22"/>
        </w:rPr>
      </w:pPr>
      <w:r w:rsidRPr="00301CE5">
        <w:rPr>
          <w:rFonts w:ascii="Verdana" w:hAnsi="Verdana"/>
          <w:sz w:val="22"/>
          <w:szCs w:val="22"/>
        </w:rPr>
        <w:t xml:space="preserve">El </w:t>
      </w:r>
      <w:proofErr w:type="gramStart"/>
      <w:r w:rsidRPr="00301CE5">
        <w:rPr>
          <w:rFonts w:ascii="Verdana" w:hAnsi="Verdana"/>
          <w:sz w:val="22"/>
          <w:szCs w:val="22"/>
        </w:rPr>
        <w:t>Director General</w:t>
      </w:r>
      <w:proofErr w:type="gramEnd"/>
      <w:r w:rsidRPr="00301CE5">
        <w:rPr>
          <w:rFonts w:ascii="Verdana" w:hAnsi="Verdana"/>
          <w:sz w:val="22"/>
          <w:szCs w:val="22"/>
        </w:rPr>
        <w:t>, quien lo presidirá.</w:t>
      </w:r>
    </w:p>
    <w:p w14:paraId="71C23E57" w14:textId="77777777" w:rsidR="00191E2B" w:rsidRPr="00D62A16" w:rsidRDefault="00191E2B" w:rsidP="00D62A16">
      <w:pPr>
        <w:rPr>
          <w:rFonts w:ascii="Verdana" w:hAnsi="Verdana"/>
          <w:sz w:val="22"/>
          <w:szCs w:val="22"/>
        </w:rPr>
      </w:pPr>
    </w:p>
    <w:p w14:paraId="4CDDE2E8" w14:textId="128AA8D4" w:rsidR="00191E2B" w:rsidRPr="00301CE5" w:rsidRDefault="00191E2B" w:rsidP="00D62A16">
      <w:pPr>
        <w:pStyle w:val="Prrafodelista"/>
        <w:numPr>
          <w:ilvl w:val="0"/>
          <w:numId w:val="3"/>
        </w:numPr>
        <w:rPr>
          <w:rFonts w:ascii="Verdana" w:hAnsi="Verdana"/>
          <w:sz w:val="22"/>
          <w:szCs w:val="22"/>
        </w:rPr>
      </w:pPr>
      <w:r w:rsidRPr="00301CE5">
        <w:rPr>
          <w:rFonts w:ascii="Verdana" w:hAnsi="Verdana"/>
          <w:sz w:val="22"/>
          <w:szCs w:val="22"/>
        </w:rPr>
        <w:t xml:space="preserve">El </w:t>
      </w:r>
      <w:proofErr w:type="gramStart"/>
      <w:r w:rsidRPr="00301CE5">
        <w:rPr>
          <w:rFonts w:ascii="Verdana" w:hAnsi="Verdana"/>
          <w:sz w:val="22"/>
          <w:szCs w:val="22"/>
        </w:rPr>
        <w:t>Secretario General</w:t>
      </w:r>
      <w:proofErr w:type="gramEnd"/>
      <w:r w:rsidRPr="00301CE5">
        <w:rPr>
          <w:rFonts w:ascii="Verdana" w:hAnsi="Verdana"/>
          <w:sz w:val="22"/>
          <w:szCs w:val="22"/>
        </w:rPr>
        <w:t>.</w:t>
      </w:r>
    </w:p>
    <w:p w14:paraId="576ED193" w14:textId="3C2DCAC4" w:rsidR="00191E2B" w:rsidRPr="00301CE5" w:rsidRDefault="00191E2B" w:rsidP="00D62A16">
      <w:pPr>
        <w:pStyle w:val="Prrafodelista"/>
        <w:numPr>
          <w:ilvl w:val="0"/>
          <w:numId w:val="3"/>
        </w:numPr>
        <w:rPr>
          <w:rFonts w:ascii="Verdana" w:hAnsi="Verdana"/>
          <w:sz w:val="22"/>
          <w:szCs w:val="22"/>
        </w:rPr>
      </w:pPr>
      <w:r w:rsidRPr="00301CE5">
        <w:rPr>
          <w:rFonts w:ascii="Verdana" w:hAnsi="Verdana"/>
          <w:sz w:val="22"/>
          <w:szCs w:val="22"/>
        </w:rPr>
        <w:t xml:space="preserve">El </w:t>
      </w:r>
      <w:proofErr w:type="gramStart"/>
      <w:r w:rsidRPr="00301CE5">
        <w:rPr>
          <w:rFonts w:ascii="Verdana" w:hAnsi="Verdana"/>
          <w:sz w:val="22"/>
          <w:szCs w:val="22"/>
        </w:rPr>
        <w:t>Subdirector</w:t>
      </w:r>
      <w:proofErr w:type="gramEnd"/>
      <w:r w:rsidRPr="00301CE5">
        <w:rPr>
          <w:rFonts w:ascii="Verdana" w:hAnsi="Verdana"/>
          <w:sz w:val="22"/>
          <w:szCs w:val="22"/>
        </w:rPr>
        <w:t xml:space="preserve"> General.</w:t>
      </w:r>
    </w:p>
    <w:p w14:paraId="0CF20A1C" w14:textId="751C8212" w:rsidR="00191E2B" w:rsidRPr="00301CE5" w:rsidRDefault="00191E2B" w:rsidP="00D62A16">
      <w:pPr>
        <w:pStyle w:val="Prrafodelista"/>
        <w:numPr>
          <w:ilvl w:val="0"/>
          <w:numId w:val="3"/>
        </w:numPr>
        <w:rPr>
          <w:rFonts w:ascii="Verdana" w:hAnsi="Verdana"/>
          <w:sz w:val="22"/>
          <w:szCs w:val="22"/>
        </w:rPr>
      </w:pPr>
      <w:r w:rsidRPr="00301CE5">
        <w:rPr>
          <w:rFonts w:ascii="Verdana" w:hAnsi="Verdana"/>
          <w:sz w:val="22"/>
          <w:szCs w:val="22"/>
        </w:rPr>
        <w:t xml:space="preserve">El </w:t>
      </w:r>
      <w:proofErr w:type="gramStart"/>
      <w:r w:rsidRPr="00301CE5">
        <w:rPr>
          <w:rFonts w:ascii="Verdana" w:hAnsi="Verdana"/>
          <w:sz w:val="22"/>
          <w:szCs w:val="22"/>
        </w:rPr>
        <w:t>Director</w:t>
      </w:r>
      <w:proofErr w:type="gramEnd"/>
      <w:r w:rsidRPr="00301CE5">
        <w:rPr>
          <w:rFonts w:ascii="Verdana" w:hAnsi="Verdana"/>
          <w:sz w:val="22"/>
          <w:szCs w:val="22"/>
        </w:rPr>
        <w:t xml:space="preserve"> de Servicio y Atención.</w:t>
      </w:r>
    </w:p>
    <w:p w14:paraId="41E6D1AB" w14:textId="0CFB38C3" w:rsidR="00191E2B" w:rsidRPr="00301CE5" w:rsidRDefault="00191E2B" w:rsidP="00D62A16">
      <w:pPr>
        <w:pStyle w:val="Prrafodelista"/>
        <w:numPr>
          <w:ilvl w:val="0"/>
          <w:numId w:val="3"/>
        </w:numPr>
        <w:rPr>
          <w:rFonts w:ascii="Verdana" w:hAnsi="Verdana"/>
          <w:sz w:val="22"/>
          <w:szCs w:val="22"/>
        </w:rPr>
      </w:pPr>
      <w:r w:rsidRPr="00301CE5">
        <w:rPr>
          <w:rFonts w:ascii="Verdana" w:hAnsi="Verdana"/>
          <w:sz w:val="22"/>
          <w:szCs w:val="22"/>
        </w:rPr>
        <w:t xml:space="preserve">El </w:t>
      </w:r>
      <w:proofErr w:type="gramStart"/>
      <w:r w:rsidRPr="00301CE5">
        <w:rPr>
          <w:rFonts w:ascii="Verdana" w:hAnsi="Verdana"/>
          <w:sz w:val="22"/>
          <w:szCs w:val="22"/>
        </w:rPr>
        <w:t>Director</w:t>
      </w:r>
      <w:proofErr w:type="gramEnd"/>
      <w:r w:rsidRPr="00301CE5">
        <w:rPr>
          <w:rFonts w:ascii="Verdana" w:hAnsi="Verdana"/>
          <w:sz w:val="22"/>
          <w:szCs w:val="22"/>
        </w:rPr>
        <w:t xml:space="preserve"> de Planeación y Control de Gestión.</w:t>
      </w:r>
    </w:p>
    <w:p w14:paraId="44AB7166" w14:textId="3271AE33" w:rsidR="00191E2B" w:rsidRPr="00301CE5" w:rsidRDefault="00191E2B" w:rsidP="00D62A16">
      <w:pPr>
        <w:pStyle w:val="Prrafodelista"/>
        <w:numPr>
          <w:ilvl w:val="0"/>
          <w:numId w:val="3"/>
        </w:numPr>
        <w:rPr>
          <w:rFonts w:ascii="Verdana" w:hAnsi="Verdana"/>
          <w:sz w:val="22"/>
          <w:szCs w:val="22"/>
        </w:rPr>
      </w:pPr>
      <w:r w:rsidRPr="00301CE5">
        <w:rPr>
          <w:rFonts w:ascii="Verdana" w:hAnsi="Verdana"/>
          <w:sz w:val="22"/>
          <w:szCs w:val="22"/>
        </w:rPr>
        <w:t xml:space="preserve">El </w:t>
      </w:r>
      <w:proofErr w:type="gramStart"/>
      <w:r w:rsidRPr="00301CE5">
        <w:rPr>
          <w:rFonts w:ascii="Verdana" w:hAnsi="Verdana"/>
          <w:sz w:val="22"/>
          <w:szCs w:val="22"/>
        </w:rPr>
        <w:t>Subdirector</w:t>
      </w:r>
      <w:proofErr w:type="gramEnd"/>
      <w:r w:rsidRPr="00301CE5">
        <w:rPr>
          <w:rFonts w:ascii="Verdana" w:hAnsi="Verdana"/>
          <w:sz w:val="22"/>
          <w:szCs w:val="22"/>
        </w:rPr>
        <w:t xml:space="preserve"> de Mejoramiento Organizacional.</w:t>
      </w:r>
    </w:p>
    <w:p w14:paraId="6F53A0A7" w14:textId="2CC00063" w:rsidR="00191E2B" w:rsidRPr="00301CE5" w:rsidRDefault="00191E2B" w:rsidP="00D62A16">
      <w:pPr>
        <w:pStyle w:val="Prrafodelista"/>
        <w:numPr>
          <w:ilvl w:val="0"/>
          <w:numId w:val="3"/>
        </w:numPr>
        <w:rPr>
          <w:rFonts w:ascii="Verdana" w:hAnsi="Verdana"/>
          <w:sz w:val="22"/>
          <w:szCs w:val="22"/>
        </w:rPr>
      </w:pPr>
      <w:r w:rsidRPr="00301CE5">
        <w:rPr>
          <w:rFonts w:ascii="Verdana" w:hAnsi="Verdana"/>
          <w:sz w:val="22"/>
          <w:szCs w:val="22"/>
        </w:rPr>
        <w:t xml:space="preserve">El </w:t>
      </w:r>
      <w:proofErr w:type="gramStart"/>
      <w:r w:rsidRPr="00301CE5">
        <w:rPr>
          <w:rFonts w:ascii="Verdana" w:hAnsi="Verdana"/>
          <w:sz w:val="22"/>
          <w:szCs w:val="22"/>
        </w:rPr>
        <w:t>Jefe</w:t>
      </w:r>
      <w:proofErr w:type="gramEnd"/>
      <w:r w:rsidRPr="00301CE5">
        <w:rPr>
          <w:rFonts w:ascii="Verdana" w:hAnsi="Verdana"/>
          <w:sz w:val="22"/>
          <w:szCs w:val="22"/>
        </w:rPr>
        <w:t xml:space="preserve"> de la Oficina Asesora Jurídica o su </w:t>
      </w:r>
      <w:proofErr w:type="gramStart"/>
      <w:r w:rsidRPr="00301CE5">
        <w:rPr>
          <w:rFonts w:ascii="Verdana" w:hAnsi="Verdana"/>
          <w:sz w:val="22"/>
          <w:szCs w:val="22"/>
        </w:rPr>
        <w:t>Delegado</w:t>
      </w:r>
      <w:proofErr w:type="gramEnd"/>
      <w:r w:rsidRPr="00301CE5">
        <w:rPr>
          <w:rFonts w:ascii="Verdana" w:hAnsi="Verdana"/>
          <w:sz w:val="22"/>
          <w:szCs w:val="22"/>
        </w:rPr>
        <w:t>.</w:t>
      </w:r>
    </w:p>
    <w:p w14:paraId="1F0D82CA" w14:textId="7C1604B6" w:rsidR="00191E2B" w:rsidRPr="00301CE5" w:rsidRDefault="00191E2B" w:rsidP="00D62A16">
      <w:pPr>
        <w:pStyle w:val="Prrafodelista"/>
        <w:numPr>
          <w:ilvl w:val="0"/>
          <w:numId w:val="3"/>
        </w:numPr>
        <w:rPr>
          <w:rFonts w:ascii="Verdana" w:hAnsi="Verdana"/>
          <w:sz w:val="22"/>
          <w:szCs w:val="22"/>
        </w:rPr>
      </w:pPr>
      <w:r w:rsidRPr="00301CE5">
        <w:rPr>
          <w:rFonts w:ascii="Verdana" w:hAnsi="Verdana"/>
          <w:sz w:val="22"/>
          <w:szCs w:val="22"/>
        </w:rPr>
        <w:t xml:space="preserve">El </w:t>
      </w:r>
      <w:proofErr w:type="gramStart"/>
      <w:r w:rsidRPr="00301CE5">
        <w:rPr>
          <w:rFonts w:ascii="Verdana" w:hAnsi="Verdana"/>
          <w:sz w:val="22"/>
          <w:szCs w:val="22"/>
        </w:rPr>
        <w:t>Jefe</w:t>
      </w:r>
      <w:proofErr w:type="gramEnd"/>
      <w:r w:rsidRPr="00301CE5">
        <w:rPr>
          <w:rFonts w:ascii="Verdana" w:hAnsi="Verdana"/>
          <w:sz w:val="22"/>
          <w:szCs w:val="22"/>
        </w:rPr>
        <w:t xml:space="preserve"> de la Oficina de Gestión Regional o su </w:t>
      </w:r>
      <w:proofErr w:type="gramStart"/>
      <w:r w:rsidRPr="00301CE5">
        <w:rPr>
          <w:rFonts w:ascii="Verdana" w:hAnsi="Verdana"/>
          <w:sz w:val="22"/>
          <w:szCs w:val="22"/>
        </w:rPr>
        <w:t>Delegado</w:t>
      </w:r>
      <w:proofErr w:type="gramEnd"/>
    </w:p>
    <w:p w14:paraId="36D8096F" w14:textId="7B28F40A" w:rsidR="00191E2B" w:rsidRPr="00301CE5" w:rsidRDefault="00191E2B" w:rsidP="00D62A16">
      <w:pPr>
        <w:pStyle w:val="Prrafodelista"/>
        <w:numPr>
          <w:ilvl w:val="0"/>
          <w:numId w:val="3"/>
        </w:numPr>
        <w:rPr>
          <w:rFonts w:ascii="Verdana" w:hAnsi="Verdana"/>
          <w:sz w:val="22"/>
          <w:szCs w:val="22"/>
        </w:rPr>
      </w:pPr>
      <w:r w:rsidRPr="00301CE5">
        <w:rPr>
          <w:rFonts w:ascii="Verdana" w:hAnsi="Verdana"/>
          <w:sz w:val="22"/>
          <w:szCs w:val="22"/>
        </w:rPr>
        <w:t xml:space="preserve">El </w:t>
      </w:r>
      <w:proofErr w:type="gramStart"/>
      <w:r w:rsidRPr="00301CE5">
        <w:rPr>
          <w:rFonts w:ascii="Verdana" w:hAnsi="Verdana"/>
          <w:sz w:val="22"/>
          <w:szCs w:val="22"/>
        </w:rPr>
        <w:t>Jefe</w:t>
      </w:r>
      <w:proofErr w:type="gramEnd"/>
      <w:r w:rsidRPr="00301CE5">
        <w:rPr>
          <w:rFonts w:ascii="Verdana" w:hAnsi="Verdana"/>
          <w:sz w:val="22"/>
          <w:szCs w:val="22"/>
        </w:rPr>
        <w:t xml:space="preserve"> la Oficina de Control Interno o su </w:t>
      </w:r>
      <w:proofErr w:type="gramStart"/>
      <w:r w:rsidRPr="00301CE5">
        <w:rPr>
          <w:rFonts w:ascii="Verdana" w:hAnsi="Verdana"/>
          <w:sz w:val="22"/>
          <w:szCs w:val="22"/>
        </w:rPr>
        <w:t>Delegado</w:t>
      </w:r>
      <w:proofErr w:type="gramEnd"/>
      <w:r w:rsidRPr="00301CE5">
        <w:rPr>
          <w:rFonts w:ascii="Verdana" w:hAnsi="Verdana"/>
          <w:sz w:val="22"/>
          <w:szCs w:val="22"/>
        </w:rPr>
        <w:t>.</w:t>
      </w:r>
    </w:p>
    <w:p w14:paraId="1A473C00" w14:textId="4942C705" w:rsidR="00191E2B" w:rsidRPr="00301CE5" w:rsidRDefault="00191E2B" w:rsidP="00D62A16">
      <w:pPr>
        <w:pStyle w:val="Prrafodelista"/>
        <w:numPr>
          <w:ilvl w:val="0"/>
          <w:numId w:val="3"/>
        </w:numPr>
        <w:rPr>
          <w:rFonts w:ascii="Verdana" w:hAnsi="Verdana"/>
          <w:sz w:val="22"/>
          <w:szCs w:val="22"/>
        </w:rPr>
      </w:pPr>
      <w:r w:rsidRPr="00301CE5">
        <w:rPr>
          <w:rFonts w:ascii="Verdana" w:hAnsi="Verdana"/>
          <w:sz w:val="22"/>
          <w:szCs w:val="22"/>
        </w:rPr>
        <w:t xml:space="preserve">El </w:t>
      </w:r>
      <w:proofErr w:type="gramStart"/>
      <w:r w:rsidRPr="00301CE5">
        <w:rPr>
          <w:rFonts w:ascii="Verdana" w:hAnsi="Verdana"/>
          <w:sz w:val="22"/>
          <w:szCs w:val="22"/>
        </w:rPr>
        <w:t>Jefe</w:t>
      </w:r>
      <w:proofErr w:type="gramEnd"/>
      <w:r w:rsidRPr="00301CE5">
        <w:rPr>
          <w:rFonts w:ascii="Verdana" w:hAnsi="Verdana"/>
          <w:sz w:val="22"/>
          <w:szCs w:val="22"/>
        </w:rPr>
        <w:t xml:space="preserve"> de la Oficina de Control Interno Disciplinario.</w:t>
      </w:r>
    </w:p>
    <w:p w14:paraId="5298CE2D" w14:textId="6DE72D6A" w:rsidR="00191E2B" w:rsidRPr="00D62A16" w:rsidRDefault="00191E2B" w:rsidP="00D62A16">
      <w:pPr>
        <w:rPr>
          <w:rFonts w:ascii="Verdana" w:hAnsi="Verdana"/>
          <w:sz w:val="22"/>
          <w:szCs w:val="22"/>
        </w:rPr>
      </w:pPr>
      <w:r w:rsidRPr="00301CE5">
        <w:rPr>
          <w:rFonts w:ascii="Verdana" w:hAnsi="Verdana"/>
          <w:b/>
          <w:bCs/>
          <w:sz w:val="22"/>
          <w:szCs w:val="22"/>
        </w:rPr>
        <w:t xml:space="preserve">PARÁGRAFO </w:t>
      </w:r>
      <w:r w:rsidR="00301CE5">
        <w:rPr>
          <w:rFonts w:ascii="Verdana" w:hAnsi="Verdana"/>
          <w:b/>
          <w:bCs/>
          <w:sz w:val="22"/>
          <w:szCs w:val="22"/>
        </w:rPr>
        <w:t>PRIMERO</w:t>
      </w:r>
      <w:r w:rsidRPr="00301CE5">
        <w:rPr>
          <w:rFonts w:ascii="Verdana" w:hAnsi="Verdana"/>
          <w:b/>
          <w:bCs/>
          <w:sz w:val="22"/>
          <w:szCs w:val="22"/>
        </w:rPr>
        <w:t>.</w:t>
      </w:r>
      <w:r w:rsidRPr="00D62A16">
        <w:rPr>
          <w:rFonts w:ascii="Verdana" w:hAnsi="Verdana"/>
          <w:sz w:val="22"/>
          <w:szCs w:val="22"/>
        </w:rPr>
        <w:t xml:space="preserve"> La Delegación debe ser comunicada por escrito al </w:t>
      </w:r>
      <w:proofErr w:type="gramStart"/>
      <w:r w:rsidRPr="00D62A16">
        <w:rPr>
          <w:rFonts w:ascii="Verdana" w:hAnsi="Verdana"/>
          <w:sz w:val="22"/>
          <w:szCs w:val="22"/>
        </w:rPr>
        <w:t>Director General</w:t>
      </w:r>
      <w:proofErr w:type="gramEnd"/>
      <w:r w:rsidRPr="00D62A16">
        <w:rPr>
          <w:rFonts w:ascii="Verdana" w:hAnsi="Verdana"/>
          <w:sz w:val="22"/>
          <w:szCs w:val="22"/>
        </w:rPr>
        <w:t xml:space="preserve"> y a la Secretaría Técnica del Comité.</w:t>
      </w:r>
    </w:p>
    <w:p w14:paraId="4B2A7215" w14:textId="4D845A8A" w:rsidR="00191E2B" w:rsidRPr="00D62A16" w:rsidRDefault="00191E2B" w:rsidP="00D62A16">
      <w:pPr>
        <w:rPr>
          <w:rFonts w:ascii="Verdana" w:hAnsi="Verdana"/>
          <w:sz w:val="22"/>
          <w:szCs w:val="22"/>
        </w:rPr>
      </w:pPr>
      <w:r w:rsidRPr="00301CE5">
        <w:rPr>
          <w:rFonts w:ascii="Verdana" w:hAnsi="Verdana"/>
          <w:b/>
          <w:bCs/>
          <w:sz w:val="22"/>
          <w:szCs w:val="22"/>
        </w:rPr>
        <w:t xml:space="preserve">PARÁGRAFO </w:t>
      </w:r>
      <w:r w:rsidR="00301CE5" w:rsidRPr="00301CE5">
        <w:rPr>
          <w:rFonts w:ascii="Verdana" w:hAnsi="Verdana"/>
          <w:b/>
          <w:bCs/>
          <w:sz w:val="22"/>
          <w:szCs w:val="22"/>
        </w:rPr>
        <w:t>SEGUNDO</w:t>
      </w:r>
      <w:r w:rsidRPr="00D62A16">
        <w:rPr>
          <w:rFonts w:ascii="Verdana" w:hAnsi="Verdana"/>
          <w:sz w:val="22"/>
          <w:szCs w:val="22"/>
        </w:rPr>
        <w:t xml:space="preserve">. El </w:t>
      </w:r>
      <w:proofErr w:type="gramStart"/>
      <w:r w:rsidRPr="00D62A16">
        <w:rPr>
          <w:rFonts w:ascii="Verdana" w:hAnsi="Verdana"/>
          <w:sz w:val="22"/>
          <w:szCs w:val="22"/>
        </w:rPr>
        <w:t>Director General</w:t>
      </w:r>
      <w:proofErr w:type="gramEnd"/>
      <w:r w:rsidRPr="00D62A16">
        <w:rPr>
          <w:rFonts w:ascii="Verdana" w:hAnsi="Verdana"/>
          <w:sz w:val="22"/>
          <w:szCs w:val="22"/>
        </w:rPr>
        <w:t xml:space="preserve"> podrá delegar su asistencia en un cargo del nivel directivo de la entidad, lo cual será comunicado a la Secretaría Técnica del Comité.</w:t>
      </w:r>
    </w:p>
    <w:p w14:paraId="46F95313" w14:textId="49825C87" w:rsidR="00191E2B" w:rsidRPr="00D62A16" w:rsidRDefault="00191E2B" w:rsidP="00D62A16">
      <w:pPr>
        <w:rPr>
          <w:rFonts w:ascii="Verdana" w:hAnsi="Verdana"/>
          <w:sz w:val="22"/>
          <w:szCs w:val="22"/>
        </w:rPr>
      </w:pPr>
      <w:r w:rsidRPr="00301CE5">
        <w:rPr>
          <w:rFonts w:ascii="Verdana" w:hAnsi="Verdana"/>
          <w:b/>
          <w:bCs/>
          <w:sz w:val="22"/>
          <w:szCs w:val="22"/>
        </w:rPr>
        <w:t>ARTÍCULO 3o. FUNCIONES.</w:t>
      </w:r>
      <w:r w:rsidRPr="00D62A16">
        <w:rPr>
          <w:rFonts w:ascii="Verdana" w:hAnsi="Verdana"/>
          <w:sz w:val="22"/>
          <w:szCs w:val="22"/>
        </w:rPr>
        <w:t xml:space="preserve"> El Comité de Peticiones, Quejas, Reclamos y Sugerencias, cumplirá las siguientes funciones:</w:t>
      </w:r>
    </w:p>
    <w:p w14:paraId="7BA5D2F6" w14:textId="5CECC06D" w:rsidR="00191E2B" w:rsidRPr="00BA5063" w:rsidRDefault="00191E2B" w:rsidP="00BA5063">
      <w:pPr>
        <w:pStyle w:val="Prrafodelista"/>
        <w:numPr>
          <w:ilvl w:val="0"/>
          <w:numId w:val="5"/>
        </w:numPr>
        <w:rPr>
          <w:rFonts w:ascii="Verdana" w:hAnsi="Verdana"/>
          <w:sz w:val="22"/>
          <w:szCs w:val="22"/>
        </w:rPr>
      </w:pPr>
      <w:r w:rsidRPr="00BA5063">
        <w:rPr>
          <w:rFonts w:ascii="Verdana" w:hAnsi="Verdana"/>
          <w:sz w:val="22"/>
          <w:szCs w:val="22"/>
        </w:rPr>
        <w:t>Asesorar la definición de políticas, planes, estrategias y proyectos para el mejoramiento continuo del servicio y la atención a los ciudadanos en los diferentes puntos de atención donde se encuentra la entidad.</w:t>
      </w:r>
    </w:p>
    <w:p w14:paraId="12413E1A" w14:textId="777B1F11" w:rsidR="00191E2B" w:rsidRPr="00BA5063" w:rsidRDefault="00191E2B" w:rsidP="00BA5063">
      <w:pPr>
        <w:pStyle w:val="Prrafodelista"/>
        <w:numPr>
          <w:ilvl w:val="0"/>
          <w:numId w:val="5"/>
        </w:numPr>
        <w:rPr>
          <w:rFonts w:ascii="Verdana" w:hAnsi="Verdana"/>
          <w:sz w:val="22"/>
          <w:szCs w:val="22"/>
        </w:rPr>
      </w:pPr>
      <w:r w:rsidRPr="00BA5063">
        <w:rPr>
          <w:rFonts w:ascii="Verdana" w:hAnsi="Verdana"/>
          <w:sz w:val="22"/>
          <w:szCs w:val="22"/>
        </w:rPr>
        <w:t>Definir y generar estrategias de promoción para el uso de los canales de comunicación, herramienta tecnológica SIM a nivel nacional, regional y zonal, de acuerdo con la necesidad, calidad e impacto para la prestación del servicio y atención a los usuarios.</w:t>
      </w:r>
    </w:p>
    <w:p w14:paraId="2A9020D8" w14:textId="7A5505B1" w:rsidR="00191E2B" w:rsidRPr="00BA5063" w:rsidRDefault="00191E2B" w:rsidP="00BA5063">
      <w:pPr>
        <w:pStyle w:val="Prrafodelista"/>
        <w:numPr>
          <w:ilvl w:val="0"/>
          <w:numId w:val="5"/>
        </w:numPr>
        <w:rPr>
          <w:rFonts w:ascii="Verdana" w:hAnsi="Verdana"/>
          <w:sz w:val="22"/>
          <w:szCs w:val="22"/>
        </w:rPr>
      </w:pPr>
      <w:r w:rsidRPr="00BA5063">
        <w:rPr>
          <w:rFonts w:ascii="Verdana" w:hAnsi="Verdana"/>
          <w:sz w:val="22"/>
          <w:szCs w:val="22"/>
        </w:rPr>
        <w:t>Analizar y recomendar acciones para el cumplimiento de los indicadores estratégicos, definidos para el proceso de gestión de peticiones, quejas, reclamos, denuncias y sugerencias en el ICBF.</w:t>
      </w:r>
    </w:p>
    <w:p w14:paraId="631AE651" w14:textId="5F8EFAC7" w:rsidR="00191E2B" w:rsidRPr="00BA5063" w:rsidRDefault="00191E2B" w:rsidP="00BA5063">
      <w:pPr>
        <w:pStyle w:val="Prrafodelista"/>
        <w:numPr>
          <w:ilvl w:val="0"/>
          <w:numId w:val="5"/>
        </w:numPr>
        <w:rPr>
          <w:rFonts w:ascii="Verdana" w:hAnsi="Verdana"/>
          <w:sz w:val="22"/>
          <w:szCs w:val="22"/>
        </w:rPr>
      </w:pPr>
      <w:r w:rsidRPr="00BA5063">
        <w:rPr>
          <w:rFonts w:ascii="Verdana" w:hAnsi="Verdana"/>
          <w:sz w:val="22"/>
          <w:szCs w:val="22"/>
        </w:rPr>
        <w:t>Proponer y aprobar alternativas de solución a situaciones de riesgo en la operación del proceso de peticiones, quejas, reclamos, denuncias y sugerencias en los puntos de atención del nivel nacional, regional y zonal, que permitan actuar oportunamente y asegurar el mejoramiento continuo del proceso en aspectos técnicos, administrativos y financieros.</w:t>
      </w:r>
    </w:p>
    <w:p w14:paraId="73FDC3D0" w14:textId="39DC2476" w:rsidR="00191E2B" w:rsidRPr="00BA5063" w:rsidRDefault="00191E2B" w:rsidP="00BA5063">
      <w:pPr>
        <w:pStyle w:val="Prrafodelista"/>
        <w:numPr>
          <w:ilvl w:val="0"/>
          <w:numId w:val="5"/>
        </w:numPr>
        <w:rPr>
          <w:rFonts w:ascii="Verdana" w:hAnsi="Verdana"/>
          <w:sz w:val="22"/>
          <w:szCs w:val="22"/>
        </w:rPr>
      </w:pPr>
      <w:r w:rsidRPr="00BA5063">
        <w:rPr>
          <w:rFonts w:ascii="Verdana" w:hAnsi="Verdana"/>
          <w:sz w:val="22"/>
          <w:szCs w:val="22"/>
        </w:rPr>
        <w:t>Sugerir mecanismos de seguimiento y control de cumplimiento de las políticas, planes y proyectos relacionados con el proceso de gestión de peticiones, quejas, reclamos, denuncias y sugerencias en el nivel nacional, regional y zonal.</w:t>
      </w:r>
    </w:p>
    <w:p w14:paraId="6FF83484" w14:textId="5C48BBA2" w:rsidR="00191E2B" w:rsidRPr="00BA5063" w:rsidRDefault="00191E2B" w:rsidP="00BA5063">
      <w:pPr>
        <w:pStyle w:val="Prrafodelista"/>
        <w:numPr>
          <w:ilvl w:val="0"/>
          <w:numId w:val="5"/>
        </w:numPr>
        <w:rPr>
          <w:rFonts w:ascii="Verdana" w:hAnsi="Verdana"/>
          <w:sz w:val="22"/>
          <w:szCs w:val="22"/>
        </w:rPr>
      </w:pPr>
      <w:r w:rsidRPr="00BA5063">
        <w:rPr>
          <w:rFonts w:ascii="Verdana" w:hAnsi="Verdana"/>
          <w:sz w:val="22"/>
          <w:szCs w:val="22"/>
        </w:rPr>
        <w:t>Estudiar y resolver los asuntos que por competencia sean sometidos a su consideración.</w:t>
      </w:r>
    </w:p>
    <w:p w14:paraId="489FA450" w14:textId="649F60EE" w:rsidR="00191E2B" w:rsidRPr="00BA5063" w:rsidRDefault="00191E2B" w:rsidP="00BA5063">
      <w:pPr>
        <w:pStyle w:val="Prrafodelista"/>
        <w:numPr>
          <w:ilvl w:val="0"/>
          <w:numId w:val="5"/>
        </w:numPr>
        <w:rPr>
          <w:rFonts w:ascii="Verdana" w:hAnsi="Verdana"/>
          <w:sz w:val="22"/>
          <w:szCs w:val="22"/>
        </w:rPr>
      </w:pPr>
      <w:r w:rsidRPr="00BA5063">
        <w:rPr>
          <w:rFonts w:ascii="Verdana" w:hAnsi="Verdana"/>
          <w:sz w:val="22"/>
          <w:szCs w:val="22"/>
        </w:rPr>
        <w:t>Las demás que le sean asignadas por la Dirección General.</w:t>
      </w:r>
    </w:p>
    <w:p w14:paraId="2AEB44DD" w14:textId="7C9CD749" w:rsidR="00191E2B" w:rsidRPr="00D62A16" w:rsidRDefault="00191E2B" w:rsidP="00D62A16">
      <w:pPr>
        <w:rPr>
          <w:rFonts w:ascii="Verdana" w:hAnsi="Verdana"/>
          <w:sz w:val="22"/>
          <w:szCs w:val="22"/>
        </w:rPr>
      </w:pPr>
      <w:r w:rsidRPr="00BA5063">
        <w:rPr>
          <w:rFonts w:ascii="Verdana" w:hAnsi="Verdana"/>
          <w:b/>
          <w:bCs/>
          <w:sz w:val="22"/>
          <w:szCs w:val="22"/>
        </w:rPr>
        <w:lastRenderedPageBreak/>
        <w:t>ARTÍCULO 4o. REUNIONES.</w:t>
      </w:r>
      <w:r w:rsidRPr="00D62A16">
        <w:rPr>
          <w:rFonts w:ascii="Verdana" w:hAnsi="Verdana"/>
          <w:sz w:val="22"/>
          <w:szCs w:val="22"/>
        </w:rPr>
        <w:t xml:space="preserve"> El Comité se reunirá en forma ordinaria por lo menos una vez cada tres meses, previa convocatoria de la Secretaría Técnica del mismo, y en forma extraordinaria cada vez que se requiera.</w:t>
      </w:r>
    </w:p>
    <w:p w14:paraId="1EBDA755" w14:textId="77777777" w:rsidR="00191E2B" w:rsidRPr="00D62A16" w:rsidRDefault="00191E2B" w:rsidP="00D62A16">
      <w:pPr>
        <w:rPr>
          <w:rFonts w:ascii="Verdana" w:hAnsi="Verdana"/>
          <w:sz w:val="22"/>
          <w:szCs w:val="22"/>
        </w:rPr>
      </w:pPr>
      <w:r w:rsidRPr="00BA5063">
        <w:rPr>
          <w:rFonts w:ascii="Verdana" w:hAnsi="Verdana"/>
          <w:b/>
          <w:bCs/>
          <w:sz w:val="22"/>
          <w:szCs w:val="22"/>
        </w:rPr>
        <w:t>PARÁGRAFO.</w:t>
      </w:r>
      <w:r w:rsidRPr="00D62A16">
        <w:rPr>
          <w:rFonts w:ascii="Verdana" w:hAnsi="Verdana"/>
          <w:sz w:val="22"/>
          <w:szCs w:val="22"/>
        </w:rPr>
        <w:t xml:space="preserve"> A las sesiones del Comité podrán asistir otras personas en calidad de invitadas, cuando se considere pertinente.</w:t>
      </w:r>
    </w:p>
    <w:p w14:paraId="29A68B53" w14:textId="597F2EC3" w:rsidR="00191E2B" w:rsidRPr="00D62A16" w:rsidRDefault="00191E2B" w:rsidP="00D62A16">
      <w:pPr>
        <w:rPr>
          <w:rFonts w:ascii="Verdana" w:hAnsi="Verdana"/>
          <w:sz w:val="22"/>
          <w:szCs w:val="22"/>
        </w:rPr>
      </w:pPr>
      <w:r w:rsidRPr="00BA5063">
        <w:rPr>
          <w:rFonts w:ascii="Verdana" w:hAnsi="Verdana"/>
          <w:b/>
          <w:bCs/>
          <w:sz w:val="22"/>
          <w:szCs w:val="22"/>
        </w:rPr>
        <w:t>ARTÍCULO 5o. QUÓRUM.</w:t>
      </w:r>
      <w:r w:rsidRPr="00D62A16">
        <w:rPr>
          <w:rFonts w:ascii="Verdana" w:hAnsi="Verdana"/>
          <w:sz w:val="22"/>
          <w:szCs w:val="22"/>
        </w:rPr>
        <w:t xml:space="preserve"> Se constituirá quórum </w:t>
      </w:r>
      <w:proofErr w:type="spellStart"/>
      <w:r w:rsidRPr="00D62A16">
        <w:rPr>
          <w:rFonts w:ascii="Verdana" w:hAnsi="Verdana"/>
          <w:sz w:val="22"/>
          <w:szCs w:val="22"/>
        </w:rPr>
        <w:t>deliberatorio</w:t>
      </w:r>
      <w:proofErr w:type="spellEnd"/>
      <w:r w:rsidRPr="00D62A16">
        <w:rPr>
          <w:rFonts w:ascii="Verdana" w:hAnsi="Verdana"/>
          <w:sz w:val="22"/>
          <w:szCs w:val="22"/>
        </w:rPr>
        <w:t xml:space="preserve"> con la participación de la mitad más uno de los integrantes del Comité y las decisiones se adoptarán por la mayoría simple de los asistentes.</w:t>
      </w:r>
    </w:p>
    <w:p w14:paraId="5D9F1886" w14:textId="6FE1E097" w:rsidR="00191E2B" w:rsidRPr="00D62A16" w:rsidRDefault="00191E2B" w:rsidP="00D62A16">
      <w:pPr>
        <w:rPr>
          <w:rFonts w:ascii="Verdana" w:hAnsi="Verdana"/>
          <w:sz w:val="22"/>
          <w:szCs w:val="22"/>
        </w:rPr>
      </w:pPr>
      <w:r w:rsidRPr="00BA5063">
        <w:rPr>
          <w:rFonts w:ascii="Verdana" w:hAnsi="Verdana"/>
          <w:b/>
          <w:bCs/>
          <w:sz w:val="22"/>
          <w:szCs w:val="22"/>
        </w:rPr>
        <w:t>ARTÍCULO 6o. SECRETARÍA TÉCNICA.</w:t>
      </w:r>
      <w:r w:rsidRPr="00D62A16">
        <w:rPr>
          <w:rFonts w:ascii="Verdana" w:hAnsi="Verdana"/>
          <w:sz w:val="22"/>
          <w:szCs w:val="22"/>
        </w:rPr>
        <w:t xml:space="preserve"> La Secretaría Técnica de Comité estará a cargo del </w:t>
      </w:r>
      <w:proofErr w:type="gramStart"/>
      <w:r w:rsidRPr="00D62A16">
        <w:rPr>
          <w:rFonts w:ascii="Verdana" w:hAnsi="Verdana"/>
          <w:sz w:val="22"/>
          <w:szCs w:val="22"/>
        </w:rPr>
        <w:t>Director</w:t>
      </w:r>
      <w:proofErr w:type="gramEnd"/>
      <w:r w:rsidRPr="00D62A16">
        <w:rPr>
          <w:rFonts w:ascii="Verdana" w:hAnsi="Verdana"/>
          <w:sz w:val="22"/>
          <w:szCs w:val="22"/>
        </w:rPr>
        <w:t xml:space="preserve"> de Servicios y Atención y cumplirá las siguientes funciones:</w:t>
      </w:r>
    </w:p>
    <w:p w14:paraId="38D644F0" w14:textId="7D5C3D59" w:rsidR="00191E2B" w:rsidRPr="00BA5063" w:rsidRDefault="00191E2B" w:rsidP="00BA5063">
      <w:pPr>
        <w:pStyle w:val="Prrafodelista"/>
        <w:numPr>
          <w:ilvl w:val="0"/>
          <w:numId w:val="7"/>
        </w:numPr>
        <w:rPr>
          <w:rFonts w:ascii="Verdana" w:hAnsi="Verdana"/>
          <w:sz w:val="22"/>
          <w:szCs w:val="22"/>
        </w:rPr>
      </w:pPr>
      <w:r w:rsidRPr="00BA5063">
        <w:rPr>
          <w:rFonts w:ascii="Verdana" w:hAnsi="Verdana"/>
          <w:sz w:val="22"/>
          <w:szCs w:val="22"/>
        </w:rPr>
        <w:t>Citar a las sesiones ordinarias y extraordinarias y remitir el Orden del Día.</w:t>
      </w:r>
    </w:p>
    <w:p w14:paraId="44315264" w14:textId="7F0B11FA" w:rsidR="00191E2B" w:rsidRPr="00BA5063" w:rsidRDefault="00191E2B" w:rsidP="00BA5063">
      <w:pPr>
        <w:pStyle w:val="Prrafodelista"/>
        <w:numPr>
          <w:ilvl w:val="0"/>
          <w:numId w:val="7"/>
        </w:numPr>
        <w:rPr>
          <w:rFonts w:ascii="Verdana" w:hAnsi="Verdana"/>
          <w:sz w:val="22"/>
          <w:szCs w:val="22"/>
        </w:rPr>
      </w:pPr>
      <w:r w:rsidRPr="00BA5063">
        <w:rPr>
          <w:rFonts w:ascii="Verdana" w:hAnsi="Verdana"/>
          <w:sz w:val="22"/>
          <w:szCs w:val="22"/>
        </w:rPr>
        <w:t>Elaborar, suscribir y archivar las actas de cada sesión del Comité, y demás soportes documentales.</w:t>
      </w:r>
    </w:p>
    <w:p w14:paraId="39681596" w14:textId="0AA3E4A7" w:rsidR="00191E2B" w:rsidRPr="00BA5063" w:rsidRDefault="00191E2B" w:rsidP="00BA5063">
      <w:pPr>
        <w:pStyle w:val="Prrafodelista"/>
        <w:numPr>
          <w:ilvl w:val="0"/>
          <w:numId w:val="7"/>
        </w:numPr>
        <w:rPr>
          <w:rFonts w:ascii="Verdana" w:hAnsi="Verdana"/>
          <w:sz w:val="22"/>
          <w:szCs w:val="22"/>
        </w:rPr>
      </w:pPr>
      <w:r w:rsidRPr="00BA5063">
        <w:rPr>
          <w:rFonts w:ascii="Verdana" w:hAnsi="Verdana"/>
          <w:sz w:val="22"/>
          <w:szCs w:val="22"/>
        </w:rPr>
        <w:t>Coordinar el cumplimiento de las funciones del Comité en cada una de las líneas de acción.</w:t>
      </w:r>
    </w:p>
    <w:p w14:paraId="485629EF" w14:textId="22C360C3" w:rsidR="00191E2B" w:rsidRPr="00BA5063" w:rsidRDefault="00191E2B" w:rsidP="00BA5063">
      <w:pPr>
        <w:pStyle w:val="Prrafodelista"/>
        <w:numPr>
          <w:ilvl w:val="0"/>
          <w:numId w:val="7"/>
        </w:numPr>
        <w:rPr>
          <w:rFonts w:ascii="Verdana" w:hAnsi="Verdana"/>
          <w:sz w:val="22"/>
          <w:szCs w:val="22"/>
        </w:rPr>
      </w:pPr>
      <w:r w:rsidRPr="00BA5063">
        <w:rPr>
          <w:rFonts w:ascii="Verdana" w:hAnsi="Verdana"/>
          <w:sz w:val="22"/>
          <w:szCs w:val="22"/>
        </w:rPr>
        <w:t>Verificar el cumplimiento de las decisiones adoptadas por el Comité.</w:t>
      </w:r>
    </w:p>
    <w:p w14:paraId="2C938BEB" w14:textId="298DA579" w:rsidR="00191E2B" w:rsidRPr="00BA5063" w:rsidRDefault="00191E2B" w:rsidP="00BA5063">
      <w:pPr>
        <w:pStyle w:val="Prrafodelista"/>
        <w:numPr>
          <w:ilvl w:val="0"/>
          <w:numId w:val="7"/>
        </w:numPr>
        <w:rPr>
          <w:rFonts w:ascii="Verdana" w:hAnsi="Verdana"/>
          <w:sz w:val="22"/>
          <w:szCs w:val="22"/>
        </w:rPr>
      </w:pPr>
      <w:r w:rsidRPr="00BA5063">
        <w:rPr>
          <w:rFonts w:ascii="Verdana" w:hAnsi="Verdana"/>
          <w:sz w:val="22"/>
          <w:szCs w:val="22"/>
        </w:rPr>
        <w:t>Las demás que sean adoptadas por el Comité.</w:t>
      </w:r>
    </w:p>
    <w:p w14:paraId="39822FC8" w14:textId="1AD25152" w:rsidR="00191E2B" w:rsidRPr="00D62A16" w:rsidRDefault="00191E2B" w:rsidP="00D62A16">
      <w:pPr>
        <w:rPr>
          <w:rFonts w:ascii="Verdana" w:hAnsi="Verdana"/>
          <w:sz w:val="22"/>
          <w:szCs w:val="22"/>
        </w:rPr>
      </w:pPr>
      <w:r w:rsidRPr="00BA5063">
        <w:rPr>
          <w:rFonts w:ascii="Verdana" w:hAnsi="Verdana"/>
          <w:b/>
          <w:bCs/>
          <w:sz w:val="22"/>
          <w:szCs w:val="22"/>
        </w:rPr>
        <w:t xml:space="preserve">ARTÍCULO 7o. MESA TÉCNICA DE BLINDAJE ELECTORAL. </w:t>
      </w:r>
      <w:r w:rsidRPr="00D62A16">
        <w:rPr>
          <w:rFonts w:ascii="Verdana" w:hAnsi="Verdana"/>
          <w:sz w:val="22"/>
          <w:szCs w:val="22"/>
        </w:rPr>
        <w:t>Durante todos los periodos electorales que se adelanten en el país, elección de Presidente de la República, Congreso, Gobernadores, Alcaldes, Diputados y Concejales, y con el objetivo de combatir y prevenir las posibles formas de corrupción que se llegaren a presentar en la entidad, se conformará una Mesa Técnica de Blindaje Electoral donde se efectuará el análisis de quejas, reclamos y presuntas situaciones de injerencia política en los diferentes programas, servicios y decisiones administrativas que se pongan en conocimiento del ICBF.</w:t>
      </w:r>
    </w:p>
    <w:p w14:paraId="7150A631" w14:textId="1D246997" w:rsidR="00191E2B" w:rsidRPr="00D62A16" w:rsidRDefault="00191E2B" w:rsidP="00D62A16">
      <w:pPr>
        <w:rPr>
          <w:rFonts w:ascii="Verdana" w:hAnsi="Verdana"/>
          <w:sz w:val="22"/>
          <w:szCs w:val="22"/>
        </w:rPr>
      </w:pPr>
      <w:r w:rsidRPr="00BA5063">
        <w:rPr>
          <w:rFonts w:ascii="Verdana" w:hAnsi="Verdana"/>
          <w:b/>
          <w:bCs/>
          <w:sz w:val="22"/>
          <w:szCs w:val="22"/>
        </w:rPr>
        <w:t>ARTÍCULO 8o. INTEGRACIÓN.</w:t>
      </w:r>
      <w:r w:rsidRPr="00D62A16">
        <w:rPr>
          <w:rFonts w:ascii="Verdana" w:hAnsi="Verdana"/>
          <w:sz w:val="22"/>
          <w:szCs w:val="22"/>
        </w:rPr>
        <w:t xml:space="preserve"> La Mesa Técnica de Blindaje Electoral, estará conformada de la siguiente manera:</w:t>
      </w:r>
    </w:p>
    <w:p w14:paraId="545E3ABA" w14:textId="04D8B1AE" w:rsidR="00191E2B" w:rsidRPr="00BA5063" w:rsidRDefault="00191E2B" w:rsidP="00BA5063">
      <w:pPr>
        <w:pStyle w:val="Prrafodelista"/>
        <w:numPr>
          <w:ilvl w:val="0"/>
          <w:numId w:val="9"/>
        </w:numPr>
        <w:rPr>
          <w:rFonts w:ascii="Verdana" w:hAnsi="Verdana"/>
          <w:sz w:val="22"/>
          <w:szCs w:val="22"/>
        </w:rPr>
      </w:pPr>
      <w:r w:rsidRPr="00BA5063">
        <w:rPr>
          <w:rFonts w:ascii="Verdana" w:hAnsi="Verdana"/>
          <w:sz w:val="22"/>
          <w:szCs w:val="22"/>
        </w:rPr>
        <w:t xml:space="preserve">El </w:t>
      </w:r>
      <w:proofErr w:type="gramStart"/>
      <w:r w:rsidRPr="00BA5063">
        <w:rPr>
          <w:rFonts w:ascii="Verdana" w:hAnsi="Verdana"/>
          <w:sz w:val="22"/>
          <w:szCs w:val="22"/>
        </w:rPr>
        <w:t>Secretario General</w:t>
      </w:r>
      <w:proofErr w:type="gramEnd"/>
      <w:r w:rsidRPr="00BA5063">
        <w:rPr>
          <w:rFonts w:ascii="Verdana" w:hAnsi="Verdana"/>
          <w:sz w:val="22"/>
          <w:szCs w:val="22"/>
        </w:rPr>
        <w:t>, quien lo presidirá.</w:t>
      </w:r>
    </w:p>
    <w:p w14:paraId="1D4A3D5B" w14:textId="7309DC76" w:rsidR="00191E2B" w:rsidRPr="00BA5063" w:rsidRDefault="00191E2B" w:rsidP="00BA5063">
      <w:pPr>
        <w:pStyle w:val="Prrafodelista"/>
        <w:numPr>
          <w:ilvl w:val="0"/>
          <w:numId w:val="9"/>
        </w:numPr>
        <w:rPr>
          <w:rFonts w:ascii="Verdana" w:hAnsi="Verdana"/>
          <w:sz w:val="22"/>
          <w:szCs w:val="22"/>
        </w:rPr>
      </w:pPr>
      <w:r w:rsidRPr="00BA5063">
        <w:rPr>
          <w:rFonts w:ascii="Verdana" w:hAnsi="Verdana"/>
          <w:sz w:val="22"/>
          <w:szCs w:val="22"/>
        </w:rPr>
        <w:t xml:space="preserve">El </w:t>
      </w:r>
      <w:proofErr w:type="gramStart"/>
      <w:r w:rsidRPr="00BA5063">
        <w:rPr>
          <w:rFonts w:ascii="Verdana" w:hAnsi="Verdana"/>
          <w:sz w:val="22"/>
          <w:szCs w:val="22"/>
        </w:rPr>
        <w:t>Jefe</w:t>
      </w:r>
      <w:proofErr w:type="gramEnd"/>
      <w:r w:rsidRPr="00BA5063">
        <w:rPr>
          <w:rFonts w:ascii="Verdana" w:hAnsi="Verdana"/>
          <w:sz w:val="22"/>
          <w:szCs w:val="22"/>
        </w:rPr>
        <w:t xml:space="preserve"> de la Oficina de Control Interno Disciplinario.</w:t>
      </w:r>
    </w:p>
    <w:p w14:paraId="31083711" w14:textId="4BFDD42A" w:rsidR="00191E2B" w:rsidRPr="00BA5063" w:rsidRDefault="00191E2B" w:rsidP="00BA5063">
      <w:pPr>
        <w:pStyle w:val="Prrafodelista"/>
        <w:numPr>
          <w:ilvl w:val="0"/>
          <w:numId w:val="9"/>
        </w:numPr>
        <w:rPr>
          <w:rFonts w:ascii="Verdana" w:hAnsi="Verdana"/>
          <w:sz w:val="22"/>
          <w:szCs w:val="22"/>
        </w:rPr>
      </w:pPr>
      <w:r w:rsidRPr="00BA5063">
        <w:rPr>
          <w:rFonts w:ascii="Verdana" w:hAnsi="Verdana"/>
          <w:sz w:val="22"/>
          <w:szCs w:val="22"/>
        </w:rPr>
        <w:t xml:space="preserve">El </w:t>
      </w:r>
      <w:proofErr w:type="gramStart"/>
      <w:r w:rsidRPr="00BA5063">
        <w:rPr>
          <w:rFonts w:ascii="Verdana" w:hAnsi="Verdana"/>
          <w:sz w:val="22"/>
          <w:szCs w:val="22"/>
        </w:rPr>
        <w:t>Director</w:t>
      </w:r>
      <w:proofErr w:type="gramEnd"/>
      <w:r w:rsidRPr="00BA5063">
        <w:rPr>
          <w:rFonts w:ascii="Verdana" w:hAnsi="Verdana"/>
          <w:sz w:val="22"/>
          <w:szCs w:val="22"/>
        </w:rPr>
        <w:t xml:space="preserve"> de Servicios y Atención.</w:t>
      </w:r>
    </w:p>
    <w:p w14:paraId="51844BE0" w14:textId="6B1C7580" w:rsidR="00191E2B" w:rsidRPr="00BA5063" w:rsidRDefault="00191E2B" w:rsidP="00BA5063">
      <w:pPr>
        <w:pStyle w:val="Prrafodelista"/>
        <w:numPr>
          <w:ilvl w:val="0"/>
          <w:numId w:val="9"/>
        </w:numPr>
        <w:rPr>
          <w:rFonts w:ascii="Verdana" w:hAnsi="Verdana"/>
          <w:sz w:val="22"/>
          <w:szCs w:val="22"/>
        </w:rPr>
      </w:pPr>
      <w:r w:rsidRPr="00BA5063">
        <w:rPr>
          <w:rFonts w:ascii="Verdana" w:hAnsi="Verdana"/>
          <w:sz w:val="22"/>
          <w:szCs w:val="22"/>
        </w:rPr>
        <w:t xml:space="preserve">El </w:t>
      </w:r>
      <w:proofErr w:type="gramStart"/>
      <w:r w:rsidRPr="00BA5063">
        <w:rPr>
          <w:rFonts w:ascii="Verdana" w:hAnsi="Verdana"/>
          <w:sz w:val="22"/>
          <w:szCs w:val="22"/>
        </w:rPr>
        <w:t>Jefe</w:t>
      </w:r>
      <w:proofErr w:type="gramEnd"/>
      <w:r w:rsidRPr="00BA5063">
        <w:rPr>
          <w:rFonts w:ascii="Verdana" w:hAnsi="Verdana"/>
          <w:sz w:val="22"/>
          <w:szCs w:val="22"/>
        </w:rPr>
        <w:t xml:space="preserve"> de la Oficina de Control Interno.</w:t>
      </w:r>
    </w:p>
    <w:p w14:paraId="00AA2ACD" w14:textId="721DD9C4" w:rsidR="00191E2B" w:rsidRPr="00BA5063" w:rsidRDefault="00191E2B" w:rsidP="00BA5063">
      <w:pPr>
        <w:pStyle w:val="Prrafodelista"/>
        <w:numPr>
          <w:ilvl w:val="0"/>
          <w:numId w:val="9"/>
        </w:numPr>
        <w:rPr>
          <w:rFonts w:ascii="Verdana" w:hAnsi="Verdana"/>
          <w:sz w:val="22"/>
          <w:szCs w:val="22"/>
        </w:rPr>
      </w:pPr>
      <w:r w:rsidRPr="00BA5063">
        <w:rPr>
          <w:rFonts w:ascii="Verdana" w:hAnsi="Verdana"/>
          <w:sz w:val="22"/>
          <w:szCs w:val="22"/>
        </w:rPr>
        <w:t xml:space="preserve">El </w:t>
      </w:r>
      <w:proofErr w:type="gramStart"/>
      <w:r w:rsidRPr="00BA5063">
        <w:rPr>
          <w:rFonts w:ascii="Verdana" w:hAnsi="Verdana"/>
          <w:sz w:val="22"/>
          <w:szCs w:val="22"/>
        </w:rPr>
        <w:t>Jefe</w:t>
      </w:r>
      <w:proofErr w:type="gramEnd"/>
      <w:r w:rsidRPr="00BA5063">
        <w:rPr>
          <w:rFonts w:ascii="Verdana" w:hAnsi="Verdana"/>
          <w:sz w:val="22"/>
          <w:szCs w:val="22"/>
        </w:rPr>
        <w:t xml:space="preserve"> de la Oficina de Gestión Regional.</w:t>
      </w:r>
    </w:p>
    <w:p w14:paraId="6A28216B" w14:textId="21FF9F6D" w:rsidR="00191E2B" w:rsidRPr="00D62A16" w:rsidRDefault="00191E2B" w:rsidP="00D62A16">
      <w:pPr>
        <w:rPr>
          <w:rFonts w:ascii="Verdana" w:hAnsi="Verdana"/>
          <w:sz w:val="22"/>
          <w:szCs w:val="22"/>
        </w:rPr>
      </w:pPr>
      <w:r w:rsidRPr="00BA5063">
        <w:rPr>
          <w:rFonts w:ascii="Verdana" w:hAnsi="Verdana"/>
          <w:b/>
          <w:bCs/>
          <w:sz w:val="22"/>
          <w:szCs w:val="22"/>
        </w:rPr>
        <w:t>ARTÍCULO 9o. FUNCIONES DE LA MESA TÉCNICA DE BLINDAJE ELECTORAL.</w:t>
      </w:r>
      <w:r w:rsidRPr="00D62A16">
        <w:rPr>
          <w:rFonts w:ascii="Verdana" w:hAnsi="Verdana"/>
          <w:sz w:val="22"/>
          <w:szCs w:val="22"/>
        </w:rPr>
        <w:t xml:space="preserve"> </w:t>
      </w:r>
    </w:p>
    <w:p w14:paraId="209708A9" w14:textId="1A742AE9" w:rsidR="00191E2B" w:rsidRPr="00BA5063" w:rsidRDefault="00191E2B" w:rsidP="00BA5063">
      <w:pPr>
        <w:pStyle w:val="Prrafodelista"/>
        <w:numPr>
          <w:ilvl w:val="0"/>
          <w:numId w:val="12"/>
        </w:numPr>
        <w:rPr>
          <w:rFonts w:ascii="Verdana" w:hAnsi="Verdana"/>
          <w:sz w:val="22"/>
          <w:szCs w:val="22"/>
        </w:rPr>
      </w:pPr>
      <w:r w:rsidRPr="00BA5063">
        <w:rPr>
          <w:rFonts w:ascii="Verdana" w:hAnsi="Verdana"/>
          <w:sz w:val="22"/>
          <w:szCs w:val="22"/>
        </w:rPr>
        <w:t>Definir las acciones correctivas inmediatas para neutralizar las posibles formas de corrupción que se presenten en la entidad.</w:t>
      </w:r>
    </w:p>
    <w:p w14:paraId="5D340413" w14:textId="77777777" w:rsidR="00191E2B" w:rsidRPr="00D62A16" w:rsidRDefault="00191E2B" w:rsidP="00D62A16">
      <w:pPr>
        <w:rPr>
          <w:rFonts w:ascii="Verdana" w:hAnsi="Verdana"/>
          <w:sz w:val="22"/>
          <w:szCs w:val="22"/>
        </w:rPr>
      </w:pPr>
    </w:p>
    <w:p w14:paraId="2404212F" w14:textId="741FCBBC" w:rsidR="00191E2B" w:rsidRPr="00BA5063" w:rsidRDefault="00191E2B" w:rsidP="00BA5063">
      <w:pPr>
        <w:pStyle w:val="Prrafodelista"/>
        <w:numPr>
          <w:ilvl w:val="0"/>
          <w:numId w:val="12"/>
        </w:numPr>
        <w:rPr>
          <w:rFonts w:ascii="Verdana" w:hAnsi="Verdana"/>
          <w:sz w:val="22"/>
          <w:szCs w:val="22"/>
        </w:rPr>
      </w:pPr>
      <w:r w:rsidRPr="00BA5063">
        <w:rPr>
          <w:rFonts w:ascii="Verdana" w:hAnsi="Verdana"/>
          <w:sz w:val="22"/>
          <w:szCs w:val="22"/>
        </w:rPr>
        <w:lastRenderedPageBreak/>
        <w:t xml:space="preserve">Proponer las acciones administrativas, disciplinarias y legales a que haya lugar cuando </w:t>
      </w:r>
      <w:proofErr w:type="gramStart"/>
      <w:r w:rsidRPr="00BA5063">
        <w:rPr>
          <w:rFonts w:ascii="Verdana" w:hAnsi="Verdana"/>
          <w:sz w:val="22"/>
          <w:szCs w:val="22"/>
        </w:rPr>
        <w:t>se</w:t>
      </w:r>
      <w:r w:rsidR="00BA5063">
        <w:rPr>
          <w:rFonts w:ascii="Verdana" w:hAnsi="Verdana"/>
          <w:sz w:val="22"/>
          <w:szCs w:val="22"/>
        </w:rPr>
        <w:t xml:space="preserve">  </w:t>
      </w:r>
      <w:r w:rsidRPr="00BA5063">
        <w:rPr>
          <w:rFonts w:ascii="Verdana" w:hAnsi="Verdana"/>
          <w:sz w:val="22"/>
          <w:szCs w:val="22"/>
        </w:rPr>
        <w:t>identifiquen</w:t>
      </w:r>
      <w:proofErr w:type="gramEnd"/>
      <w:r w:rsidRPr="00BA5063">
        <w:rPr>
          <w:rFonts w:ascii="Verdana" w:hAnsi="Verdana"/>
          <w:sz w:val="22"/>
          <w:szCs w:val="22"/>
        </w:rPr>
        <w:t xml:space="preserve"> las posibles formas de corrupción que se presenten en la entidad.</w:t>
      </w:r>
    </w:p>
    <w:p w14:paraId="55C5F7BC" w14:textId="28E7C0DC" w:rsidR="00191E2B" w:rsidRPr="00BA5063" w:rsidRDefault="00191E2B" w:rsidP="00BA5063">
      <w:pPr>
        <w:pStyle w:val="Prrafodelista"/>
        <w:numPr>
          <w:ilvl w:val="0"/>
          <w:numId w:val="12"/>
        </w:numPr>
        <w:rPr>
          <w:rFonts w:ascii="Verdana" w:hAnsi="Verdana"/>
          <w:sz w:val="22"/>
          <w:szCs w:val="22"/>
        </w:rPr>
      </w:pPr>
      <w:r w:rsidRPr="00BA5063">
        <w:rPr>
          <w:rFonts w:ascii="Verdana" w:hAnsi="Verdana"/>
          <w:sz w:val="22"/>
          <w:szCs w:val="22"/>
        </w:rPr>
        <w:t>Diseñar y coordinar la implementación de políticas internas en la lucha contra la corrupción y transparencia, enmarcadas en la Constitución y la ley.</w:t>
      </w:r>
    </w:p>
    <w:p w14:paraId="58792F74" w14:textId="14A2B3BD" w:rsidR="00191E2B" w:rsidRPr="00BA5063" w:rsidRDefault="00191E2B" w:rsidP="00BA5063">
      <w:pPr>
        <w:pStyle w:val="Prrafodelista"/>
        <w:numPr>
          <w:ilvl w:val="0"/>
          <w:numId w:val="12"/>
        </w:numPr>
        <w:rPr>
          <w:rFonts w:ascii="Verdana" w:hAnsi="Verdana"/>
          <w:sz w:val="22"/>
          <w:szCs w:val="22"/>
        </w:rPr>
      </w:pPr>
      <w:r w:rsidRPr="00BA5063">
        <w:rPr>
          <w:rFonts w:ascii="Verdana" w:hAnsi="Verdana"/>
          <w:sz w:val="22"/>
          <w:szCs w:val="22"/>
        </w:rPr>
        <w:t>Diseñar e implementar directrices y herramientas preventivas para el fortalecimiento institucional en la lucha contra la corrupción, blindaje electoral, participación ciudadana, acceso a la información y transparencia.</w:t>
      </w:r>
    </w:p>
    <w:p w14:paraId="75D95609" w14:textId="08B49E87" w:rsidR="00191E2B" w:rsidRPr="00BA5063" w:rsidRDefault="00191E2B" w:rsidP="00BA5063">
      <w:pPr>
        <w:pStyle w:val="Prrafodelista"/>
        <w:numPr>
          <w:ilvl w:val="0"/>
          <w:numId w:val="12"/>
        </w:numPr>
        <w:rPr>
          <w:rFonts w:ascii="Verdana" w:hAnsi="Verdana"/>
          <w:sz w:val="22"/>
          <w:szCs w:val="22"/>
        </w:rPr>
      </w:pPr>
      <w:r w:rsidRPr="00BA5063">
        <w:rPr>
          <w:rFonts w:ascii="Verdana" w:hAnsi="Verdana"/>
          <w:sz w:val="22"/>
          <w:szCs w:val="22"/>
        </w:rPr>
        <w:t>Articular e integrar las herramientas de prevención y control contra la corrupción y blindaje electoral en el nivel nacional, regional y zonal de la entidad.</w:t>
      </w:r>
    </w:p>
    <w:p w14:paraId="374347FB" w14:textId="261A9416" w:rsidR="00191E2B" w:rsidRPr="00BA5063" w:rsidRDefault="00191E2B" w:rsidP="00BA5063">
      <w:pPr>
        <w:pStyle w:val="Prrafodelista"/>
        <w:numPr>
          <w:ilvl w:val="0"/>
          <w:numId w:val="12"/>
        </w:numPr>
        <w:rPr>
          <w:rFonts w:ascii="Verdana" w:hAnsi="Verdana"/>
          <w:sz w:val="22"/>
          <w:szCs w:val="22"/>
        </w:rPr>
      </w:pPr>
      <w:r w:rsidRPr="00BA5063">
        <w:rPr>
          <w:rFonts w:ascii="Verdana" w:hAnsi="Verdana"/>
          <w:sz w:val="22"/>
          <w:szCs w:val="22"/>
        </w:rPr>
        <w:t>Impulsar estrategias a la comunidad para promover el seguimiento, vigilancia y control para la prevención contra la corrupción.</w:t>
      </w:r>
    </w:p>
    <w:p w14:paraId="2B2D3211" w14:textId="4208CF87" w:rsidR="00191E2B" w:rsidRPr="00BA5063" w:rsidRDefault="00191E2B" w:rsidP="00BA5063">
      <w:pPr>
        <w:pStyle w:val="Prrafodelista"/>
        <w:numPr>
          <w:ilvl w:val="0"/>
          <w:numId w:val="12"/>
        </w:numPr>
        <w:rPr>
          <w:rFonts w:ascii="Verdana" w:hAnsi="Verdana"/>
          <w:sz w:val="22"/>
          <w:szCs w:val="22"/>
        </w:rPr>
      </w:pPr>
      <w:r w:rsidRPr="00BA5063">
        <w:rPr>
          <w:rFonts w:ascii="Verdana" w:hAnsi="Verdana"/>
          <w:sz w:val="22"/>
          <w:szCs w:val="22"/>
        </w:rPr>
        <w:t>Estudiar y resolver los asuntos que por competencia sean sometidos a su consideración.</w:t>
      </w:r>
    </w:p>
    <w:p w14:paraId="65C46E00" w14:textId="788848EA" w:rsidR="00191E2B" w:rsidRPr="00D62A16" w:rsidRDefault="00191E2B" w:rsidP="00D62A16">
      <w:pPr>
        <w:rPr>
          <w:rFonts w:ascii="Verdana" w:hAnsi="Verdana"/>
          <w:sz w:val="22"/>
          <w:szCs w:val="22"/>
        </w:rPr>
      </w:pPr>
      <w:r w:rsidRPr="00BA5063">
        <w:rPr>
          <w:rFonts w:ascii="Verdana" w:hAnsi="Verdana"/>
          <w:b/>
          <w:bCs/>
          <w:sz w:val="22"/>
          <w:szCs w:val="22"/>
        </w:rPr>
        <w:t>ARTÍCULO 10</w:t>
      </w:r>
      <w:r w:rsidR="00BA5063" w:rsidRPr="00BA5063">
        <w:rPr>
          <w:rFonts w:ascii="Verdana" w:hAnsi="Verdana"/>
          <w:b/>
          <w:bCs/>
          <w:sz w:val="22"/>
          <w:szCs w:val="22"/>
        </w:rPr>
        <w:t>o</w:t>
      </w:r>
      <w:r w:rsidRPr="00BA5063">
        <w:rPr>
          <w:rFonts w:ascii="Verdana" w:hAnsi="Verdana"/>
          <w:b/>
          <w:bCs/>
          <w:sz w:val="22"/>
          <w:szCs w:val="22"/>
        </w:rPr>
        <w:t>. REUNIONES</w:t>
      </w:r>
      <w:r w:rsidRPr="00D62A16">
        <w:rPr>
          <w:rFonts w:ascii="Verdana" w:hAnsi="Verdana"/>
          <w:sz w:val="22"/>
          <w:szCs w:val="22"/>
        </w:rPr>
        <w:t>. La Mesa Técnica de Blindaje Electoral sesionará cada quince (15) días durante los periodos electorales, previa convocatoria de la Secretaría Técnica de la mesa, y en forma extraordinaria cada vez que se requiera a petición de alguno de sus integrantes.</w:t>
      </w:r>
    </w:p>
    <w:p w14:paraId="55C339AC" w14:textId="20FE7685" w:rsidR="00191E2B" w:rsidRPr="00D62A16" w:rsidRDefault="00191E2B" w:rsidP="00D62A16">
      <w:pPr>
        <w:rPr>
          <w:rFonts w:ascii="Verdana" w:hAnsi="Verdana"/>
          <w:sz w:val="22"/>
          <w:szCs w:val="22"/>
        </w:rPr>
      </w:pPr>
      <w:r w:rsidRPr="00BA5063">
        <w:rPr>
          <w:rFonts w:ascii="Verdana" w:hAnsi="Verdana"/>
          <w:b/>
          <w:bCs/>
          <w:sz w:val="22"/>
          <w:szCs w:val="22"/>
        </w:rPr>
        <w:t xml:space="preserve">PARÁGRAFO </w:t>
      </w:r>
      <w:r w:rsidR="00BA5063" w:rsidRPr="00BA5063">
        <w:rPr>
          <w:rFonts w:ascii="Verdana" w:hAnsi="Verdana"/>
          <w:b/>
          <w:bCs/>
          <w:sz w:val="22"/>
          <w:szCs w:val="22"/>
        </w:rPr>
        <w:t>PRIMERO.</w:t>
      </w:r>
      <w:r w:rsidRPr="00D62A16">
        <w:rPr>
          <w:rFonts w:ascii="Verdana" w:hAnsi="Verdana"/>
          <w:sz w:val="22"/>
          <w:szCs w:val="22"/>
        </w:rPr>
        <w:t xml:space="preserve"> A las sesiones de la Mesa Técnica de Blindaje Electoral podrán asistir personas en calidad de invitadas, cuando se considere pertinente.</w:t>
      </w:r>
    </w:p>
    <w:p w14:paraId="3D88650F" w14:textId="3C27B545" w:rsidR="00191E2B" w:rsidRPr="00D62A16" w:rsidRDefault="00191E2B" w:rsidP="00D62A16">
      <w:pPr>
        <w:rPr>
          <w:rFonts w:ascii="Verdana" w:hAnsi="Verdana"/>
          <w:sz w:val="22"/>
          <w:szCs w:val="22"/>
        </w:rPr>
      </w:pPr>
      <w:r w:rsidRPr="00BA5063">
        <w:rPr>
          <w:rFonts w:ascii="Verdana" w:hAnsi="Verdana"/>
          <w:b/>
          <w:bCs/>
          <w:sz w:val="22"/>
          <w:szCs w:val="22"/>
        </w:rPr>
        <w:t>PARÁGRAFO</w:t>
      </w:r>
      <w:r w:rsidR="00BA5063" w:rsidRPr="00BA5063">
        <w:rPr>
          <w:rFonts w:ascii="Verdana" w:hAnsi="Verdana"/>
          <w:b/>
          <w:bCs/>
          <w:sz w:val="22"/>
          <w:szCs w:val="22"/>
        </w:rPr>
        <w:t xml:space="preserve"> SEGUNDO</w:t>
      </w:r>
      <w:r w:rsidRPr="00D62A16">
        <w:rPr>
          <w:rFonts w:ascii="Verdana" w:hAnsi="Verdana"/>
          <w:sz w:val="22"/>
          <w:szCs w:val="22"/>
        </w:rPr>
        <w:t>. Durante las sesiones de la Mesa Técnica de Blindaje Electoral deberán asistir los integrantes que la conforman, no se podrá delegar la asistencia.</w:t>
      </w:r>
    </w:p>
    <w:p w14:paraId="42C707F3" w14:textId="5AA4F16C" w:rsidR="00191E2B" w:rsidRPr="00D62A16" w:rsidRDefault="00191E2B" w:rsidP="00D62A16">
      <w:pPr>
        <w:rPr>
          <w:rFonts w:ascii="Verdana" w:hAnsi="Verdana"/>
          <w:sz w:val="22"/>
          <w:szCs w:val="22"/>
        </w:rPr>
      </w:pPr>
      <w:r w:rsidRPr="00BA5063">
        <w:rPr>
          <w:rFonts w:ascii="Verdana" w:hAnsi="Verdana"/>
          <w:b/>
          <w:bCs/>
          <w:sz w:val="22"/>
          <w:szCs w:val="22"/>
        </w:rPr>
        <w:t>ARTÍCULO 11</w:t>
      </w:r>
      <w:r w:rsidR="00BA5063" w:rsidRPr="00BA5063">
        <w:rPr>
          <w:rFonts w:ascii="Verdana" w:hAnsi="Verdana"/>
          <w:b/>
          <w:bCs/>
          <w:sz w:val="22"/>
          <w:szCs w:val="22"/>
        </w:rPr>
        <w:t>o</w:t>
      </w:r>
      <w:r w:rsidRPr="00BA5063">
        <w:rPr>
          <w:rFonts w:ascii="Verdana" w:hAnsi="Verdana"/>
          <w:b/>
          <w:bCs/>
          <w:sz w:val="22"/>
          <w:szCs w:val="22"/>
        </w:rPr>
        <w:t>. SECRETARÍA TÉCNICA.</w:t>
      </w:r>
      <w:r w:rsidRPr="00D62A16">
        <w:rPr>
          <w:rFonts w:ascii="Verdana" w:hAnsi="Verdana"/>
          <w:sz w:val="22"/>
          <w:szCs w:val="22"/>
        </w:rPr>
        <w:t xml:space="preserve"> La Secretaría Técnica de la Mesa Técnica de Blindaje Electoral estará a cargo del </w:t>
      </w:r>
      <w:proofErr w:type="gramStart"/>
      <w:r w:rsidRPr="00D62A16">
        <w:rPr>
          <w:rFonts w:ascii="Verdana" w:hAnsi="Verdana"/>
          <w:sz w:val="22"/>
          <w:szCs w:val="22"/>
        </w:rPr>
        <w:t>Jefe</w:t>
      </w:r>
      <w:proofErr w:type="gramEnd"/>
      <w:r w:rsidRPr="00D62A16">
        <w:rPr>
          <w:rFonts w:ascii="Verdana" w:hAnsi="Verdana"/>
          <w:sz w:val="22"/>
          <w:szCs w:val="22"/>
        </w:rPr>
        <w:t xml:space="preserve"> de la Oficina de Control Interno Disciplinario y cumplirá las siguientes funciones:</w:t>
      </w:r>
    </w:p>
    <w:p w14:paraId="629E4DA8" w14:textId="2892C720" w:rsidR="00191E2B" w:rsidRPr="00BA5063" w:rsidRDefault="00191E2B" w:rsidP="00BA5063">
      <w:pPr>
        <w:pStyle w:val="Prrafodelista"/>
        <w:numPr>
          <w:ilvl w:val="0"/>
          <w:numId w:val="14"/>
        </w:numPr>
        <w:rPr>
          <w:rFonts w:ascii="Verdana" w:hAnsi="Verdana"/>
          <w:sz w:val="22"/>
          <w:szCs w:val="22"/>
        </w:rPr>
      </w:pPr>
      <w:r w:rsidRPr="00BA5063">
        <w:rPr>
          <w:rFonts w:ascii="Verdana" w:hAnsi="Verdana"/>
          <w:sz w:val="22"/>
          <w:szCs w:val="22"/>
        </w:rPr>
        <w:t>Citar a las sesiones ordinarias y extraordinarias, y remitir el Orden del Día.</w:t>
      </w:r>
    </w:p>
    <w:p w14:paraId="5F22475E" w14:textId="36D066CA" w:rsidR="00191E2B" w:rsidRPr="00BA5063" w:rsidRDefault="00191E2B" w:rsidP="00BA5063">
      <w:pPr>
        <w:pStyle w:val="Prrafodelista"/>
        <w:numPr>
          <w:ilvl w:val="0"/>
          <w:numId w:val="14"/>
        </w:numPr>
        <w:rPr>
          <w:rFonts w:ascii="Verdana" w:hAnsi="Verdana"/>
          <w:sz w:val="22"/>
          <w:szCs w:val="22"/>
        </w:rPr>
      </w:pPr>
      <w:r w:rsidRPr="00BA5063">
        <w:rPr>
          <w:rFonts w:ascii="Verdana" w:hAnsi="Verdana"/>
          <w:sz w:val="22"/>
          <w:szCs w:val="22"/>
        </w:rPr>
        <w:t>Elaborar, suscribir y archivar las actas de cada sesión de la Mesa Técnica de Blindaje Electoral, y demás soportes documentales.</w:t>
      </w:r>
    </w:p>
    <w:p w14:paraId="715F18D0" w14:textId="0EBE171D" w:rsidR="00191E2B" w:rsidRPr="00BA5063" w:rsidRDefault="00191E2B" w:rsidP="00BA5063">
      <w:pPr>
        <w:pStyle w:val="Prrafodelista"/>
        <w:numPr>
          <w:ilvl w:val="0"/>
          <w:numId w:val="14"/>
        </w:numPr>
        <w:rPr>
          <w:rFonts w:ascii="Verdana" w:hAnsi="Verdana"/>
          <w:sz w:val="22"/>
          <w:szCs w:val="22"/>
        </w:rPr>
      </w:pPr>
      <w:r w:rsidRPr="00BA5063">
        <w:rPr>
          <w:rFonts w:ascii="Verdana" w:hAnsi="Verdana"/>
          <w:sz w:val="22"/>
          <w:szCs w:val="22"/>
        </w:rPr>
        <w:t>Coordinar el cumplimiento de las funciones de la Mesa Técnica de Blindaje Electoral en cada una de las líneas de acción.</w:t>
      </w:r>
    </w:p>
    <w:p w14:paraId="29E55D59" w14:textId="48A9F4C5" w:rsidR="00191E2B" w:rsidRPr="00BA5063" w:rsidRDefault="00191E2B" w:rsidP="00BA5063">
      <w:pPr>
        <w:pStyle w:val="Prrafodelista"/>
        <w:numPr>
          <w:ilvl w:val="0"/>
          <w:numId w:val="14"/>
        </w:numPr>
        <w:rPr>
          <w:rFonts w:ascii="Verdana" w:hAnsi="Verdana"/>
          <w:sz w:val="22"/>
          <w:szCs w:val="22"/>
        </w:rPr>
      </w:pPr>
      <w:r w:rsidRPr="00BA5063">
        <w:rPr>
          <w:rFonts w:ascii="Verdana" w:hAnsi="Verdana"/>
          <w:sz w:val="22"/>
          <w:szCs w:val="22"/>
        </w:rPr>
        <w:t>Verificar el cumplimiento de las decisiones adoptadas por la Mesa Técnica de Blindaje Electoral.</w:t>
      </w:r>
    </w:p>
    <w:p w14:paraId="5F3AE0AB" w14:textId="557F8042" w:rsidR="00191E2B" w:rsidRPr="00BA5063" w:rsidRDefault="00191E2B" w:rsidP="00BA5063">
      <w:pPr>
        <w:pStyle w:val="Prrafodelista"/>
        <w:numPr>
          <w:ilvl w:val="0"/>
          <w:numId w:val="14"/>
        </w:numPr>
        <w:rPr>
          <w:rFonts w:ascii="Verdana" w:hAnsi="Verdana"/>
          <w:sz w:val="22"/>
          <w:szCs w:val="22"/>
        </w:rPr>
      </w:pPr>
      <w:r w:rsidRPr="00BA5063">
        <w:rPr>
          <w:rFonts w:ascii="Verdana" w:hAnsi="Verdana"/>
          <w:sz w:val="22"/>
          <w:szCs w:val="22"/>
        </w:rPr>
        <w:t>Remitir a las autoridades competentes los asuntos que la Mesa Técnica de Blindaje Electoral defina.</w:t>
      </w:r>
    </w:p>
    <w:p w14:paraId="70C9E8F1" w14:textId="77777777" w:rsidR="00191E2B" w:rsidRPr="00D62A16" w:rsidRDefault="00191E2B" w:rsidP="00D62A16">
      <w:pPr>
        <w:rPr>
          <w:rFonts w:ascii="Verdana" w:hAnsi="Verdana"/>
          <w:sz w:val="22"/>
          <w:szCs w:val="22"/>
        </w:rPr>
      </w:pPr>
    </w:p>
    <w:p w14:paraId="0CFA6A2D" w14:textId="156C2202" w:rsidR="00191E2B" w:rsidRPr="00BA5063" w:rsidRDefault="00191E2B" w:rsidP="00BA5063">
      <w:pPr>
        <w:pStyle w:val="Prrafodelista"/>
        <w:numPr>
          <w:ilvl w:val="0"/>
          <w:numId w:val="14"/>
        </w:numPr>
        <w:rPr>
          <w:rFonts w:ascii="Verdana" w:hAnsi="Verdana"/>
          <w:sz w:val="22"/>
          <w:szCs w:val="22"/>
        </w:rPr>
      </w:pPr>
      <w:r w:rsidRPr="00BA5063">
        <w:rPr>
          <w:rFonts w:ascii="Verdana" w:hAnsi="Verdana"/>
          <w:sz w:val="22"/>
          <w:szCs w:val="22"/>
        </w:rPr>
        <w:lastRenderedPageBreak/>
        <w:t>Las demás que sean adoptadas por la mesa técnica de blindaje electoral.</w:t>
      </w:r>
    </w:p>
    <w:p w14:paraId="36020B42" w14:textId="11403943" w:rsidR="00191E2B" w:rsidRPr="00D62A16" w:rsidRDefault="00191E2B" w:rsidP="00D62A16">
      <w:pPr>
        <w:rPr>
          <w:rFonts w:ascii="Verdana" w:hAnsi="Verdana"/>
          <w:sz w:val="22"/>
          <w:szCs w:val="22"/>
        </w:rPr>
      </w:pPr>
      <w:r w:rsidRPr="00BA5063">
        <w:rPr>
          <w:rFonts w:ascii="Verdana" w:hAnsi="Verdana"/>
          <w:b/>
          <w:bCs/>
          <w:sz w:val="22"/>
          <w:szCs w:val="22"/>
        </w:rPr>
        <w:t>ARTÍCULO 12</w:t>
      </w:r>
      <w:r w:rsidR="00BA5063" w:rsidRPr="00BA5063">
        <w:rPr>
          <w:rFonts w:ascii="Verdana" w:hAnsi="Verdana"/>
          <w:b/>
          <w:bCs/>
          <w:sz w:val="22"/>
          <w:szCs w:val="22"/>
        </w:rPr>
        <w:t>o</w:t>
      </w:r>
      <w:r w:rsidRPr="00BA5063">
        <w:rPr>
          <w:rFonts w:ascii="Verdana" w:hAnsi="Verdana"/>
          <w:b/>
          <w:bCs/>
          <w:sz w:val="22"/>
          <w:szCs w:val="22"/>
        </w:rPr>
        <w:t>. VIGENCIA.</w:t>
      </w:r>
      <w:r w:rsidRPr="00D62A16">
        <w:rPr>
          <w:rFonts w:ascii="Verdana" w:hAnsi="Verdana"/>
          <w:sz w:val="22"/>
          <w:szCs w:val="22"/>
        </w:rPr>
        <w:t xml:space="preserve"> La presente resolución rige a partir de la fecha de publicación.</w:t>
      </w:r>
    </w:p>
    <w:p w14:paraId="0776B28E" w14:textId="5D9FF99E" w:rsidR="00191E2B" w:rsidRPr="00BA5063" w:rsidRDefault="00BA5063" w:rsidP="00BA5063">
      <w:pPr>
        <w:jc w:val="center"/>
        <w:rPr>
          <w:rFonts w:ascii="Verdana" w:hAnsi="Verdana"/>
          <w:b/>
          <w:bCs/>
          <w:sz w:val="22"/>
          <w:szCs w:val="22"/>
        </w:rPr>
      </w:pPr>
      <w:r w:rsidRPr="00BA5063">
        <w:rPr>
          <w:rFonts w:ascii="Verdana" w:hAnsi="Verdana"/>
          <w:b/>
          <w:bCs/>
          <w:sz w:val="22"/>
          <w:szCs w:val="22"/>
        </w:rPr>
        <w:t>PUBLÍQUESE, COMUNÍQUESE Y CÚMPLASE,</w:t>
      </w:r>
    </w:p>
    <w:p w14:paraId="4CB56EF3" w14:textId="10D4151C" w:rsidR="00191E2B" w:rsidRPr="00D62A16" w:rsidRDefault="00191E2B" w:rsidP="00BA5063">
      <w:pPr>
        <w:jc w:val="center"/>
        <w:rPr>
          <w:rFonts w:ascii="Verdana" w:hAnsi="Verdana"/>
          <w:sz w:val="22"/>
          <w:szCs w:val="22"/>
        </w:rPr>
      </w:pPr>
      <w:r w:rsidRPr="00D62A16">
        <w:rPr>
          <w:rFonts w:ascii="Verdana" w:hAnsi="Verdana"/>
          <w:sz w:val="22"/>
          <w:szCs w:val="22"/>
        </w:rPr>
        <w:t xml:space="preserve">Dada en Bogotá, D. C., a </w:t>
      </w:r>
      <w:r w:rsidR="00BA5063">
        <w:rPr>
          <w:rFonts w:ascii="Verdana" w:hAnsi="Verdana"/>
          <w:sz w:val="22"/>
          <w:szCs w:val="22"/>
        </w:rPr>
        <w:t xml:space="preserve">los </w:t>
      </w:r>
      <w:r w:rsidRPr="00D62A16">
        <w:rPr>
          <w:rFonts w:ascii="Verdana" w:hAnsi="Verdana"/>
          <w:sz w:val="22"/>
          <w:szCs w:val="22"/>
        </w:rPr>
        <w:t xml:space="preserve">18 </w:t>
      </w:r>
      <w:r w:rsidR="00BA5063">
        <w:rPr>
          <w:rFonts w:ascii="Verdana" w:hAnsi="Verdana"/>
          <w:sz w:val="22"/>
          <w:szCs w:val="22"/>
        </w:rPr>
        <w:t xml:space="preserve">días del mes </w:t>
      </w:r>
      <w:r w:rsidRPr="00D62A16">
        <w:rPr>
          <w:rFonts w:ascii="Verdana" w:hAnsi="Verdana"/>
          <w:sz w:val="22"/>
          <w:szCs w:val="22"/>
        </w:rPr>
        <w:t>de julio de</w:t>
      </w:r>
      <w:r w:rsidR="00BA5063">
        <w:rPr>
          <w:rFonts w:ascii="Verdana" w:hAnsi="Verdana"/>
          <w:sz w:val="22"/>
          <w:szCs w:val="22"/>
        </w:rPr>
        <w:t>l año</w:t>
      </w:r>
      <w:r w:rsidRPr="00D62A16">
        <w:rPr>
          <w:rFonts w:ascii="Verdana" w:hAnsi="Verdana"/>
          <w:sz w:val="22"/>
          <w:szCs w:val="22"/>
        </w:rPr>
        <w:t xml:space="preserve"> 2013.</w:t>
      </w:r>
    </w:p>
    <w:p w14:paraId="676E47E7" w14:textId="58C54627" w:rsidR="00191E2B" w:rsidRPr="00BA5063" w:rsidRDefault="00BA5063" w:rsidP="00BA5063">
      <w:pPr>
        <w:jc w:val="center"/>
        <w:rPr>
          <w:rFonts w:ascii="Verdana" w:hAnsi="Verdana"/>
          <w:b/>
          <w:bCs/>
          <w:sz w:val="22"/>
          <w:szCs w:val="22"/>
        </w:rPr>
      </w:pPr>
      <w:r w:rsidRPr="00BA5063">
        <w:rPr>
          <w:rFonts w:ascii="Verdana" w:hAnsi="Verdana"/>
          <w:b/>
          <w:bCs/>
          <w:sz w:val="22"/>
          <w:szCs w:val="22"/>
        </w:rPr>
        <w:t>ADRIANA MARÍA GONZÁLEZ MAXCYCLAK</w:t>
      </w:r>
    </w:p>
    <w:p w14:paraId="0CC94AC7" w14:textId="5DFB1115" w:rsidR="00191E2B" w:rsidRPr="00D62A16" w:rsidRDefault="00BA5063" w:rsidP="00BA5063">
      <w:pPr>
        <w:jc w:val="center"/>
        <w:rPr>
          <w:rFonts w:ascii="Verdana" w:hAnsi="Verdana"/>
          <w:sz w:val="22"/>
          <w:szCs w:val="22"/>
        </w:rPr>
      </w:pPr>
      <w:r w:rsidRPr="00D62A16">
        <w:rPr>
          <w:rFonts w:ascii="Verdana" w:hAnsi="Verdana"/>
          <w:sz w:val="22"/>
          <w:szCs w:val="22"/>
        </w:rPr>
        <w:t>LA SUBDIRECTORA GENERAL, ENCARGADA DE LAS FUNCIONES DEL DESPACHO DEL DIRECTOR GENERAL</w:t>
      </w:r>
    </w:p>
    <w:p w14:paraId="21467050" w14:textId="77777777" w:rsidR="00191E2B" w:rsidRPr="00D62A16" w:rsidRDefault="00191E2B" w:rsidP="00D62A16">
      <w:pPr>
        <w:rPr>
          <w:rFonts w:ascii="Verdana" w:hAnsi="Verdana"/>
          <w:sz w:val="22"/>
          <w:szCs w:val="22"/>
        </w:rPr>
      </w:pPr>
    </w:p>
    <w:p w14:paraId="333A8201" w14:textId="77777777" w:rsidR="00BA5063" w:rsidRPr="00D62A16" w:rsidRDefault="00BA5063">
      <w:pPr>
        <w:rPr>
          <w:rFonts w:ascii="Verdana" w:hAnsi="Verdana"/>
          <w:sz w:val="22"/>
          <w:szCs w:val="22"/>
        </w:rPr>
      </w:pPr>
    </w:p>
    <w:sectPr w:rsidR="00BA5063" w:rsidRPr="00D62A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B96"/>
    <w:multiLevelType w:val="hybridMultilevel"/>
    <w:tmpl w:val="430692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D26193"/>
    <w:multiLevelType w:val="hybridMultilevel"/>
    <w:tmpl w:val="3CBC84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CD34E1"/>
    <w:multiLevelType w:val="hybridMultilevel"/>
    <w:tmpl w:val="CD7EDE62"/>
    <w:lvl w:ilvl="0" w:tplc="5AFA897C">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A72BFA"/>
    <w:multiLevelType w:val="hybridMultilevel"/>
    <w:tmpl w:val="A364A0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3E0B6F"/>
    <w:multiLevelType w:val="hybridMultilevel"/>
    <w:tmpl w:val="84F2AD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FA1BC1"/>
    <w:multiLevelType w:val="hybridMultilevel"/>
    <w:tmpl w:val="F75E82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B7050FA"/>
    <w:multiLevelType w:val="hybridMultilevel"/>
    <w:tmpl w:val="98E05C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D783578"/>
    <w:multiLevelType w:val="hybridMultilevel"/>
    <w:tmpl w:val="0742E4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DC40C2B"/>
    <w:multiLevelType w:val="hybridMultilevel"/>
    <w:tmpl w:val="DA6035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6B816C0"/>
    <w:multiLevelType w:val="hybridMultilevel"/>
    <w:tmpl w:val="D4E048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F0F0902"/>
    <w:multiLevelType w:val="hybridMultilevel"/>
    <w:tmpl w:val="70CA7E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3456F8D"/>
    <w:multiLevelType w:val="hybridMultilevel"/>
    <w:tmpl w:val="784C76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B165B35"/>
    <w:multiLevelType w:val="hybridMultilevel"/>
    <w:tmpl w:val="DCBA46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2D2ADE"/>
    <w:multiLevelType w:val="hybridMultilevel"/>
    <w:tmpl w:val="3E580E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36852230">
    <w:abstractNumId w:val="7"/>
  </w:num>
  <w:num w:numId="2" w16cid:durableId="1573736791">
    <w:abstractNumId w:val="6"/>
  </w:num>
  <w:num w:numId="3" w16cid:durableId="1404715133">
    <w:abstractNumId w:val="11"/>
  </w:num>
  <w:num w:numId="4" w16cid:durableId="1939285583">
    <w:abstractNumId w:val="10"/>
  </w:num>
  <w:num w:numId="5" w16cid:durableId="886795380">
    <w:abstractNumId w:val="9"/>
  </w:num>
  <w:num w:numId="6" w16cid:durableId="1700933736">
    <w:abstractNumId w:val="8"/>
  </w:num>
  <w:num w:numId="7" w16cid:durableId="37241232">
    <w:abstractNumId w:val="12"/>
  </w:num>
  <w:num w:numId="8" w16cid:durableId="1150747908">
    <w:abstractNumId w:val="4"/>
  </w:num>
  <w:num w:numId="9" w16cid:durableId="2003510675">
    <w:abstractNumId w:val="0"/>
  </w:num>
  <w:num w:numId="10" w16cid:durableId="477233725">
    <w:abstractNumId w:val="1"/>
  </w:num>
  <w:num w:numId="11" w16cid:durableId="269359126">
    <w:abstractNumId w:val="2"/>
  </w:num>
  <w:num w:numId="12" w16cid:durableId="981230375">
    <w:abstractNumId w:val="5"/>
  </w:num>
  <w:num w:numId="13" w16cid:durableId="2096129621">
    <w:abstractNumId w:val="3"/>
  </w:num>
  <w:num w:numId="14" w16cid:durableId="1095631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B6"/>
    <w:rsid w:val="00191E2B"/>
    <w:rsid w:val="00243CB4"/>
    <w:rsid w:val="00301CE5"/>
    <w:rsid w:val="003A5318"/>
    <w:rsid w:val="00424613"/>
    <w:rsid w:val="008A560B"/>
    <w:rsid w:val="00A724C4"/>
    <w:rsid w:val="00A839B6"/>
    <w:rsid w:val="00B357F4"/>
    <w:rsid w:val="00BA5063"/>
    <w:rsid w:val="00D62A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EBA7"/>
  <w15:chartTrackingRefBased/>
  <w15:docId w15:val="{117C5D36-7AFF-47DD-B8C6-F74DFC77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18"/>
    <w:pPr>
      <w:spacing w:line="240" w:lineRule="auto"/>
      <w:jc w:val="both"/>
    </w:pPr>
    <w:rPr>
      <w:rFonts w:ascii="Arial" w:hAnsi="Arial" w:cs="Arial"/>
    </w:rPr>
  </w:style>
  <w:style w:type="paragraph" w:styleId="Ttulo1">
    <w:name w:val="heading 1"/>
    <w:basedOn w:val="Normal"/>
    <w:next w:val="Normal"/>
    <w:link w:val="Ttulo1Car"/>
    <w:uiPriority w:val="9"/>
    <w:qFormat/>
    <w:rsid w:val="00A839B6"/>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39B6"/>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39B6"/>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39B6"/>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839B6"/>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839B6"/>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839B6"/>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839B6"/>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839B6"/>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39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39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39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39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39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39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39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39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39B6"/>
    <w:rPr>
      <w:rFonts w:eastAsiaTheme="majorEastAsia" w:cstheme="majorBidi"/>
      <w:color w:val="272727" w:themeColor="text1" w:themeTint="D8"/>
    </w:rPr>
  </w:style>
  <w:style w:type="paragraph" w:styleId="Ttulo">
    <w:name w:val="Title"/>
    <w:basedOn w:val="Normal"/>
    <w:next w:val="Normal"/>
    <w:link w:val="TtuloCar"/>
    <w:uiPriority w:val="10"/>
    <w:qFormat/>
    <w:rsid w:val="00A839B6"/>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39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39B6"/>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39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39B6"/>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A839B6"/>
    <w:rPr>
      <w:i/>
      <w:iCs/>
      <w:color w:val="404040" w:themeColor="text1" w:themeTint="BF"/>
    </w:rPr>
  </w:style>
  <w:style w:type="paragraph" w:styleId="Prrafodelista">
    <w:name w:val="List Paragraph"/>
    <w:basedOn w:val="Normal"/>
    <w:uiPriority w:val="34"/>
    <w:qFormat/>
    <w:rsid w:val="00A839B6"/>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A839B6"/>
    <w:rPr>
      <w:i/>
      <w:iCs/>
      <w:color w:val="0F4761" w:themeColor="accent1" w:themeShade="BF"/>
    </w:rPr>
  </w:style>
  <w:style w:type="paragraph" w:styleId="Citadestacada">
    <w:name w:val="Intense Quote"/>
    <w:basedOn w:val="Normal"/>
    <w:next w:val="Normal"/>
    <w:link w:val="CitadestacadaCar"/>
    <w:uiPriority w:val="30"/>
    <w:qFormat/>
    <w:rsid w:val="00A839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A839B6"/>
    <w:rPr>
      <w:i/>
      <w:iCs/>
      <w:color w:val="0F4761" w:themeColor="accent1" w:themeShade="BF"/>
    </w:rPr>
  </w:style>
  <w:style w:type="character" w:styleId="Referenciaintensa">
    <w:name w:val="Intense Reference"/>
    <w:basedOn w:val="Fuentedeprrafopredeter"/>
    <w:uiPriority w:val="32"/>
    <w:qFormat/>
    <w:rsid w:val="00A839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0FF3C-AF53-48F6-8B99-BE60511F9FBC}"/>
</file>

<file path=customXml/itemProps2.xml><?xml version="1.0" encoding="utf-8"?>
<ds:datastoreItem xmlns:ds="http://schemas.openxmlformats.org/officeDocument/2006/customXml" ds:itemID="{85996CB4-CDDE-47D4-A6B1-2916AD2DBC0D}"/>
</file>

<file path=customXml/itemProps3.xml><?xml version="1.0" encoding="utf-8"?>
<ds:datastoreItem xmlns:ds="http://schemas.openxmlformats.org/officeDocument/2006/customXml" ds:itemID="{5D9995E1-E711-4C1E-A9D6-B44BA7C772E3}"/>
</file>

<file path=docProps/app.xml><?xml version="1.0" encoding="utf-8"?>
<Properties xmlns="http://schemas.openxmlformats.org/officeDocument/2006/extended-properties" xmlns:vt="http://schemas.openxmlformats.org/officeDocument/2006/docPropsVTypes">
  <Template>Normal</Template>
  <TotalTime>1</TotalTime>
  <Pages>6</Pages>
  <Words>1750</Words>
  <Characters>9629</Characters>
  <Application>Microsoft Office Word</Application>
  <DocSecurity>0</DocSecurity>
  <Lines>80</Lines>
  <Paragraphs>22</Paragraphs>
  <ScaleCrop>false</ScaleCrop>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2026-01-20T16:46:00Z</dcterms:created>
  <dcterms:modified xsi:type="dcterms:W3CDTF">2026-01-20T16:46:00Z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