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CE03" w14:textId="407B2426" w:rsidR="000643BA" w:rsidRPr="000643BA" w:rsidRDefault="000643BA" w:rsidP="000643BA">
      <w:pPr>
        <w:jc w:val="center"/>
        <w:rPr>
          <w:rFonts w:ascii="Verdana" w:hAnsi="Verdana"/>
          <w:b/>
          <w:bCs/>
          <w:sz w:val="22"/>
          <w:szCs w:val="22"/>
        </w:rPr>
      </w:pPr>
      <w:r w:rsidRPr="000643BA">
        <w:rPr>
          <w:rFonts w:ascii="Verdana" w:hAnsi="Verdana"/>
          <w:b/>
          <w:bCs/>
          <w:sz w:val="22"/>
          <w:szCs w:val="22"/>
        </w:rPr>
        <w:t>RESOLUCIÓN 5762 DE 2014</w:t>
      </w:r>
    </w:p>
    <w:p w14:paraId="0445FC1B" w14:textId="57A17A6F" w:rsidR="001A3C20" w:rsidRPr="000643BA" w:rsidRDefault="001A3C20" w:rsidP="00BD38AF">
      <w:pPr>
        <w:rPr>
          <w:rFonts w:ascii="Verdana" w:hAnsi="Verdana"/>
          <w:sz w:val="20"/>
          <w:szCs w:val="20"/>
        </w:rPr>
      </w:pPr>
      <w:r w:rsidRPr="000643BA">
        <w:rPr>
          <w:rFonts w:ascii="Verdana" w:hAnsi="Verdana"/>
          <w:sz w:val="20"/>
          <w:szCs w:val="20"/>
        </w:rPr>
        <w:t xml:space="preserve">Fecha de Expedición: </w:t>
      </w:r>
      <w:r w:rsidR="000643BA" w:rsidRPr="000643BA">
        <w:rPr>
          <w:rFonts w:ascii="Verdana" w:hAnsi="Verdana"/>
          <w:sz w:val="20"/>
          <w:szCs w:val="20"/>
        </w:rPr>
        <w:t>9</w:t>
      </w:r>
      <w:r w:rsidRPr="000643BA">
        <w:rPr>
          <w:rFonts w:ascii="Verdana" w:hAnsi="Verdana"/>
          <w:sz w:val="20"/>
          <w:szCs w:val="20"/>
        </w:rPr>
        <w:t xml:space="preserve"> de octubre de 2014</w:t>
      </w:r>
    </w:p>
    <w:p w14:paraId="0BE552C8" w14:textId="21E1A842" w:rsidR="001A3C20" w:rsidRPr="000643BA" w:rsidRDefault="001A3C20" w:rsidP="00BD38AF">
      <w:pPr>
        <w:rPr>
          <w:rFonts w:ascii="Verdana" w:hAnsi="Verdana"/>
          <w:sz w:val="20"/>
          <w:szCs w:val="20"/>
        </w:rPr>
      </w:pPr>
      <w:r w:rsidRPr="000643BA">
        <w:rPr>
          <w:rFonts w:ascii="Verdana" w:hAnsi="Verdana"/>
          <w:sz w:val="20"/>
          <w:szCs w:val="20"/>
        </w:rPr>
        <w:t xml:space="preserve">Fecha de </w:t>
      </w:r>
      <w:proofErr w:type="gramStart"/>
      <w:r w:rsidRPr="000643BA">
        <w:rPr>
          <w:rFonts w:ascii="Verdana" w:hAnsi="Verdana"/>
          <w:sz w:val="20"/>
          <w:szCs w:val="20"/>
        </w:rPr>
        <w:t>entrada en vigencia</w:t>
      </w:r>
      <w:proofErr w:type="gramEnd"/>
      <w:r w:rsidRPr="000643BA">
        <w:rPr>
          <w:rFonts w:ascii="Verdana" w:hAnsi="Verdana"/>
          <w:sz w:val="20"/>
          <w:szCs w:val="20"/>
        </w:rPr>
        <w:t xml:space="preserve">: </w:t>
      </w:r>
      <w:r w:rsidR="000643BA" w:rsidRPr="000643BA">
        <w:rPr>
          <w:rFonts w:ascii="Verdana" w:hAnsi="Verdana"/>
          <w:sz w:val="20"/>
          <w:szCs w:val="20"/>
        </w:rPr>
        <w:t>9</w:t>
      </w:r>
      <w:r w:rsidRPr="000643BA">
        <w:rPr>
          <w:rFonts w:ascii="Verdana" w:hAnsi="Verdana"/>
          <w:sz w:val="20"/>
          <w:szCs w:val="20"/>
        </w:rPr>
        <w:t xml:space="preserve"> de octubre de 2014</w:t>
      </w:r>
    </w:p>
    <w:p w14:paraId="77A57441" w14:textId="2ADD9694" w:rsidR="001A3C20" w:rsidRPr="000643BA" w:rsidRDefault="001A3C20" w:rsidP="00BD38AF">
      <w:pPr>
        <w:rPr>
          <w:rFonts w:ascii="Verdana" w:hAnsi="Verdana"/>
          <w:sz w:val="20"/>
          <w:szCs w:val="20"/>
        </w:rPr>
      </w:pPr>
      <w:r w:rsidRPr="000643BA">
        <w:rPr>
          <w:rFonts w:ascii="Verdana" w:hAnsi="Verdana"/>
          <w:sz w:val="20"/>
          <w:szCs w:val="20"/>
        </w:rPr>
        <w:t xml:space="preserve">Estado de la vigencia: </w:t>
      </w:r>
      <w:r w:rsidR="000643BA" w:rsidRPr="000643BA">
        <w:rPr>
          <w:rFonts w:ascii="Verdana" w:hAnsi="Verdana"/>
          <w:sz w:val="20"/>
          <w:szCs w:val="20"/>
        </w:rPr>
        <w:t>Vigente</w:t>
      </w:r>
    </w:p>
    <w:p w14:paraId="2169EB42" w14:textId="77777777" w:rsidR="001A3C20" w:rsidRPr="000643BA" w:rsidRDefault="001A3C20" w:rsidP="00BD38AF">
      <w:pPr>
        <w:rPr>
          <w:rFonts w:ascii="Verdana" w:hAnsi="Verdana"/>
          <w:sz w:val="20"/>
          <w:szCs w:val="20"/>
        </w:rPr>
      </w:pPr>
    </w:p>
    <w:p w14:paraId="77731060" w14:textId="6D945D04" w:rsidR="001A3C20" w:rsidRPr="000643BA" w:rsidRDefault="001A3C20" w:rsidP="00BD38AF">
      <w:pPr>
        <w:rPr>
          <w:rFonts w:ascii="Verdana" w:hAnsi="Verdana"/>
          <w:sz w:val="20"/>
          <w:szCs w:val="20"/>
        </w:rPr>
      </w:pPr>
      <w:r w:rsidRPr="000643BA">
        <w:rPr>
          <w:rFonts w:ascii="Verdana" w:hAnsi="Verdana"/>
          <w:sz w:val="20"/>
          <w:szCs w:val="20"/>
        </w:rPr>
        <w:t xml:space="preserve">Fecha de publicación en Diario Oficial: </w:t>
      </w:r>
      <w:r w:rsidR="000643BA" w:rsidRPr="000643BA">
        <w:rPr>
          <w:rFonts w:ascii="Verdana" w:hAnsi="Verdana"/>
          <w:sz w:val="20"/>
          <w:szCs w:val="20"/>
        </w:rPr>
        <w:t>N/A</w:t>
      </w:r>
    </w:p>
    <w:p w14:paraId="14482512" w14:textId="22E3061C" w:rsidR="001A3C20" w:rsidRPr="000643BA" w:rsidRDefault="001A3C20" w:rsidP="00BD38AF">
      <w:pPr>
        <w:rPr>
          <w:rFonts w:ascii="Verdana" w:hAnsi="Verdana"/>
          <w:sz w:val="20"/>
          <w:szCs w:val="20"/>
        </w:rPr>
      </w:pPr>
      <w:r w:rsidRPr="000643BA">
        <w:rPr>
          <w:rFonts w:ascii="Verdana" w:hAnsi="Verdana"/>
          <w:sz w:val="20"/>
          <w:szCs w:val="20"/>
        </w:rPr>
        <w:t>Número del Diario Oficial: N</w:t>
      </w:r>
      <w:r w:rsidR="000643BA" w:rsidRPr="000643BA">
        <w:rPr>
          <w:rFonts w:ascii="Verdana" w:hAnsi="Verdana"/>
          <w:sz w:val="20"/>
          <w:szCs w:val="20"/>
        </w:rPr>
        <w:t>/A</w:t>
      </w:r>
    </w:p>
    <w:p w14:paraId="70228D9A" w14:textId="0E3F5E74" w:rsidR="00BD38AF" w:rsidRPr="000643BA" w:rsidRDefault="00BD38AF" w:rsidP="00360B1E">
      <w:pPr>
        <w:jc w:val="center"/>
        <w:rPr>
          <w:rFonts w:ascii="Verdana" w:hAnsi="Verdana"/>
          <w:b/>
          <w:bCs/>
          <w:sz w:val="22"/>
          <w:szCs w:val="22"/>
        </w:rPr>
      </w:pPr>
      <w:r w:rsidRPr="000643BA">
        <w:rPr>
          <w:rFonts w:ascii="Verdana" w:hAnsi="Verdana"/>
          <w:b/>
          <w:bCs/>
          <w:sz w:val="22"/>
          <w:szCs w:val="22"/>
        </w:rPr>
        <w:t>RESOLUCIÓN 5762 DE 2014</w:t>
      </w:r>
    </w:p>
    <w:p w14:paraId="7A5EA35E" w14:textId="1555B80E" w:rsidR="00BD38AF" w:rsidRPr="000643BA" w:rsidRDefault="00BD38AF" w:rsidP="00360B1E">
      <w:pPr>
        <w:jc w:val="center"/>
        <w:rPr>
          <w:rFonts w:ascii="Verdana" w:hAnsi="Verdana"/>
          <w:b/>
          <w:bCs/>
          <w:sz w:val="22"/>
          <w:szCs w:val="22"/>
        </w:rPr>
      </w:pPr>
      <w:r w:rsidRPr="000643BA">
        <w:rPr>
          <w:rFonts w:ascii="Verdana" w:hAnsi="Verdana"/>
          <w:b/>
          <w:bCs/>
          <w:sz w:val="22"/>
          <w:szCs w:val="22"/>
        </w:rPr>
        <w:t>(</w:t>
      </w:r>
      <w:r w:rsidR="000643BA">
        <w:rPr>
          <w:rFonts w:ascii="Verdana" w:hAnsi="Verdana"/>
          <w:b/>
          <w:bCs/>
          <w:sz w:val="22"/>
          <w:szCs w:val="22"/>
        </w:rPr>
        <w:t xml:space="preserve">9 de </w:t>
      </w:r>
      <w:r w:rsidRPr="000643BA">
        <w:rPr>
          <w:rFonts w:ascii="Verdana" w:hAnsi="Verdana"/>
          <w:b/>
          <w:bCs/>
          <w:sz w:val="22"/>
          <w:szCs w:val="22"/>
        </w:rPr>
        <w:t>octubre)</w:t>
      </w:r>
    </w:p>
    <w:p w14:paraId="09FF7A41" w14:textId="2879B1C6" w:rsidR="00BD38AF" w:rsidRPr="000643BA" w:rsidRDefault="00BD38AF" w:rsidP="00360B1E">
      <w:pPr>
        <w:jc w:val="center"/>
        <w:rPr>
          <w:rFonts w:ascii="Verdana" w:hAnsi="Verdana"/>
          <w:b/>
          <w:bCs/>
          <w:sz w:val="22"/>
          <w:szCs w:val="22"/>
        </w:rPr>
      </w:pPr>
      <w:r w:rsidRPr="000643BA">
        <w:rPr>
          <w:rFonts w:ascii="Verdana" w:hAnsi="Verdana"/>
          <w:b/>
          <w:bCs/>
          <w:sz w:val="22"/>
          <w:szCs w:val="22"/>
        </w:rPr>
        <w:t>INSTITUTO COLOMBIANO DE BIENESTAR FAMILIAR – ICBF</w:t>
      </w:r>
    </w:p>
    <w:p w14:paraId="44DF6CEE" w14:textId="7F0EE4ED" w:rsidR="00BD38AF" w:rsidRPr="00BD38AF" w:rsidRDefault="00360B1E" w:rsidP="000643BA">
      <w:pPr>
        <w:jc w:val="center"/>
        <w:rPr>
          <w:rFonts w:ascii="Verdana" w:hAnsi="Verdana"/>
          <w:sz w:val="22"/>
          <w:szCs w:val="22"/>
        </w:rPr>
      </w:pPr>
      <w:r>
        <w:rPr>
          <w:rFonts w:ascii="Verdana" w:hAnsi="Verdana"/>
          <w:sz w:val="22"/>
          <w:szCs w:val="22"/>
        </w:rPr>
        <w:t>“</w:t>
      </w:r>
      <w:r w:rsidR="00BD38AF" w:rsidRPr="00BD38AF">
        <w:rPr>
          <w:rFonts w:ascii="Verdana" w:hAnsi="Verdana"/>
          <w:sz w:val="22"/>
          <w:szCs w:val="22"/>
        </w:rPr>
        <w:t>Por la cual se adiciona la Resolución No. 0914 del 2014</w:t>
      </w:r>
      <w:r>
        <w:rPr>
          <w:rFonts w:ascii="Verdana" w:hAnsi="Verdana"/>
          <w:sz w:val="22"/>
          <w:szCs w:val="22"/>
        </w:rPr>
        <w:t>”</w:t>
      </w:r>
    </w:p>
    <w:p w14:paraId="4B132927" w14:textId="7F47EE07" w:rsidR="00BD38AF" w:rsidRPr="000643BA" w:rsidRDefault="00BD38AF" w:rsidP="000643BA">
      <w:pPr>
        <w:jc w:val="center"/>
        <w:rPr>
          <w:rFonts w:ascii="Verdana" w:hAnsi="Verdana"/>
          <w:b/>
          <w:bCs/>
          <w:sz w:val="22"/>
          <w:szCs w:val="22"/>
        </w:rPr>
      </w:pPr>
      <w:r w:rsidRPr="000643BA">
        <w:rPr>
          <w:rFonts w:ascii="Verdana" w:hAnsi="Verdana"/>
          <w:b/>
          <w:bCs/>
          <w:sz w:val="22"/>
          <w:szCs w:val="22"/>
        </w:rPr>
        <w:t>LA DIRECTORA GENERAL DEL INSTITUTO COLOMBIANO DE BIENESTAR FAMILIAR CECILIA DE LA FUENTE DE LLERAS</w:t>
      </w:r>
    </w:p>
    <w:p w14:paraId="636EF219" w14:textId="7D4EA20D" w:rsidR="00BD38AF" w:rsidRPr="00BD38AF" w:rsidRDefault="00BD38AF" w:rsidP="00360B1E">
      <w:pPr>
        <w:jc w:val="center"/>
        <w:rPr>
          <w:rFonts w:ascii="Verdana" w:hAnsi="Verdana"/>
          <w:sz w:val="22"/>
          <w:szCs w:val="22"/>
        </w:rPr>
      </w:pPr>
      <w:r w:rsidRPr="00BD38AF">
        <w:rPr>
          <w:rFonts w:ascii="Verdana" w:hAnsi="Verdana"/>
          <w:sz w:val="22"/>
          <w:szCs w:val="22"/>
        </w:rPr>
        <w:t>En uso de sus facultades legales y estatutarias y</w:t>
      </w:r>
    </w:p>
    <w:p w14:paraId="7275E7E8" w14:textId="4830EBED" w:rsidR="00BD38AF" w:rsidRPr="00360B1E" w:rsidRDefault="00BD38AF" w:rsidP="00360B1E">
      <w:pPr>
        <w:jc w:val="center"/>
        <w:rPr>
          <w:rFonts w:ascii="Verdana" w:hAnsi="Verdana"/>
          <w:b/>
          <w:bCs/>
          <w:sz w:val="22"/>
          <w:szCs w:val="22"/>
        </w:rPr>
      </w:pPr>
      <w:r w:rsidRPr="00360B1E">
        <w:rPr>
          <w:rFonts w:ascii="Verdana" w:hAnsi="Verdana"/>
          <w:b/>
          <w:bCs/>
          <w:sz w:val="22"/>
          <w:szCs w:val="22"/>
        </w:rPr>
        <w:t>CONSIDERANDO</w:t>
      </w:r>
      <w:r w:rsidR="00360B1E" w:rsidRPr="00360B1E">
        <w:rPr>
          <w:rFonts w:ascii="Verdana" w:hAnsi="Verdana"/>
          <w:b/>
          <w:bCs/>
          <w:sz w:val="22"/>
          <w:szCs w:val="22"/>
        </w:rPr>
        <w:t>:</w:t>
      </w:r>
    </w:p>
    <w:p w14:paraId="56A34EBA" w14:textId="0E48ED8B" w:rsidR="00BD38AF" w:rsidRPr="00360B1E" w:rsidRDefault="00BD38AF" w:rsidP="00360B1E">
      <w:pPr>
        <w:pStyle w:val="Prrafodelista"/>
        <w:numPr>
          <w:ilvl w:val="0"/>
          <w:numId w:val="1"/>
        </w:numPr>
        <w:jc w:val="both"/>
        <w:rPr>
          <w:rFonts w:ascii="Verdana" w:hAnsi="Verdana"/>
          <w:sz w:val="22"/>
          <w:szCs w:val="22"/>
        </w:rPr>
      </w:pPr>
      <w:r w:rsidRPr="00360B1E">
        <w:rPr>
          <w:rFonts w:ascii="Verdana" w:hAnsi="Verdana"/>
          <w:sz w:val="22"/>
          <w:szCs w:val="22"/>
        </w:rPr>
        <w:t>Que mediante Decreto No. 2768 del 2012, el Ministerio de Hacienda y Crédito Público reguló la constitución y funcionamiento de las cajas menores en los órganos que conforman el Presupuesto General de la Nación, y en las entidades nacionales con régimen presupuestal de Empresas Industriales y Comerciales del Estado con carácter no financiero, respecto de los recursos que le asigna la Nación.</w:t>
      </w:r>
    </w:p>
    <w:p w14:paraId="4C5A2A42" w14:textId="2BBD5770" w:rsidR="00BD38AF" w:rsidRPr="00360B1E" w:rsidRDefault="00BD38AF" w:rsidP="00360B1E">
      <w:pPr>
        <w:pStyle w:val="Prrafodelista"/>
        <w:numPr>
          <w:ilvl w:val="0"/>
          <w:numId w:val="1"/>
        </w:numPr>
        <w:jc w:val="both"/>
        <w:rPr>
          <w:rFonts w:ascii="Verdana" w:hAnsi="Verdana"/>
          <w:sz w:val="22"/>
          <w:szCs w:val="22"/>
        </w:rPr>
      </w:pPr>
      <w:r w:rsidRPr="00360B1E">
        <w:rPr>
          <w:rFonts w:ascii="Verdana" w:hAnsi="Verdana"/>
          <w:sz w:val="22"/>
          <w:szCs w:val="22"/>
        </w:rPr>
        <w:t>Que de conformidad con el Artículo 66o de la Resolución No. 1615 del 2006 - Por la cual se fijan lineamientos para el recaudo de recursos, la ejecución y control presupuestal de los gastos, el reconocimiento y registro en la contabilidad y la revelación en los Estados Contables del Instituto Colombiano de Bienestar Familiar y se delegan algunas facultades y se derogan unas resoluciones, expedida por la Dirección General del ICBF, se establece que los recursos que se entreguen para la constitución de las Cajas Menores deben ser utilizados para sufragar gastos que tengan el carácter de urgentes, identificados y definidos en los conceptos del Presupuesto General de la Nación, el Decreto de Liquidación y en el Clasificador del Gasto contemplado en la estructura presupuestal del Instituto, en concordancia con los lineamientos de programación establecidos.</w:t>
      </w:r>
    </w:p>
    <w:p w14:paraId="2B4FB1DA" w14:textId="44EEFFB6" w:rsidR="00BD38AF" w:rsidRPr="00360B1E" w:rsidRDefault="00BD38AF" w:rsidP="00360B1E">
      <w:pPr>
        <w:pStyle w:val="Prrafodelista"/>
        <w:numPr>
          <w:ilvl w:val="0"/>
          <w:numId w:val="1"/>
        </w:numPr>
        <w:jc w:val="both"/>
        <w:rPr>
          <w:rFonts w:ascii="Verdana" w:hAnsi="Verdana"/>
          <w:sz w:val="22"/>
          <w:szCs w:val="22"/>
        </w:rPr>
      </w:pPr>
      <w:r w:rsidRPr="00360B1E">
        <w:rPr>
          <w:rFonts w:ascii="Verdana" w:hAnsi="Verdana"/>
          <w:sz w:val="22"/>
          <w:szCs w:val="22"/>
        </w:rPr>
        <w:t xml:space="preserve">Que en atención al Artículo 1o de la Resolución No. 0914 de 2014 - Por la cual se delega una facultad y se dictan normas internas para la constitución, manejo y funcionamiento de las Cajas Menores de las </w:t>
      </w:r>
      <w:r w:rsidRPr="00360B1E">
        <w:rPr>
          <w:rFonts w:ascii="Verdana" w:hAnsi="Verdana"/>
          <w:sz w:val="22"/>
          <w:szCs w:val="22"/>
        </w:rPr>
        <w:lastRenderedPageBreak/>
        <w:t xml:space="preserve">Direcciones Regionales y la Dirección General del ICBF, para la vigencia fiscal del 2014, se delegó en la Secretaría General y en los </w:t>
      </w:r>
      <w:proofErr w:type="gramStart"/>
      <w:r w:rsidRPr="00360B1E">
        <w:rPr>
          <w:rFonts w:ascii="Verdana" w:hAnsi="Verdana"/>
          <w:sz w:val="22"/>
          <w:szCs w:val="22"/>
        </w:rPr>
        <w:t>Directores Regionales</w:t>
      </w:r>
      <w:proofErr w:type="gramEnd"/>
      <w:r w:rsidRPr="00360B1E">
        <w:rPr>
          <w:rFonts w:ascii="Verdana" w:hAnsi="Verdana"/>
          <w:sz w:val="22"/>
          <w:szCs w:val="22"/>
        </w:rPr>
        <w:t xml:space="preserve"> del ICBF la facultad para constituir Cajas Menores en sus respectivas Sedes Administrativas y Centros Zonales.</w:t>
      </w:r>
    </w:p>
    <w:p w14:paraId="1EC0410B" w14:textId="0E7CF621" w:rsidR="00BD38AF" w:rsidRPr="00360B1E" w:rsidRDefault="00BD38AF" w:rsidP="00360B1E">
      <w:pPr>
        <w:pStyle w:val="Prrafodelista"/>
        <w:numPr>
          <w:ilvl w:val="0"/>
          <w:numId w:val="1"/>
        </w:numPr>
        <w:jc w:val="both"/>
        <w:rPr>
          <w:rFonts w:ascii="Verdana" w:hAnsi="Verdana"/>
          <w:sz w:val="22"/>
          <w:szCs w:val="22"/>
        </w:rPr>
      </w:pPr>
      <w:r w:rsidRPr="00360B1E">
        <w:rPr>
          <w:rFonts w:ascii="Verdana" w:hAnsi="Verdana"/>
          <w:sz w:val="22"/>
          <w:szCs w:val="22"/>
        </w:rPr>
        <w:t xml:space="preserve">Que mediante memorando Radicado No. S-2014-075817-8800 del 09 de julio de 2014, el </w:t>
      </w:r>
      <w:proofErr w:type="gramStart"/>
      <w:r w:rsidRPr="00360B1E">
        <w:rPr>
          <w:rFonts w:ascii="Verdana" w:hAnsi="Verdana"/>
          <w:sz w:val="22"/>
          <w:szCs w:val="22"/>
        </w:rPr>
        <w:t>Director</w:t>
      </w:r>
      <w:proofErr w:type="gramEnd"/>
      <w:r w:rsidRPr="00360B1E">
        <w:rPr>
          <w:rFonts w:ascii="Verdana" w:hAnsi="Verdana"/>
          <w:sz w:val="22"/>
          <w:szCs w:val="22"/>
        </w:rPr>
        <w:t xml:space="preserve"> de la Regional San Andrés, justificó la necesidad de constituir la caja menor, con el fin de cubrir los gastos judiciales que se ocasionan en el curso de los procesos judiciales a favor y de los procesos de cobro coactivo, que de forma directa o indirecta demandan la utilización de recursos urgentes y menores.</w:t>
      </w:r>
    </w:p>
    <w:p w14:paraId="280A88A2" w14:textId="1833546A" w:rsidR="00BD38AF" w:rsidRPr="00360B1E" w:rsidRDefault="00BD38AF" w:rsidP="00360B1E">
      <w:pPr>
        <w:pStyle w:val="Prrafodelista"/>
        <w:numPr>
          <w:ilvl w:val="0"/>
          <w:numId w:val="1"/>
        </w:numPr>
        <w:jc w:val="both"/>
        <w:rPr>
          <w:rFonts w:ascii="Verdana" w:hAnsi="Verdana"/>
          <w:sz w:val="22"/>
          <w:szCs w:val="22"/>
        </w:rPr>
      </w:pPr>
      <w:proofErr w:type="gramStart"/>
      <w:r w:rsidRPr="00360B1E">
        <w:rPr>
          <w:rFonts w:ascii="Verdana" w:hAnsi="Verdana"/>
          <w:sz w:val="22"/>
          <w:szCs w:val="22"/>
        </w:rPr>
        <w:t>Que</w:t>
      </w:r>
      <w:proofErr w:type="gramEnd"/>
      <w:r w:rsidRPr="00360B1E">
        <w:rPr>
          <w:rFonts w:ascii="Verdana" w:hAnsi="Verdana"/>
          <w:sz w:val="22"/>
          <w:szCs w:val="22"/>
        </w:rPr>
        <w:t xml:space="preserve"> en atención a lo anteriormente expuesto, se hace necesario establecer la cuantía aprobada para la caja menor mencionada y adicionar en ese sentido el artículo 5 de la Resolución 914 del 17 de febrero del presente año.</w:t>
      </w:r>
    </w:p>
    <w:p w14:paraId="28B1E43E" w14:textId="4F4612A4" w:rsidR="00BD38AF" w:rsidRPr="00360B1E" w:rsidRDefault="00BD38AF" w:rsidP="00360B1E">
      <w:pPr>
        <w:pStyle w:val="Prrafodelista"/>
        <w:numPr>
          <w:ilvl w:val="0"/>
          <w:numId w:val="1"/>
        </w:numPr>
        <w:jc w:val="both"/>
        <w:rPr>
          <w:rFonts w:ascii="Verdana" w:hAnsi="Verdana"/>
          <w:sz w:val="22"/>
          <w:szCs w:val="22"/>
        </w:rPr>
      </w:pPr>
      <w:proofErr w:type="gramStart"/>
      <w:r w:rsidRPr="00360B1E">
        <w:rPr>
          <w:rFonts w:ascii="Verdana" w:hAnsi="Verdana"/>
          <w:sz w:val="22"/>
          <w:szCs w:val="22"/>
        </w:rPr>
        <w:t>Que</w:t>
      </w:r>
      <w:proofErr w:type="gramEnd"/>
      <w:r w:rsidRPr="00360B1E">
        <w:rPr>
          <w:rFonts w:ascii="Verdana" w:hAnsi="Verdana"/>
          <w:sz w:val="22"/>
          <w:szCs w:val="22"/>
        </w:rPr>
        <w:t xml:space="preserve"> en mérito de lo expuesto,</w:t>
      </w:r>
    </w:p>
    <w:p w14:paraId="4B8DE674" w14:textId="77777777" w:rsidR="00BD38AF" w:rsidRPr="00360B1E" w:rsidRDefault="00BD38AF" w:rsidP="00360B1E">
      <w:pPr>
        <w:jc w:val="center"/>
        <w:rPr>
          <w:rFonts w:ascii="Verdana" w:hAnsi="Verdana"/>
          <w:b/>
          <w:bCs/>
          <w:sz w:val="22"/>
          <w:szCs w:val="22"/>
        </w:rPr>
      </w:pPr>
      <w:r w:rsidRPr="00360B1E">
        <w:rPr>
          <w:rFonts w:ascii="Verdana" w:hAnsi="Verdana"/>
          <w:b/>
          <w:bCs/>
          <w:sz w:val="22"/>
          <w:szCs w:val="22"/>
        </w:rPr>
        <w:t>RESUELVE:</w:t>
      </w:r>
    </w:p>
    <w:p w14:paraId="234F5B07" w14:textId="4AE621AD" w:rsidR="00BD38AF" w:rsidRPr="00BD38AF" w:rsidRDefault="00BD38AF" w:rsidP="00BD38AF">
      <w:pPr>
        <w:rPr>
          <w:rFonts w:ascii="Verdana" w:hAnsi="Verdana"/>
          <w:sz w:val="22"/>
          <w:szCs w:val="22"/>
        </w:rPr>
      </w:pPr>
      <w:r w:rsidRPr="00360B1E">
        <w:rPr>
          <w:rFonts w:ascii="Verdana" w:hAnsi="Verdana"/>
          <w:b/>
          <w:bCs/>
          <w:sz w:val="22"/>
          <w:szCs w:val="22"/>
        </w:rPr>
        <w:t xml:space="preserve">ARTÍCULO </w:t>
      </w:r>
      <w:r w:rsidR="00360B1E" w:rsidRPr="00360B1E">
        <w:rPr>
          <w:rFonts w:ascii="Verdana" w:hAnsi="Verdana"/>
          <w:b/>
          <w:bCs/>
          <w:sz w:val="22"/>
          <w:szCs w:val="22"/>
        </w:rPr>
        <w:t>1o</w:t>
      </w:r>
      <w:r w:rsidRPr="00360B1E">
        <w:rPr>
          <w:rFonts w:ascii="Verdana" w:hAnsi="Verdana"/>
          <w:b/>
          <w:bCs/>
          <w:sz w:val="22"/>
          <w:szCs w:val="22"/>
        </w:rPr>
        <w:t>.</w:t>
      </w:r>
      <w:r w:rsidRPr="00BD38AF">
        <w:rPr>
          <w:rFonts w:ascii="Verdana" w:hAnsi="Verdana"/>
          <w:sz w:val="22"/>
          <w:szCs w:val="22"/>
        </w:rPr>
        <w:t xml:space="preserve"> Adicionar el Artículo 5o de la Resolución No. 0914 del 2014, en la siguiente cuantía aprobada para la creación y constitución de la Caja Menor de la Dirección ICBF Regional San Andrés, como se indica a continuación.</w:t>
      </w:r>
    </w:p>
    <w:tbl>
      <w:tblPr>
        <w:tblStyle w:val="Tablaconcuadrcula"/>
        <w:tblW w:w="4950" w:type="pct"/>
        <w:tblLook w:val="04A0" w:firstRow="1" w:lastRow="0" w:firstColumn="1" w:lastColumn="0" w:noHBand="0" w:noVBand="1"/>
      </w:tblPr>
      <w:tblGrid>
        <w:gridCol w:w="3847"/>
        <w:gridCol w:w="1522"/>
        <w:gridCol w:w="2015"/>
        <w:gridCol w:w="1356"/>
      </w:tblGrid>
      <w:tr w:rsidR="00360B1E" w:rsidRPr="00360B1E" w14:paraId="46FC259A" w14:textId="77777777" w:rsidTr="00360B1E">
        <w:tc>
          <w:tcPr>
            <w:tcW w:w="350" w:type="pct"/>
            <w:hideMark/>
          </w:tcPr>
          <w:p w14:paraId="6D9FBE2D" w14:textId="77777777" w:rsidR="00360B1E" w:rsidRPr="00360B1E" w:rsidRDefault="00360B1E" w:rsidP="00360B1E">
            <w:pPr>
              <w:spacing w:after="160"/>
              <w:rPr>
                <w:rFonts w:ascii="Verdana" w:hAnsi="Verdana"/>
                <w:sz w:val="22"/>
                <w:szCs w:val="22"/>
              </w:rPr>
            </w:pPr>
            <w:r w:rsidRPr="00360B1E">
              <w:rPr>
                <w:rFonts w:ascii="Verdana" w:hAnsi="Verdana"/>
                <w:b/>
                <w:bCs/>
                <w:sz w:val="22"/>
                <w:szCs w:val="22"/>
              </w:rPr>
              <w:t>No.</w:t>
            </w:r>
          </w:p>
        </w:tc>
        <w:tc>
          <w:tcPr>
            <w:tcW w:w="1800" w:type="pct"/>
            <w:hideMark/>
          </w:tcPr>
          <w:p w14:paraId="244FBB7C" w14:textId="77777777" w:rsidR="00360B1E" w:rsidRPr="00360B1E" w:rsidRDefault="00360B1E" w:rsidP="00360B1E">
            <w:pPr>
              <w:spacing w:after="160"/>
              <w:rPr>
                <w:rFonts w:ascii="Verdana" w:hAnsi="Verdana"/>
                <w:sz w:val="22"/>
                <w:szCs w:val="22"/>
              </w:rPr>
            </w:pPr>
            <w:r w:rsidRPr="00360B1E">
              <w:rPr>
                <w:rFonts w:ascii="Verdana" w:hAnsi="Verdana"/>
                <w:b/>
                <w:bCs/>
                <w:sz w:val="22"/>
                <w:szCs w:val="22"/>
              </w:rPr>
              <w:t>REGIONAL</w:t>
            </w:r>
          </w:p>
        </w:tc>
        <w:tc>
          <w:tcPr>
            <w:tcW w:w="1350" w:type="pct"/>
            <w:hideMark/>
          </w:tcPr>
          <w:p w14:paraId="21D856B2" w14:textId="77777777" w:rsidR="00360B1E" w:rsidRPr="00360B1E" w:rsidRDefault="00360B1E" w:rsidP="00360B1E">
            <w:pPr>
              <w:spacing w:after="160"/>
              <w:rPr>
                <w:rFonts w:ascii="Verdana" w:hAnsi="Verdana"/>
                <w:sz w:val="22"/>
                <w:szCs w:val="22"/>
              </w:rPr>
            </w:pPr>
            <w:r w:rsidRPr="00360B1E">
              <w:rPr>
                <w:rFonts w:ascii="Verdana" w:hAnsi="Verdana"/>
                <w:b/>
                <w:bCs/>
                <w:sz w:val="22"/>
                <w:szCs w:val="22"/>
              </w:rPr>
              <w:t>AREA RESPONSABLE</w:t>
            </w:r>
          </w:p>
        </w:tc>
        <w:tc>
          <w:tcPr>
            <w:tcW w:w="1450" w:type="pct"/>
            <w:hideMark/>
          </w:tcPr>
          <w:p w14:paraId="0382AB8E" w14:textId="77777777" w:rsidR="00360B1E" w:rsidRPr="00360B1E" w:rsidRDefault="00360B1E" w:rsidP="00360B1E">
            <w:pPr>
              <w:spacing w:after="160"/>
              <w:rPr>
                <w:rFonts w:ascii="Verdana" w:hAnsi="Verdana"/>
                <w:sz w:val="22"/>
                <w:szCs w:val="22"/>
              </w:rPr>
            </w:pPr>
            <w:r w:rsidRPr="00360B1E">
              <w:rPr>
                <w:rFonts w:ascii="Verdana" w:hAnsi="Verdana"/>
                <w:b/>
                <w:bCs/>
                <w:sz w:val="22"/>
                <w:szCs w:val="22"/>
              </w:rPr>
              <w:t>VALOR</w:t>
            </w:r>
          </w:p>
        </w:tc>
      </w:tr>
      <w:tr w:rsidR="00360B1E" w:rsidRPr="00360B1E" w14:paraId="0C48156A" w14:textId="77777777" w:rsidTr="00360B1E">
        <w:tc>
          <w:tcPr>
            <w:tcW w:w="350" w:type="pct"/>
            <w:hideMark/>
          </w:tcPr>
          <w:p w14:paraId="523B5591" w14:textId="77777777" w:rsidR="00360B1E" w:rsidRPr="00360B1E" w:rsidRDefault="00360B1E" w:rsidP="00360B1E">
            <w:pPr>
              <w:spacing w:after="160"/>
              <w:rPr>
                <w:rFonts w:ascii="Verdana" w:hAnsi="Verdana"/>
                <w:sz w:val="22"/>
                <w:szCs w:val="22"/>
              </w:rPr>
            </w:pPr>
            <w:r w:rsidRPr="00360B1E">
              <w:rPr>
                <w:rFonts w:ascii="Verdana" w:hAnsi="Verdana"/>
                <w:sz w:val="22"/>
                <w:szCs w:val="22"/>
              </w:rPr>
              <w:t>72</w:t>
            </w:r>
          </w:p>
        </w:tc>
        <w:tc>
          <w:tcPr>
            <w:tcW w:w="1800" w:type="pct"/>
            <w:hideMark/>
          </w:tcPr>
          <w:p w14:paraId="494E8699" w14:textId="77777777" w:rsidR="00360B1E" w:rsidRPr="00360B1E" w:rsidRDefault="00360B1E" w:rsidP="00360B1E">
            <w:pPr>
              <w:spacing w:after="160"/>
              <w:rPr>
                <w:rFonts w:ascii="Verdana" w:hAnsi="Verdana"/>
                <w:sz w:val="22"/>
                <w:szCs w:val="22"/>
              </w:rPr>
            </w:pPr>
            <w:r w:rsidRPr="00360B1E">
              <w:rPr>
                <w:rFonts w:ascii="Verdana" w:hAnsi="Verdana"/>
                <w:sz w:val="22"/>
                <w:szCs w:val="22"/>
              </w:rPr>
              <w:t>SAN ANDRES</w:t>
            </w:r>
          </w:p>
        </w:tc>
        <w:tc>
          <w:tcPr>
            <w:tcW w:w="1350" w:type="pct"/>
            <w:hideMark/>
          </w:tcPr>
          <w:p w14:paraId="648E7D23" w14:textId="77777777" w:rsidR="00360B1E" w:rsidRPr="00360B1E" w:rsidRDefault="00360B1E" w:rsidP="00360B1E">
            <w:pPr>
              <w:spacing w:after="160"/>
              <w:rPr>
                <w:rFonts w:ascii="Verdana" w:hAnsi="Verdana"/>
                <w:sz w:val="22"/>
                <w:szCs w:val="22"/>
              </w:rPr>
            </w:pPr>
            <w:r w:rsidRPr="00360B1E">
              <w:rPr>
                <w:rFonts w:ascii="Verdana" w:hAnsi="Verdana"/>
                <w:sz w:val="22"/>
                <w:szCs w:val="22"/>
              </w:rPr>
              <w:t>GRUPO JURÍDICO</w:t>
            </w:r>
          </w:p>
        </w:tc>
        <w:tc>
          <w:tcPr>
            <w:tcW w:w="1450" w:type="pct"/>
            <w:hideMark/>
          </w:tcPr>
          <w:p w14:paraId="49639496" w14:textId="77777777" w:rsidR="00360B1E" w:rsidRPr="00360B1E" w:rsidRDefault="00360B1E" w:rsidP="00360B1E">
            <w:pPr>
              <w:spacing w:after="160"/>
              <w:rPr>
                <w:rFonts w:ascii="Verdana" w:hAnsi="Verdana"/>
                <w:sz w:val="22"/>
                <w:szCs w:val="22"/>
              </w:rPr>
            </w:pPr>
            <w:r w:rsidRPr="00360B1E">
              <w:rPr>
                <w:rFonts w:ascii="Verdana" w:hAnsi="Verdana"/>
                <w:sz w:val="22"/>
                <w:szCs w:val="22"/>
              </w:rPr>
              <w:t>$ 3.590.400</w:t>
            </w:r>
          </w:p>
        </w:tc>
      </w:tr>
      <w:tr w:rsidR="00360B1E" w:rsidRPr="00360B1E" w14:paraId="7006E55A" w14:textId="77777777" w:rsidTr="00360B1E">
        <w:tc>
          <w:tcPr>
            <w:tcW w:w="3550" w:type="pct"/>
            <w:hideMark/>
          </w:tcPr>
          <w:p w14:paraId="446A2B98" w14:textId="77777777" w:rsidR="00360B1E" w:rsidRPr="00360B1E" w:rsidRDefault="00360B1E" w:rsidP="00360B1E">
            <w:pPr>
              <w:spacing w:after="160"/>
              <w:rPr>
                <w:rFonts w:ascii="Verdana" w:hAnsi="Verdana"/>
                <w:sz w:val="22"/>
                <w:szCs w:val="22"/>
              </w:rPr>
            </w:pPr>
            <w:proofErr w:type="gramStart"/>
            <w:r w:rsidRPr="00360B1E">
              <w:rPr>
                <w:rFonts w:ascii="Verdana" w:hAnsi="Verdana"/>
                <w:b/>
                <w:bCs/>
                <w:sz w:val="22"/>
                <w:szCs w:val="22"/>
              </w:rPr>
              <w:t>TOTAL</w:t>
            </w:r>
            <w:proofErr w:type="gramEnd"/>
            <w:r w:rsidRPr="00360B1E">
              <w:rPr>
                <w:rFonts w:ascii="Verdana" w:hAnsi="Verdana"/>
                <w:b/>
                <w:bCs/>
                <w:sz w:val="22"/>
                <w:szCs w:val="22"/>
              </w:rPr>
              <w:t xml:space="preserve"> SAN ANDRES</w:t>
            </w:r>
          </w:p>
        </w:tc>
        <w:tc>
          <w:tcPr>
            <w:tcW w:w="1450" w:type="pct"/>
            <w:gridSpan w:val="3"/>
            <w:hideMark/>
          </w:tcPr>
          <w:p w14:paraId="381746E1" w14:textId="77777777" w:rsidR="00360B1E" w:rsidRPr="00360B1E" w:rsidRDefault="00360B1E" w:rsidP="00360B1E">
            <w:pPr>
              <w:spacing w:after="160"/>
              <w:rPr>
                <w:rFonts w:ascii="Verdana" w:hAnsi="Verdana"/>
                <w:sz w:val="22"/>
                <w:szCs w:val="22"/>
              </w:rPr>
            </w:pPr>
            <w:r w:rsidRPr="00360B1E">
              <w:rPr>
                <w:rFonts w:ascii="Verdana" w:hAnsi="Verdana"/>
                <w:b/>
                <w:bCs/>
                <w:sz w:val="22"/>
                <w:szCs w:val="22"/>
              </w:rPr>
              <w:t>$ 3.590.400</w:t>
            </w:r>
          </w:p>
        </w:tc>
      </w:tr>
    </w:tbl>
    <w:p w14:paraId="3663DCF5" w14:textId="77777777" w:rsidR="00BD38AF" w:rsidRPr="00BD38AF" w:rsidRDefault="00BD38AF" w:rsidP="00BD38AF">
      <w:pPr>
        <w:rPr>
          <w:rFonts w:ascii="Verdana" w:hAnsi="Verdana"/>
          <w:sz w:val="22"/>
          <w:szCs w:val="22"/>
        </w:rPr>
      </w:pPr>
    </w:p>
    <w:p w14:paraId="187CE53C" w14:textId="66B4F808" w:rsidR="00BD38AF" w:rsidRPr="00BD38AF" w:rsidRDefault="00BD38AF" w:rsidP="00BD38AF">
      <w:pPr>
        <w:rPr>
          <w:rFonts w:ascii="Verdana" w:hAnsi="Verdana"/>
          <w:sz w:val="22"/>
          <w:szCs w:val="22"/>
        </w:rPr>
      </w:pPr>
      <w:r w:rsidRPr="00BD38AF">
        <w:rPr>
          <w:rFonts w:ascii="Verdana" w:hAnsi="Verdana"/>
          <w:b/>
          <w:bCs/>
          <w:sz w:val="22"/>
          <w:szCs w:val="22"/>
        </w:rPr>
        <w:t xml:space="preserve">ARTÍCULO </w:t>
      </w:r>
      <w:r w:rsidRPr="00BD38AF">
        <w:rPr>
          <w:rFonts w:ascii="Verdana" w:hAnsi="Verdana"/>
          <w:b/>
          <w:bCs/>
          <w:sz w:val="22"/>
          <w:szCs w:val="22"/>
        </w:rPr>
        <w:t>2o</w:t>
      </w:r>
      <w:r w:rsidRPr="00BD38AF">
        <w:rPr>
          <w:rFonts w:ascii="Verdana" w:hAnsi="Verdana"/>
          <w:b/>
          <w:bCs/>
          <w:sz w:val="22"/>
          <w:szCs w:val="22"/>
        </w:rPr>
        <w:t>.</w:t>
      </w:r>
      <w:r w:rsidRPr="00BD38AF">
        <w:rPr>
          <w:rFonts w:ascii="Verdana" w:hAnsi="Verdana"/>
          <w:sz w:val="22"/>
          <w:szCs w:val="22"/>
        </w:rPr>
        <w:t xml:space="preserve"> VIGENCIA. La presente Resolución rige a partir de la fecha de su expedición.</w:t>
      </w:r>
    </w:p>
    <w:p w14:paraId="75E65783" w14:textId="309E131E" w:rsidR="00BD38AF" w:rsidRPr="00BD38AF" w:rsidRDefault="00BD38AF" w:rsidP="00BD38AF">
      <w:pPr>
        <w:jc w:val="center"/>
        <w:rPr>
          <w:rFonts w:ascii="Verdana" w:hAnsi="Verdana"/>
          <w:b/>
          <w:bCs/>
          <w:sz w:val="22"/>
          <w:szCs w:val="22"/>
        </w:rPr>
      </w:pPr>
      <w:r w:rsidRPr="00BD38AF">
        <w:rPr>
          <w:rFonts w:ascii="Verdana" w:hAnsi="Verdana"/>
          <w:b/>
          <w:bCs/>
          <w:sz w:val="22"/>
          <w:szCs w:val="22"/>
        </w:rPr>
        <w:t>COMUNÍQUESE Y CÚMPLASE</w:t>
      </w:r>
      <w:r w:rsidRPr="00BD38AF">
        <w:rPr>
          <w:rFonts w:ascii="Verdana" w:hAnsi="Verdana"/>
          <w:b/>
          <w:bCs/>
          <w:sz w:val="22"/>
          <w:szCs w:val="22"/>
        </w:rPr>
        <w:t>,</w:t>
      </w:r>
    </w:p>
    <w:p w14:paraId="536EF29E" w14:textId="72D372E6" w:rsidR="00BD38AF" w:rsidRPr="00BD38AF" w:rsidRDefault="00BD38AF" w:rsidP="00BD38AF">
      <w:pPr>
        <w:jc w:val="center"/>
        <w:rPr>
          <w:rFonts w:ascii="Verdana" w:hAnsi="Verdana"/>
          <w:sz w:val="22"/>
          <w:szCs w:val="22"/>
        </w:rPr>
      </w:pPr>
      <w:r w:rsidRPr="00BD38AF">
        <w:rPr>
          <w:rFonts w:ascii="Verdana" w:hAnsi="Verdana"/>
          <w:sz w:val="22"/>
          <w:szCs w:val="22"/>
        </w:rPr>
        <w:t xml:space="preserve">Dada en Bogotá D.C., a los 9 </w:t>
      </w:r>
      <w:r>
        <w:rPr>
          <w:rFonts w:ascii="Verdana" w:hAnsi="Verdana"/>
          <w:sz w:val="22"/>
          <w:szCs w:val="22"/>
        </w:rPr>
        <w:t>días del mes de octubre de</w:t>
      </w:r>
      <w:r w:rsidRPr="00BD38AF">
        <w:rPr>
          <w:rFonts w:ascii="Verdana" w:hAnsi="Verdana"/>
          <w:sz w:val="22"/>
          <w:szCs w:val="22"/>
        </w:rPr>
        <w:t xml:space="preserve"> 2014</w:t>
      </w:r>
    </w:p>
    <w:p w14:paraId="5E10CCF9" w14:textId="62404C57" w:rsidR="00BD38AF" w:rsidRPr="00BD38AF" w:rsidRDefault="00BD38AF" w:rsidP="00BD38AF">
      <w:pPr>
        <w:jc w:val="center"/>
        <w:rPr>
          <w:rFonts w:ascii="Verdana" w:hAnsi="Verdana"/>
          <w:b/>
          <w:bCs/>
          <w:sz w:val="22"/>
          <w:szCs w:val="22"/>
        </w:rPr>
      </w:pPr>
      <w:r w:rsidRPr="00BD38AF">
        <w:rPr>
          <w:rFonts w:ascii="Verdana" w:hAnsi="Verdana"/>
          <w:b/>
          <w:bCs/>
          <w:sz w:val="22"/>
          <w:szCs w:val="22"/>
        </w:rPr>
        <w:t>CRISTINA PLAZAS MICHELSEN</w:t>
      </w:r>
    </w:p>
    <w:p w14:paraId="2E4C0779" w14:textId="455C885C" w:rsidR="00A724C4" w:rsidRPr="00BD38AF" w:rsidRDefault="00BD38AF" w:rsidP="00BD38AF">
      <w:pPr>
        <w:jc w:val="center"/>
        <w:rPr>
          <w:rFonts w:ascii="Verdana" w:hAnsi="Verdana"/>
          <w:sz w:val="22"/>
          <w:szCs w:val="22"/>
        </w:rPr>
      </w:pPr>
      <w:r w:rsidRPr="00BD38AF">
        <w:rPr>
          <w:rFonts w:ascii="Verdana" w:hAnsi="Verdana"/>
          <w:sz w:val="22"/>
          <w:szCs w:val="22"/>
        </w:rPr>
        <w:t>DIRECTORA GENERAL</w:t>
      </w:r>
    </w:p>
    <w:sectPr w:rsidR="00A724C4" w:rsidRPr="00BD38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C54D4"/>
    <w:multiLevelType w:val="hybridMultilevel"/>
    <w:tmpl w:val="35C070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1317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12"/>
    <w:rsid w:val="000643BA"/>
    <w:rsid w:val="001A3C20"/>
    <w:rsid w:val="00243CB4"/>
    <w:rsid w:val="00360B1E"/>
    <w:rsid w:val="00A724C4"/>
    <w:rsid w:val="00B3165E"/>
    <w:rsid w:val="00BD38AF"/>
    <w:rsid w:val="00C63E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15EC"/>
  <w15:chartTrackingRefBased/>
  <w15:docId w15:val="{0907745F-C009-4EF6-9B74-D4709881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C20"/>
    <w:pPr>
      <w:spacing w:line="240" w:lineRule="auto"/>
      <w:jc w:val="both"/>
    </w:pPr>
    <w:rPr>
      <w:rFonts w:ascii="Arial" w:hAnsi="Arial" w:cs="Arial"/>
    </w:rPr>
  </w:style>
  <w:style w:type="paragraph" w:styleId="Ttulo1">
    <w:name w:val="heading 1"/>
    <w:basedOn w:val="Normal"/>
    <w:next w:val="Normal"/>
    <w:link w:val="Ttulo1Car"/>
    <w:uiPriority w:val="9"/>
    <w:qFormat/>
    <w:rsid w:val="00C63E12"/>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3E12"/>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3E12"/>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3E12"/>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63E12"/>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63E12"/>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63E12"/>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63E12"/>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63E12"/>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3E1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3E1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3E1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3E1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3E1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3E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3E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3E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3E12"/>
    <w:rPr>
      <w:rFonts w:eastAsiaTheme="majorEastAsia" w:cstheme="majorBidi"/>
      <w:color w:val="272727" w:themeColor="text1" w:themeTint="D8"/>
    </w:rPr>
  </w:style>
  <w:style w:type="paragraph" w:styleId="Ttulo">
    <w:name w:val="Title"/>
    <w:basedOn w:val="Normal"/>
    <w:next w:val="Normal"/>
    <w:link w:val="TtuloCar"/>
    <w:uiPriority w:val="10"/>
    <w:qFormat/>
    <w:rsid w:val="00C63E12"/>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3E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3E12"/>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3E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3E12"/>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C63E12"/>
    <w:rPr>
      <w:i/>
      <w:iCs/>
      <w:color w:val="404040" w:themeColor="text1" w:themeTint="BF"/>
    </w:rPr>
  </w:style>
  <w:style w:type="paragraph" w:styleId="Prrafodelista">
    <w:name w:val="List Paragraph"/>
    <w:basedOn w:val="Normal"/>
    <w:uiPriority w:val="34"/>
    <w:qFormat/>
    <w:rsid w:val="00C63E12"/>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C63E12"/>
    <w:rPr>
      <w:i/>
      <w:iCs/>
      <w:color w:val="0F4761" w:themeColor="accent1" w:themeShade="BF"/>
    </w:rPr>
  </w:style>
  <w:style w:type="paragraph" w:styleId="Citadestacada">
    <w:name w:val="Intense Quote"/>
    <w:basedOn w:val="Normal"/>
    <w:next w:val="Normal"/>
    <w:link w:val="CitadestacadaCar"/>
    <w:uiPriority w:val="30"/>
    <w:qFormat/>
    <w:rsid w:val="00C63E1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C63E12"/>
    <w:rPr>
      <w:i/>
      <w:iCs/>
      <w:color w:val="0F4761" w:themeColor="accent1" w:themeShade="BF"/>
    </w:rPr>
  </w:style>
  <w:style w:type="character" w:styleId="Referenciaintensa">
    <w:name w:val="Intense Reference"/>
    <w:basedOn w:val="Fuentedeprrafopredeter"/>
    <w:uiPriority w:val="32"/>
    <w:qFormat/>
    <w:rsid w:val="00C63E12"/>
    <w:rPr>
      <w:b/>
      <w:bCs/>
      <w:smallCaps/>
      <w:color w:val="0F4761" w:themeColor="accent1" w:themeShade="BF"/>
      <w:spacing w:val="5"/>
    </w:rPr>
  </w:style>
  <w:style w:type="table" w:styleId="Tablaconcuadrcula">
    <w:name w:val="Table Grid"/>
    <w:basedOn w:val="Tablanormal"/>
    <w:uiPriority w:val="39"/>
    <w:rsid w:val="00360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8B5539-111C-4976-99E6-ADCE2FA7C5C8}"/>
</file>

<file path=customXml/itemProps2.xml><?xml version="1.0" encoding="utf-8"?>
<ds:datastoreItem xmlns:ds="http://schemas.openxmlformats.org/officeDocument/2006/customXml" ds:itemID="{9CAB6A02-9792-4678-B38A-86380EA35E21}"/>
</file>

<file path=customXml/itemProps3.xml><?xml version="1.0" encoding="utf-8"?>
<ds:datastoreItem xmlns:ds="http://schemas.openxmlformats.org/officeDocument/2006/customXml" ds:itemID="{3A624B6B-9803-44F4-9358-4B21354BC7CB}"/>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2950</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cp:revision>
  <dcterms:created xsi:type="dcterms:W3CDTF">2026-01-29T22:16:00Z</dcterms:created>
  <dcterms:modified xsi:type="dcterms:W3CDTF">2026-01-29T22:19:00Z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