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0B1D" w14:textId="77777777" w:rsidR="002E18F4" w:rsidRPr="00A233D5" w:rsidRDefault="002E18F4" w:rsidP="002E18F4">
      <w:pPr>
        <w:rPr>
          <w:rFonts w:ascii="Verdana" w:hAnsi="Verdana"/>
          <w:sz w:val="22"/>
          <w:szCs w:val="22"/>
        </w:rPr>
      </w:pPr>
    </w:p>
    <w:p w14:paraId="640D5829" w14:textId="6A6D8D22" w:rsidR="002E18F4" w:rsidRPr="002E18F4" w:rsidRDefault="002E18F4" w:rsidP="002E18F4">
      <w:pPr>
        <w:jc w:val="center"/>
        <w:rPr>
          <w:rFonts w:ascii="Verdana" w:hAnsi="Verdana"/>
          <w:b/>
          <w:bCs/>
          <w:sz w:val="22"/>
          <w:szCs w:val="22"/>
        </w:rPr>
      </w:pPr>
      <w:r w:rsidRPr="002E18F4">
        <w:rPr>
          <w:rFonts w:ascii="Verdana" w:hAnsi="Verdana"/>
          <w:b/>
          <w:bCs/>
          <w:sz w:val="22"/>
          <w:szCs w:val="22"/>
        </w:rPr>
        <w:t>RESOLUCION 5491 DE 2009</w:t>
      </w:r>
    </w:p>
    <w:p w14:paraId="0F29F421" w14:textId="77777777" w:rsidR="00C95F9D" w:rsidRPr="00C95F9D" w:rsidRDefault="00C95F9D" w:rsidP="00C95F9D">
      <w:pPr>
        <w:pStyle w:val="Sinespaciado"/>
        <w:rPr>
          <w:rFonts w:ascii="Verdana" w:hAnsi="Verdana"/>
          <w:sz w:val="20"/>
          <w:szCs w:val="20"/>
        </w:rPr>
      </w:pPr>
      <w:r w:rsidRPr="00C95F9D">
        <w:rPr>
          <w:rFonts w:ascii="Verdana" w:hAnsi="Verdana"/>
          <w:sz w:val="20"/>
          <w:szCs w:val="20"/>
        </w:rPr>
        <w:t>Fecha de Expedición: 4 de diciembre de 2009</w:t>
      </w:r>
    </w:p>
    <w:p w14:paraId="5787439E" w14:textId="77777777" w:rsidR="00C95F9D" w:rsidRPr="00C95F9D" w:rsidRDefault="00C95F9D" w:rsidP="00C95F9D">
      <w:pPr>
        <w:pStyle w:val="Sinespaciado"/>
        <w:rPr>
          <w:rFonts w:ascii="Verdana" w:hAnsi="Verdana"/>
          <w:sz w:val="20"/>
          <w:szCs w:val="20"/>
        </w:rPr>
      </w:pPr>
      <w:r w:rsidRPr="00C95F9D">
        <w:rPr>
          <w:rFonts w:ascii="Verdana" w:hAnsi="Verdana"/>
          <w:sz w:val="20"/>
          <w:szCs w:val="20"/>
        </w:rPr>
        <w:t xml:space="preserve">Fecha de </w:t>
      </w:r>
      <w:proofErr w:type="gramStart"/>
      <w:r w:rsidRPr="00C95F9D">
        <w:rPr>
          <w:rFonts w:ascii="Verdana" w:hAnsi="Verdana"/>
          <w:sz w:val="20"/>
          <w:szCs w:val="20"/>
        </w:rPr>
        <w:t>entrada en vigencia</w:t>
      </w:r>
      <w:proofErr w:type="gramEnd"/>
      <w:r w:rsidRPr="00C95F9D">
        <w:rPr>
          <w:rFonts w:ascii="Verdana" w:hAnsi="Verdana"/>
          <w:sz w:val="20"/>
          <w:szCs w:val="20"/>
        </w:rPr>
        <w:t>: 21 de diciembre de 2009</w:t>
      </w:r>
    </w:p>
    <w:p w14:paraId="13CD12EA" w14:textId="77777777" w:rsidR="00C95F9D" w:rsidRDefault="00C95F9D" w:rsidP="00C95F9D">
      <w:pPr>
        <w:pStyle w:val="Sinespaciado"/>
        <w:rPr>
          <w:rFonts w:ascii="Verdana" w:hAnsi="Verdana"/>
          <w:sz w:val="20"/>
          <w:szCs w:val="20"/>
        </w:rPr>
      </w:pPr>
      <w:r w:rsidRPr="00C95F9D">
        <w:rPr>
          <w:rFonts w:ascii="Verdana" w:hAnsi="Verdana"/>
          <w:sz w:val="20"/>
          <w:szCs w:val="20"/>
        </w:rPr>
        <w:t>Estado de la vigencia: derogada por el artículo 4 de la Resolución 6054 de 2010</w:t>
      </w:r>
      <w:r w:rsidRPr="00C95F9D">
        <w:rPr>
          <w:rFonts w:ascii="Verdana" w:hAnsi="Verdana"/>
          <w:sz w:val="20"/>
          <w:szCs w:val="20"/>
        </w:rPr>
        <w:tab/>
      </w:r>
    </w:p>
    <w:p w14:paraId="7634764E" w14:textId="77777777" w:rsidR="00C95F9D" w:rsidRDefault="00C95F9D" w:rsidP="00C95F9D">
      <w:pPr>
        <w:pStyle w:val="Sinespaciado"/>
        <w:rPr>
          <w:rFonts w:ascii="Verdana" w:hAnsi="Verdana"/>
          <w:sz w:val="20"/>
          <w:szCs w:val="20"/>
        </w:rPr>
      </w:pPr>
    </w:p>
    <w:p w14:paraId="7B39F5FD" w14:textId="3D5B64BD" w:rsidR="00C95F9D" w:rsidRPr="00C95F9D" w:rsidRDefault="00C95F9D" w:rsidP="00C95F9D">
      <w:pPr>
        <w:pStyle w:val="Sinespaciado"/>
        <w:rPr>
          <w:rFonts w:ascii="Verdana" w:hAnsi="Verdana"/>
          <w:sz w:val="20"/>
          <w:szCs w:val="20"/>
        </w:rPr>
      </w:pPr>
      <w:r w:rsidRPr="00C95F9D">
        <w:rPr>
          <w:rFonts w:ascii="Verdana" w:hAnsi="Verdana"/>
          <w:sz w:val="20"/>
          <w:szCs w:val="20"/>
        </w:rPr>
        <w:t>Fecha de publicación en Diario Oficial: 21 de diciembre de 2009</w:t>
      </w:r>
    </w:p>
    <w:p w14:paraId="5951AD62" w14:textId="799ED2D5" w:rsidR="0088588F" w:rsidRDefault="00C95F9D" w:rsidP="00C95F9D">
      <w:pPr>
        <w:pStyle w:val="Sinespaciado"/>
        <w:rPr>
          <w:rFonts w:ascii="Verdana" w:hAnsi="Verdana"/>
          <w:sz w:val="20"/>
          <w:szCs w:val="20"/>
        </w:rPr>
      </w:pPr>
      <w:r w:rsidRPr="00C95F9D">
        <w:rPr>
          <w:rFonts w:ascii="Verdana" w:hAnsi="Verdana"/>
          <w:sz w:val="20"/>
          <w:szCs w:val="20"/>
        </w:rPr>
        <w:t>Número del Diario Oficial: 47.570</w:t>
      </w:r>
    </w:p>
    <w:p w14:paraId="11B76B04" w14:textId="77777777" w:rsidR="00C95F9D" w:rsidRPr="00C95F9D" w:rsidRDefault="00C95F9D" w:rsidP="00C95F9D">
      <w:pPr>
        <w:pStyle w:val="Sinespaciado"/>
        <w:rPr>
          <w:rFonts w:ascii="Verdana" w:hAnsi="Verdana"/>
          <w:sz w:val="20"/>
          <w:szCs w:val="20"/>
        </w:rPr>
      </w:pPr>
    </w:p>
    <w:p w14:paraId="5C20F73E" w14:textId="062D3117" w:rsidR="00D30EA5" w:rsidRPr="002E18F4" w:rsidRDefault="00D30EA5" w:rsidP="002E18F4">
      <w:pPr>
        <w:jc w:val="center"/>
        <w:rPr>
          <w:rFonts w:ascii="Verdana" w:hAnsi="Verdana"/>
          <w:b/>
          <w:bCs/>
          <w:sz w:val="22"/>
          <w:szCs w:val="22"/>
        </w:rPr>
      </w:pPr>
      <w:r w:rsidRPr="002E18F4">
        <w:rPr>
          <w:rFonts w:ascii="Verdana" w:hAnsi="Verdana"/>
          <w:b/>
          <w:bCs/>
          <w:sz w:val="22"/>
          <w:szCs w:val="22"/>
        </w:rPr>
        <w:t>RESOLUCION 5491 DE 2009</w:t>
      </w:r>
    </w:p>
    <w:p w14:paraId="19AC14A9" w14:textId="3A335D87" w:rsidR="00D30EA5" w:rsidRPr="002E18F4" w:rsidRDefault="00D30EA5" w:rsidP="002E18F4">
      <w:pPr>
        <w:jc w:val="center"/>
        <w:rPr>
          <w:rFonts w:ascii="Verdana" w:hAnsi="Verdana"/>
          <w:b/>
          <w:bCs/>
          <w:sz w:val="22"/>
          <w:szCs w:val="22"/>
        </w:rPr>
      </w:pPr>
      <w:r w:rsidRPr="002E18F4">
        <w:rPr>
          <w:rFonts w:ascii="Verdana" w:hAnsi="Verdana"/>
          <w:b/>
          <w:bCs/>
          <w:sz w:val="22"/>
          <w:szCs w:val="22"/>
        </w:rPr>
        <w:t>(</w:t>
      </w:r>
      <w:r w:rsidR="009F129F" w:rsidRPr="002E18F4">
        <w:rPr>
          <w:rFonts w:ascii="Verdana" w:hAnsi="Verdana"/>
          <w:b/>
          <w:bCs/>
          <w:sz w:val="22"/>
          <w:szCs w:val="22"/>
        </w:rPr>
        <w:t xml:space="preserve">4 de </w:t>
      </w:r>
      <w:r w:rsidRPr="002E18F4">
        <w:rPr>
          <w:rFonts w:ascii="Verdana" w:hAnsi="Verdana"/>
          <w:b/>
          <w:bCs/>
          <w:sz w:val="22"/>
          <w:szCs w:val="22"/>
        </w:rPr>
        <w:t>diciembre)</w:t>
      </w:r>
    </w:p>
    <w:p w14:paraId="3B82E188" w14:textId="34473CE6" w:rsidR="00D30EA5" w:rsidRPr="002E18F4" w:rsidRDefault="00D30EA5" w:rsidP="002E18F4">
      <w:pPr>
        <w:jc w:val="center"/>
        <w:rPr>
          <w:rFonts w:ascii="Verdana" w:hAnsi="Verdana"/>
          <w:b/>
          <w:bCs/>
          <w:sz w:val="22"/>
          <w:szCs w:val="22"/>
        </w:rPr>
      </w:pPr>
      <w:r w:rsidRPr="002E18F4">
        <w:rPr>
          <w:rFonts w:ascii="Verdana" w:hAnsi="Verdana"/>
          <w:b/>
          <w:bCs/>
          <w:sz w:val="22"/>
          <w:szCs w:val="22"/>
        </w:rPr>
        <w:t>INSTITUTO COLOMBIANO DE BIENESTAR FAMILIAR</w:t>
      </w:r>
    </w:p>
    <w:p w14:paraId="2712DF5F" w14:textId="2408347C" w:rsidR="00D30EA5" w:rsidRPr="00A233D5" w:rsidRDefault="002E18F4" w:rsidP="002E18F4">
      <w:pPr>
        <w:jc w:val="center"/>
        <w:rPr>
          <w:rFonts w:ascii="Verdana" w:hAnsi="Verdana"/>
          <w:sz w:val="22"/>
          <w:szCs w:val="22"/>
        </w:rPr>
      </w:pPr>
      <w:r>
        <w:rPr>
          <w:rFonts w:ascii="Verdana" w:hAnsi="Verdana"/>
          <w:sz w:val="22"/>
          <w:szCs w:val="22"/>
        </w:rPr>
        <w:t>“</w:t>
      </w:r>
      <w:r w:rsidR="00D30EA5" w:rsidRPr="00A233D5">
        <w:rPr>
          <w:rFonts w:ascii="Verdana" w:hAnsi="Verdana"/>
          <w:sz w:val="22"/>
          <w:szCs w:val="22"/>
        </w:rPr>
        <w:t>Por la cual se modifica y se adiciona el Lineamiento Técnico del Programa de Adopciones aprobado mediante la Resolución número 2310 del 19 de septiembre de 2007</w:t>
      </w:r>
      <w:r>
        <w:rPr>
          <w:rFonts w:ascii="Verdana" w:hAnsi="Verdana"/>
          <w:sz w:val="22"/>
          <w:szCs w:val="22"/>
        </w:rPr>
        <w:t>”</w:t>
      </w:r>
    </w:p>
    <w:p w14:paraId="73AFA5A3" w14:textId="77777777" w:rsidR="00D30EA5" w:rsidRPr="002E18F4" w:rsidRDefault="00D30EA5" w:rsidP="002E18F4">
      <w:pPr>
        <w:jc w:val="center"/>
        <w:rPr>
          <w:rFonts w:ascii="Verdana" w:hAnsi="Verdana"/>
          <w:b/>
          <w:bCs/>
          <w:sz w:val="22"/>
          <w:szCs w:val="22"/>
        </w:rPr>
      </w:pPr>
      <w:r w:rsidRPr="002E18F4">
        <w:rPr>
          <w:rFonts w:ascii="Verdana" w:hAnsi="Verdana"/>
          <w:b/>
          <w:bCs/>
          <w:sz w:val="22"/>
          <w:szCs w:val="22"/>
        </w:rPr>
        <w:t>LA SECRETARIA GENERAL ENCARGADA DE LAS FUNCIONES DE DIRECTORA GENERAL DEL INSTITUTO COLOMBIANO DE BIENESTAR FAMILIAR CECILIA DE LA FUENTE DE LLERAS,</w:t>
      </w:r>
    </w:p>
    <w:p w14:paraId="1F7B04A1" w14:textId="77777777" w:rsidR="00D30EA5" w:rsidRPr="00A233D5" w:rsidRDefault="00D30EA5" w:rsidP="002E18F4">
      <w:pPr>
        <w:jc w:val="center"/>
        <w:rPr>
          <w:rFonts w:ascii="Verdana" w:hAnsi="Verdana"/>
          <w:sz w:val="22"/>
          <w:szCs w:val="22"/>
        </w:rPr>
      </w:pPr>
      <w:r w:rsidRPr="00A233D5">
        <w:rPr>
          <w:rFonts w:ascii="Verdana" w:hAnsi="Verdana"/>
          <w:sz w:val="22"/>
          <w:szCs w:val="22"/>
        </w:rPr>
        <w:t>en uso de sus facultades legales y estatutarias, en especial las conferidas en el artículo 78 de la Ley 489 de 1998, el parágrafo del artículo 11 de la Ley 1098 de 2006, y</w:t>
      </w:r>
    </w:p>
    <w:p w14:paraId="7432431E" w14:textId="77777777" w:rsidR="00D30EA5" w:rsidRPr="002E18F4" w:rsidRDefault="00D30EA5" w:rsidP="002E18F4">
      <w:pPr>
        <w:jc w:val="center"/>
        <w:rPr>
          <w:rFonts w:ascii="Verdana" w:hAnsi="Verdana"/>
          <w:b/>
          <w:bCs/>
          <w:sz w:val="22"/>
          <w:szCs w:val="22"/>
        </w:rPr>
      </w:pPr>
      <w:r w:rsidRPr="002E18F4">
        <w:rPr>
          <w:rFonts w:ascii="Verdana" w:hAnsi="Verdana"/>
          <w:b/>
          <w:bCs/>
          <w:sz w:val="22"/>
          <w:szCs w:val="22"/>
        </w:rPr>
        <w:t>CONSIDERANDO:</w:t>
      </w:r>
    </w:p>
    <w:p w14:paraId="58DB072A" w14:textId="77777777" w:rsidR="00D30EA5" w:rsidRPr="002E18F4" w:rsidRDefault="00D30EA5" w:rsidP="002E18F4">
      <w:pPr>
        <w:pStyle w:val="Prrafodelista"/>
        <w:numPr>
          <w:ilvl w:val="0"/>
          <w:numId w:val="1"/>
        </w:numPr>
        <w:rPr>
          <w:rFonts w:ascii="Verdana" w:hAnsi="Verdana"/>
          <w:sz w:val="22"/>
          <w:szCs w:val="22"/>
        </w:rPr>
      </w:pPr>
      <w:r w:rsidRPr="002E18F4">
        <w:rPr>
          <w:rFonts w:ascii="Verdana" w:hAnsi="Verdana"/>
          <w:sz w:val="22"/>
          <w:szCs w:val="22"/>
        </w:rPr>
        <w:t>Que se hace necesario modificar y adicionar el numeral “2.4.2.2 Entes Internacionales” del Lineamiento Técnico del Programa de Adopciones aprobado mediante Resolución número 2310 del 19 de septiembre de 2007, en los aspectos relacionados con los requisitos financieros.</w:t>
      </w:r>
    </w:p>
    <w:p w14:paraId="7CDF7BA2" w14:textId="77777777" w:rsidR="00D30EA5" w:rsidRPr="002E18F4" w:rsidRDefault="00D30EA5" w:rsidP="002E18F4">
      <w:pPr>
        <w:pStyle w:val="Prrafodelista"/>
        <w:numPr>
          <w:ilvl w:val="0"/>
          <w:numId w:val="1"/>
        </w:numPr>
        <w:rPr>
          <w:rFonts w:ascii="Verdana" w:hAnsi="Verdana"/>
          <w:sz w:val="22"/>
          <w:szCs w:val="22"/>
        </w:rPr>
      </w:pPr>
      <w:proofErr w:type="gramStart"/>
      <w:r w:rsidRPr="002E18F4">
        <w:rPr>
          <w:rFonts w:ascii="Verdana" w:hAnsi="Verdana"/>
          <w:sz w:val="22"/>
          <w:szCs w:val="22"/>
        </w:rPr>
        <w:t>Que</w:t>
      </w:r>
      <w:proofErr w:type="gramEnd"/>
      <w:r w:rsidRPr="002E18F4">
        <w:rPr>
          <w:rFonts w:ascii="Verdana" w:hAnsi="Verdana"/>
          <w:sz w:val="22"/>
          <w:szCs w:val="22"/>
        </w:rPr>
        <w:t xml:space="preserve"> en mérito de lo expuesto,</w:t>
      </w:r>
    </w:p>
    <w:p w14:paraId="4F531E48" w14:textId="77777777" w:rsidR="00D30EA5" w:rsidRPr="002E18F4" w:rsidRDefault="00D30EA5" w:rsidP="002E18F4">
      <w:pPr>
        <w:jc w:val="center"/>
        <w:rPr>
          <w:rFonts w:ascii="Verdana" w:hAnsi="Verdana"/>
          <w:b/>
          <w:bCs/>
          <w:sz w:val="22"/>
          <w:szCs w:val="22"/>
        </w:rPr>
      </w:pPr>
      <w:r w:rsidRPr="002E18F4">
        <w:rPr>
          <w:rFonts w:ascii="Verdana" w:hAnsi="Verdana"/>
          <w:b/>
          <w:bCs/>
          <w:sz w:val="22"/>
          <w:szCs w:val="22"/>
        </w:rPr>
        <w:t>RESUELVE:</w:t>
      </w:r>
    </w:p>
    <w:p w14:paraId="7E0A5A4B" w14:textId="77777777" w:rsidR="00D30EA5" w:rsidRPr="00A233D5" w:rsidRDefault="00D30EA5" w:rsidP="00A233D5">
      <w:pPr>
        <w:rPr>
          <w:rFonts w:ascii="Verdana" w:hAnsi="Verdana"/>
          <w:sz w:val="22"/>
          <w:szCs w:val="22"/>
        </w:rPr>
      </w:pPr>
      <w:r w:rsidRPr="002E18F4">
        <w:rPr>
          <w:rFonts w:ascii="Verdana" w:hAnsi="Verdana"/>
          <w:b/>
          <w:bCs/>
          <w:sz w:val="22"/>
          <w:szCs w:val="22"/>
        </w:rPr>
        <w:t>ARTÍCULO 1o.</w:t>
      </w:r>
      <w:r w:rsidRPr="00A233D5">
        <w:rPr>
          <w:rFonts w:ascii="Verdana" w:hAnsi="Verdana"/>
          <w:sz w:val="22"/>
          <w:szCs w:val="22"/>
        </w:rPr>
        <w:t xml:space="preserve"> Modificar y adicionar el numeral “2.4.2.2 Entes Internacionales” del Lineamiento Técnico del Programa de Adopciones aprobado mediante Resolución número 2310 del 19 de septiembre de 2007, así: Modificar la segunda y tercera viñeta del subtítulo “Requisitos Financieros” y adicionar un inciso final:</w:t>
      </w:r>
    </w:p>
    <w:p w14:paraId="4DAF3363" w14:textId="77777777" w:rsidR="00D30EA5" w:rsidRPr="00A233D5" w:rsidRDefault="00D30EA5" w:rsidP="00A233D5">
      <w:pPr>
        <w:rPr>
          <w:rFonts w:ascii="Verdana" w:hAnsi="Verdana"/>
          <w:sz w:val="22"/>
          <w:szCs w:val="22"/>
        </w:rPr>
      </w:pPr>
      <w:r w:rsidRPr="00A233D5">
        <w:rPr>
          <w:rFonts w:ascii="Verdana" w:hAnsi="Verdana"/>
          <w:sz w:val="22"/>
          <w:szCs w:val="22"/>
        </w:rPr>
        <w:t>“2.4.2.2 Entes internacionales:</w:t>
      </w:r>
    </w:p>
    <w:p w14:paraId="75394532" w14:textId="77777777" w:rsidR="00D30EA5" w:rsidRPr="00A233D5" w:rsidRDefault="00D30EA5" w:rsidP="00A233D5">
      <w:pPr>
        <w:rPr>
          <w:rFonts w:ascii="Verdana" w:hAnsi="Verdana"/>
          <w:sz w:val="22"/>
          <w:szCs w:val="22"/>
        </w:rPr>
      </w:pPr>
      <w:r w:rsidRPr="00A233D5">
        <w:rPr>
          <w:rFonts w:ascii="Verdana" w:hAnsi="Verdana"/>
          <w:sz w:val="22"/>
          <w:szCs w:val="22"/>
        </w:rPr>
        <w:t>(...)</w:t>
      </w:r>
    </w:p>
    <w:p w14:paraId="44DECC4C" w14:textId="77777777" w:rsidR="00D30EA5" w:rsidRPr="00A233D5" w:rsidRDefault="00D30EA5" w:rsidP="00A233D5">
      <w:pPr>
        <w:rPr>
          <w:rFonts w:ascii="Verdana" w:hAnsi="Verdana"/>
          <w:sz w:val="22"/>
          <w:szCs w:val="22"/>
        </w:rPr>
      </w:pPr>
      <w:r w:rsidRPr="00A233D5">
        <w:rPr>
          <w:rFonts w:ascii="Verdana" w:hAnsi="Verdana"/>
          <w:sz w:val="22"/>
          <w:szCs w:val="22"/>
        </w:rPr>
        <w:t>Requisitos Financieros.</w:t>
      </w:r>
    </w:p>
    <w:p w14:paraId="50B234DF" w14:textId="1093BF45" w:rsidR="00D30EA5" w:rsidRPr="00E84D19" w:rsidRDefault="00D30EA5" w:rsidP="00E84D19">
      <w:pPr>
        <w:pStyle w:val="Prrafodelista"/>
        <w:numPr>
          <w:ilvl w:val="0"/>
          <w:numId w:val="2"/>
        </w:numPr>
        <w:rPr>
          <w:rFonts w:ascii="Verdana" w:hAnsi="Verdana"/>
          <w:sz w:val="22"/>
          <w:szCs w:val="22"/>
        </w:rPr>
      </w:pPr>
      <w:r w:rsidRPr="00E84D19">
        <w:rPr>
          <w:rFonts w:ascii="Verdana" w:hAnsi="Verdana"/>
          <w:sz w:val="22"/>
          <w:szCs w:val="22"/>
        </w:rPr>
        <w:t>(...)</w:t>
      </w:r>
    </w:p>
    <w:p w14:paraId="5FA31DAF" w14:textId="77777777" w:rsidR="00D30EA5" w:rsidRPr="00A233D5" w:rsidRDefault="00D30EA5" w:rsidP="00A233D5">
      <w:pPr>
        <w:rPr>
          <w:rFonts w:ascii="Verdana" w:hAnsi="Verdana"/>
          <w:sz w:val="22"/>
          <w:szCs w:val="22"/>
        </w:rPr>
      </w:pPr>
    </w:p>
    <w:p w14:paraId="3E1A8951" w14:textId="77777777" w:rsidR="00E84D19" w:rsidRDefault="00D30EA5" w:rsidP="00A233D5">
      <w:pPr>
        <w:pStyle w:val="Prrafodelista"/>
        <w:numPr>
          <w:ilvl w:val="0"/>
          <w:numId w:val="2"/>
        </w:numPr>
        <w:rPr>
          <w:rFonts w:ascii="Verdana" w:hAnsi="Verdana"/>
          <w:sz w:val="22"/>
          <w:szCs w:val="22"/>
        </w:rPr>
      </w:pPr>
      <w:r w:rsidRPr="00E84D19">
        <w:rPr>
          <w:rFonts w:ascii="Verdana" w:hAnsi="Verdana"/>
          <w:sz w:val="22"/>
          <w:szCs w:val="22"/>
        </w:rPr>
        <w:t xml:space="preserve">Certificación de un auditor externo en el que exprese de forma clara e inequívoca que el organismo acreditado o agencia internacional presenta </w:t>
      </w:r>
      <w:r w:rsidRPr="00E84D19">
        <w:rPr>
          <w:rFonts w:ascii="Verdana" w:hAnsi="Verdana"/>
          <w:sz w:val="22"/>
          <w:szCs w:val="22"/>
        </w:rPr>
        <w:lastRenderedPageBreak/>
        <w:t>una sólida situación económica y un sistema efectivo de control financiero interno.</w:t>
      </w:r>
    </w:p>
    <w:p w14:paraId="1B12C7AA" w14:textId="77777777" w:rsidR="00E84D19" w:rsidRPr="00E84D19" w:rsidRDefault="00E84D19" w:rsidP="00E84D19">
      <w:pPr>
        <w:pStyle w:val="Prrafodelista"/>
        <w:rPr>
          <w:rFonts w:ascii="Verdana" w:hAnsi="Verdana"/>
          <w:sz w:val="22"/>
          <w:szCs w:val="22"/>
        </w:rPr>
      </w:pPr>
    </w:p>
    <w:p w14:paraId="15D1F48C" w14:textId="77777777" w:rsidR="00E84D19" w:rsidRDefault="00D30EA5" w:rsidP="00A233D5">
      <w:pPr>
        <w:pStyle w:val="Prrafodelista"/>
        <w:numPr>
          <w:ilvl w:val="0"/>
          <w:numId w:val="2"/>
        </w:numPr>
        <w:rPr>
          <w:rFonts w:ascii="Verdana" w:hAnsi="Verdana"/>
          <w:sz w:val="22"/>
          <w:szCs w:val="22"/>
        </w:rPr>
      </w:pPr>
      <w:r w:rsidRPr="00E84D19">
        <w:rPr>
          <w:rFonts w:ascii="Verdana" w:hAnsi="Verdana"/>
          <w:sz w:val="22"/>
          <w:szCs w:val="22"/>
        </w:rPr>
        <w:t>Certificación expedida por la Autoridad Central, en donde conste que es el organismo o persona competente para ejercer funciones de Auditor Externo en el País del Organismo acreditado o Agencia Internacional y se encuentra habilitado para emitirla. En caso de que la Autoridad Central no sea competente para emitir esta certificación, bastará acompañar el registro o certificado que le permita en el correspondiente país ejercer las funciones de auditoría.</w:t>
      </w:r>
    </w:p>
    <w:p w14:paraId="329F6A3D" w14:textId="77777777" w:rsidR="00E84D19" w:rsidRPr="00E84D19" w:rsidRDefault="00E84D19" w:rsidP="00E84D19">
      <w:pPr>
        <w:pStyle w:val="Prrafodelista"/>
        <w:rPr>
          <w:rFonts w:ascii="Verdana" w:hAnsi="Verdana"/>
          <w:sz w:val="22"/>
          <w:szCs w:val="22"/>
        </w:rPr>
      </w:pPr>
    </w:p>
    <w:p w14:paraId="69D2302F" w14:textId="77777777" w:rsidR="00E84D19" w:rsidRDefault="00D30EA5" w:rsidP="00A233D5">
      <w:pPr>
        <w:pStyle w:val="Prrafodelista"/>
        <w:numPr>
          <w:ilvl w:val="0"/>
          <w:numId w:val="2"/>
        </w:numPr>
        <w:rPr>
          <w:rFonts w:ascii="Verdana" w:hAnsi="Verdana"/>
          <w:sz w:val="22"/>
          <w:szCs w:val="22"/>
        </w:rPr>
      </w:pPr>
      <w:r w:rsidRPr="00E84D19">
        <w:rPr>
          <w:rFonts w:ascii="Verdana" w:hAnsi="Verdana"/>
          <w:sz w:val="22"/>
          <w:szCs w:val="22"/>
        </w:rPr>
        <w:t>(…)</w:t>
      </w:r>
    </w:p>
    <w:p w14:paraId="3F8F6CBE" w14:textId="77777777" w:rsidR="00E84D19" w:rsidRPr="00E84D19" w:rsidRDefault="00E84D19" w:rsidP="00E84D19">
      <w:pPr>
        <w:pStyle w:val="Prrafodelista"/>
        <w:rPr>
          <w:rFonts w:ascii="Verdana" w:hAnsi="Verdana"/>
          <w:sz w:val="22"/>
          <w:szCs w:val="22"/>
        </w:rPr>
      </w:pPr>
    </w:p>
    <w:p w14:paraId="1FF99799" w14:textId="61ADA1E1" w:rsidR="00D30EA5" w:rsidRPr="00A233D5" w:rsidRDefault="00D30EA5" w:rsidP="00A233D5">
      <w:pPr>
        <w:rPr>
          <w:rFonts w:ascii="Verdana" w:hAnsi="Verdana"/>
          <w:sz w:val="22"/>
          <w:szCs w:val="22"/>
        </w:rPr>
      </w:pPr>
      <w:r w:rsidRPr="00E84D19">
        <w:rPr>
          <w:rFonts w:ascii="Verdana" w:hAnsi="Verdana"/>
          <w:sz w:val="22"/>
          <w:szCs w:val="22"/>
        </w:rPr>
        <w:t>Lo anterior sin perjuicio de otras pruebas que con el propósito de acreditar las condiciones a que se refiere el presente subtítulo, puedan presentar los organismos acreditados y agencias internacionales.</w:t>
      </w:r>
    </w:p>
    <w:p w14:paraId="4E04E752" w14:textId="00158D78" w:rsidR="00D30EA5" w:rsidRPr="00A233D5" w:rsidRDefault="00D30EA5" w:rsidP="00A233D5">
      <w:pPr>
        <w:rPr>
          <w:rFonts w:ascii="Verdana" w:hAnsi="Verdana"/>
          <w:sz w:val="22"/>
          <w:szCs w:val="22"/>
        </w:rPr>
      </w:pPr>
      <w:r w:rsidRPr="00E84D19">
        <w:rPr>
          <w:rFonts w:ascii="Verdana" w:hAnsi="Verdana"/>
          <w:b/>
          <w:bCs/>
          <w:sz w:val="22"/>
          <w:szCs w:val="22"/>
        </w:rPr>
        <w:t>ARTÍCULO 2o. VIGENCIA</w:t>
      </w:r>
      <w:r w:rsidRPr="00A233D5">
        <w:rPr>
          <w:rFonts w:ascii="Verdana" w:hAnsi="Verdana"/>
          <w:sz w:val="22"/>
          <w:szCs w:val="22"/>
        </w:rPr>
        <w:t>. La presente resolución rige a partir de la fecha de su publicación.</w:t>
      </w:r>
    </w:p>
    <w:p w14:paraId="2D2B1A2B" w14:textId="6348F932" w:rsidR="00D30EA5" w:rsidRPr="00FA5069" w:rsidRDefault="00FA5069" w:rsidP="00FA5069">
      <w:pPr>
        <w:jc w:val="center"/>
        <w:rPr>
          <w:rFonts w:ascii="Verdana" w:hAnsi="Verdana"/>
          <w:b/>
          <w:bCs/>
          <w:sz w:val="22"/>
          <w:szCs w:val="22"/>
        </w:rPr>
      </w:pPr>
      <w:r w:rsidRPr="00FA5069">
        <w:rPr>
          <w:rFonts w:ascii="Verdana" w:hAnsi="Verdana"/>
          <w:b/>
          <w:bCs/>
          <w:sz w:val="22"/>
          <w:szCs w:val="22"/>
        </w:rPr>
        <w:t>PUBLÍQUESE, COMUNÍQUESE Y CÚMPLASE,</w:t>
      </w:r>
    </w:p>
    <w:p w14:paraId="7BEA9971" w14:textId="19E97434" w:rsidR="00D30EA5" w:rsidRPr="00A233D5" w:rsidRDefault="00D30EA5" w:rsidP="00FA5069">
      <w:pPr>
        <w:jc w:val="center"/>
        <w:rPr>
          <w:rFonts w:ascii="Verdana" w:hAnsi="Verdana"/>
          <w:sz w:val="22"/>
          <w:szCs w:val="22"/>
        </w:rPr>
      </w:pPr>
      <w:r w:rsidRPr="00A233D5">
        <w:rPr>
          <w:rFonts w:ascii="Verdana" w:hAnsi="Verdana"/>
          <w:sz w:val="22"/>
          <w:szCs w:val="22"/>
        </w:rPr>
        <w:t xml:space="preserve">Dada en Bogotá, D. C., a </w:t>
      </w:r>
      <w:r w:rsidR="00FA5069">
        <w:rPr>
          <w:rFonts w:ascii="Verdana" w:hAnsi="Verdana"/>
          <w:sz w:val="22"/>
          <w:szCs w:val="22"/>
        </w:rPr>
        <w:t xml:space="preserve">los </w:t>
      </w:r>
      <w:r w:rsidRPr="00A233D5">
        <w:rPr>
          <w:rFonts w:ascii="Verdana" w:hAnsi="Verdana"/>
          <w:sz w:val="22"/>
          <w:szCs w:val="22"/>
        </w:rPr>
        <w:t xml:space="preserve">4 </w:t>
      </w:r>
      <w:r w:rsidR="00FA5069">
        <w:rPr>
          <w:rFonts w:ascii="Verdana" w:hAnsi="Verdana"/>
          <w:sz w:val="22"/>
          <w:szCs w:val="22"/>
        </w:rPr>
        <w:t xml:space="preserve">días del mes de </w:t>
      </w:r>
      <w:r w:rsidRPr="00A233D5">
        <w:rPr>
          <w:rFonts w:ascii="Verdana" w:hAnsi="Verdana"/>
          <w:sz w:val="22"/>
          <w:szCs w:val="22"/>
        </w:rPr>
        <w:t>diciembre de 2009.</w:t>
      </w:r>
    </w:p>
    <w:p w14:paraId="6AF6BBEC" w14:textId="018CD660" w:rsidR="00D30EA5" w:rsidRPr="00FA5069" w:rsidRDefault="00D30EA5" w:rsidP="00FA5069">
      <w:pPr>
        <w:jc w:val="center"/>
        <w:rPr>
          <w:rFonts w:ascii="Verdana" w:hAnsi="Verdana"/>
          <w:b/>
          <w:bCs/>
          <w:sz w:val="22"/>
          <w:szCs w:val="22"/>
        </w:rPr>
      </w:pPr>
      <w:r w:rsidRPr="00FA5069">
        <w:rPr>
          <w:rFonts w:ascii="Verdana" w:hAnsi="Verdana"/>
          <w:b/>
          <w:bCs/>
          <w:sz w:val="22"/>
          <w:szCs w:val="22"/>
        </w:rPr>
        <w:t>ROSA MARÍA NAVARRO ORDÓÑEZ</w:t>
      </w:r>
      <w:r w:rsidR="00FA5069" w:rsidRPr="00FA5069">
        <w:rPr>
          <w:rFonts w:ascii="Verdana" w:hAnsi="Verdana"/>
          <w:b/>
          <w:bCs/>
          <w:sz w:val="22"/>
          <w:szCs w:val="22"/>
        </w:rPr>
        <w:t>,</w:t>
      </w:r>
    </w:p>
    <w:p w14:paraId="118463BB" w14:textId="77777777" w:rsidR="00FA5069" w:rsidRPr="00A233D5" w:rsidRDefault="00FA5069" w:rsidP="00FA5069">
      <w:pPr>
        <w:jc w:val="center"/>
        <w:rPr>
          <w:rFonts w:ascii="Verdana" w:hAnsi="Verdana"/>
          <w:sz w:val="22"/>
          <w:szCs w:val="22"/>
        </w:rPr>
      </w:pPr>
      <w:r w:rsidRPr="00A233D5">
        <w:rPr>
          <w:rFonts w:ascii="Verdana" w:hAnsi="Verdana"/>
          <w:sz w:val="22"/>
          <w:szCs w:val="22"/>
        </w:rPr>
        <w:t>LA SECRETARIA GENERAL ENCARGADA DE LAS FUNCIONES DE DIRECTORA GENERAL</w:t>
      </w:r>
    </w:p>
    <w:p w14:paraId="1FDF3206" w14:textId="77777777" w:rsidR="00FA5069" w:rsidRPr="00A233D5" w:rsidRDefault="00FA5069" w:rsidP="00A233D5">
      <w:pPr>
        <w:rPr>
          <w:rFonts w:ascii="Verdana" w:hAnsi="Verdana"/>
          <w:sz w:val="22"/>
          <w:szCs w:val="22"/>
        </w:rPr>
      </w:pPr>
    </w:p>
    <w:sectPr w:rsidR="00FA5069" w:rsidRPr="00A233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FED"/>
    <w:multiLevelType w:val="hybridMultilevel"/>
    <w:tmpl w:val="1DCC8D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F4569A"/>
    <w:multiLevelType w:val="hybridMultilevel"/>
    <w:tmpl w:val="C590CFA0"/>
    <w:lvl w:ilvl="0" w:tplc="17D2457A">
      <w:start w:val="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12877795">
    <w:abstractNumId w:val="0"/>
  </w:num>
  <w:num w:numId="2" w16cid:durableId="1544829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D4"/>
    <w:rsid w:val="00015D2A"/>
    <w:rsid w:val="002B621D"/>
    <w:rsid w:val="002E18F4"/>
    <w:rsid w:val="00490B89"/>
    <w:rsid w:val="00550F5C"/>
    <w:rsid w:val="00750FD4"/>
    <w:rsid w:val="007C2EAF"/>
    <w:rsid w:val="008559AD"/>
    <w:rsid w:val="0088588F"/>
    <w:rsid w:val="009F129F"/>
    <w:rsid w:val="00A233D5"/>
    <w:rsid w:val="00A577F8"/>
    <w:rsid w:val="00B20857"/>
    <w:rsid w:val="00B71795"/>
    <w:rsid w:val="00C95F9D"/>
    <w:rsid w:val="00D30EA5"/>
    <w:rsid w:val="00E84D19"/>
    <w:rsid w:val="00FA50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2DBC"/>
  <w15:chartTrackingRefBased/>
  <w15:docId w15:val="{81EE392E-2608-44DF-879A-9CDA6932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0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0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0F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0F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50FD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50F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50FD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50FD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50FD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F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0F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0FD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0FD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50FD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50FD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50FD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50FD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50FD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50FD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F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0F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0FD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50FD4"/>
    <w:pPr>
      <w:spacing w:before="160"/>
      <w:jc w:val="center"/>
    </w:pPr>
    <w:rPr>
      <w:i/>
      <w:iCs/>
      <w:color w:val="404040" w:themeColor="text1" w:themeTint="BF"/>
    </w:rPr>
  </w:style>
  <w:style w:type="character" w:customStyle="1" w:styleId="CitaCar">
    <w:name w:val="Cita Car"/>
    <w:basedOn w:val="Fuentedeprrafopredeter"/>
    <w:link w:val="Cita"/>
    <w:uiPriority w:val="29"/>
    <w:rsid w:val="00750FD4"/>
    <w:rPr>
      <w:i/>
      <w:iCs/>
      <w:color w:val="404040" w:themeColor="text1" w:themeTint="BF"/>
    </w:rPr>
  </w:style>
  <w:style w:type="paragraph" w:styleId="Prrafodelista">
    <w:name w:val="List Paragraph"/>
    <w:basedOn w:val="Normal"/>
    <w:uiPriority w:val="34"/>
    <w:qFormat/>
    <w:rsid w:val="00750FD4"/>
    <w:pPr>
      <w:ind w:left="720"/>
      <w:contextualSpacing/>
    </w:pPr>
  </w:style>
  <w:style w:type="character" w:styleId="nfasisintenso">
    <w:name w:val="Intense Emphasis"/>
    <w:basedOn w:val="Fuentedeprrafopredeter"/>
    <w:uiPriority w:val="21"/>
    <w:qFormat/>
    <w:rsid w:val="00750FD4"/>
    <w:rPr>
      <w:i/>
      <w:iCs/>
      <w:color w:val="0F4761" w:themeColor="accent1" w:themeShade="BF"/>
    </w:rPr>
  </w:style>
  <w:style w:type="paragraph" w:styleId="Citadestacada">
    <w:name w:val="Intense Quote"/>
    <w:basedOn w:val="Normal"/>
    <w:next w:val="Normal"/>
    <w:link w:val="CitadestacadaCar"/>
    <w:uiPriority w:val="30"/>
    <w:qFormat/>
    <w:rsid w:val="00750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0FD4"/>
    <w:rPr>
      <w:i/>
      <w:iCs/>
      <w:color w:val="0F4761" w:themeColor="accent1" w:themeShade="BF"/>
    </w:rPr>
  </w:style>
  <w:style w:type="character" w:styleId="Referenciaintensa">
    <w:name w:val="Intense Reference"/>
    <w:basedOn w:val="Fuentedeprrafopredeter"/>
    <w:uiPriority w:val="32"/>
    <w:qFormat/>
    <w:rsid w:val="00750FD4"/>
    <w:rPr>
      <w:b/>
      <w:bCs/>
      <w:smallCaps/>
      <w:color w:val="0F4761" w:themeColor="accent1" w:themeShade="BF"/>
      <w:spacing w:val="5"/>
    </w:rPr>
  </w:style>
  <w:style w:type="table" w:styleId="Tablaconcuadrcula">
    <w:name w:val="Table Grid"/>
    <w:basedOn w:val="Tablanormal"/>
    <w:uiPriority w:val="39"/>
    <w:rsid w:val="00D30E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95F9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BE7FF-6CBC-4AB7-82FD-CC893EA49A29}"/>
</file>

<file path=customXml/itemProps2.xml><?xml version="1.0" encoding="utf-8"?>
<ds:datastoreItem xmlns:ds="http://schemas.openxmlformats.org/officeDocument/2006/customXml" ds:itemID="{3FE7D09E-0FB4-44AA-844F-4B8D9DA7C44D}"/>
</file>

<file path=customXml/itemProps3.xml><?xml version="1.0" encoding="utf-8"?>
<ds:datastoreItem xmlns:ds="http://schemas.openxmlformats.org/officeDocument/2006/customXml" ds:itemID="{5D1FEB1B-6655-4855-91DC-D124BBDA8C07}"/>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2339</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2025-12-02T14:50:00Z</dcterms:created>
  <dcterms:modified xsi:type="dcterms:W3CDTF">2026-01-23T14:11:00Z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