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1A540" w14:textId="77777777" w:rsidR="00BA6DEA" w:rsidRPr="004D6D42" w:rsidRDefault="00BA6DEA" w:rsidP="00BA6DEA">
      <w:pPr>
        <w:rPr>
          <w:rFonts w:ascii="Verdana" w:hAnsi="Verdana"/>
          <w:sz w:val="22"/>
          <w:szCs w:val="22"/>
        </w:rPr>
      </w:pPr>
    </w:p>
    <w:p w14:paraId="47EE431E" w14:textId="3CAEAC14" w:rsidR="00BA6DEA" w:rsidRPr="00BA6DEA" w:rsidRDefault="00BA6DEA" w:rsidP="00BA6DEA">
      <w:pPr>
        <w:jc w:val="center"/>
        <w:rPr>
          <w:rFonts w:ascii="Verdana" w:hAnsi="Verdana"/>
          <w:b/>
          <w:bCs/>
          <w:sz w:val="22"/>
          <w:szCs w:val="22"/>
        </w:rPr>
      </w:pPr>
      <w:r w:rsidRPr="00E64D65">
        <w:rPr>
          <w:rFonts w:ascii="Verdana" w:hAnsi="Verdana"/>
          <w:b/>
          <w:bCs/>
          <w:sz w:val="22"/>
          <w:szCs w:val="22"/>
        </w:rPr>
        <w:t>RESOLUCIÓN 5370 DE 2011</w:t>
      </w:r>
    </w:p>
    <w:p w14:paraId="5FDA56C9" w14:textId="77777777" w:rsidR="00435640" w:rsidRPr="00435640" w:rsidRDefault="00435640" w:rsidP="00435640">
      <w:pPr>
        <w:pStyle w:val="Sinespaciado"/>
        <w:rPr>
          <w:rFonts w:ascii="Verdana" w:hAnsi="Verdana"/>
          <w:sz w:val="20"/>
          <w:szCs w:val="20"/>
        </w:rPr>
      </w:pPr>
      <w:r w:rsidRPr="00435640">
        <w:rPr>
          <w:rFonts w:ascii="Verdana" w:hAnsi="Verdana"/>
          <w:sz w:val="20"/>
          <w:szCs w:val="20"/>
        </w:rPr>
        <w:t>Fecha de Expedición: 1 de diciembre de 2011</w:t>
      </w:r>
    </w:p>
    <w:p w14:paraId="564036B5" w14:textId="77777777" w:rsidR="00435640" w:rsidRPr="00435640" w:rsidRDefault="00435640" w:rsidP="00435640">
      <w:pPr>
        <w:pStyle w:val="Sinespaciado"/>
        <w:rPr>
          <w:rFonts w:ascii="Verdana" w:hAnsi="Verdana"/>
          <w:sz w:val="20"/>
          <w:szCs w:val="20"/>
        </w:rPr>
      </w:pPr>
      <w:r w:rsidRPr="00435640">
        <w:rPr>
          <w:rFonts w:ascii="Verdana" w:hAnsi="Verdana"/>
          <w:sz w:val="20"/>
          <w:szCs w:val="20"/>
        </w:rPr>
        <w:t>Fecha de entrada en vigencia: 20 de diciembre de 2011</w:t>
      </w:r>
    </w:p>
    <w:p w14:paraId="2219F3A0" w14:textId="77777777" w:rsidR="00435640" w:rsidRDefault="00435640" w:rsidP="00435640">
      <w:pPr>
        <w:pStyle w:val="Sinespaciado"/>
        <w:rPr>
          <w:rFonts w:ascii="Verdana" w:hAnsi="Verdana"/>
          <w:sz w:val="20"/>
          <w:szCs w:val="20"/>
        </w:rPr>
      </w:pPr>
      <w:r w:rsidRPr="00435640">
        <w:rPr>
          <w:rFonts w:ascii="Verdana" w:hAnsi="Verdana"/>
          <w:sz w:val="20"/>
          <w:szCs w:val="20"/>
        </w:rPr>
        <w:t>Estado de la vigencia: derogada por el artículo 10 de la Resolución 1299 de 2013</w:t>
      </w:r>
      <w:r w:rsidRPr="00435640">
        <w:rPr>
          <w:rFonts w:ascii="Verdana" w:hAnsi="Verdana"/>
          <w:sz w:val="20"/>
          <w:szCs w:val="20"/>
        </w:rPr>
        <w:tab/>
      </w:r>
    </w:p>
    <w:p w14:paraId="28DF5C19" w14:textId="77777777" w:rsidR="00435640" w:rsidRDefault="00435640" w:rsidP="00435640">
      <w:pPr>
        <w:pStyle w:val="Sinespaciado"/>
        <w:rPr>
          <w:rFonts w:ascii="Verdana" w:hAnsi="Verdana"/>
          <w:sz w:val="20"/>
          <w:szCs w:val="20"/>
        </w:rPr>
      </w:pPr>
    </w:p>
    <w:p w14:paraId="787FA7D9" w14:textId="58A40EF9" w:rsidR="00435640" w:rsidRPr="00435640" w:rsidRDefault="00435640" w:rsidP="00435640">
      <w:pPr>
        <w:pStyle w:val="Sinespaciado"/>
        <w:rPr>
          <w:rFonts w:ascii="Verdana" w:hAnsi="Verdana"/>
          <w:sz w:val="20"/>
          <w:szCs w:val="20"/>
        </w:rPr>
      </w:pPr>
      <w:r w:rsidRPr="00435640">
        <w:rPr>
          <w:rFonts w:ascii="Verdana" w:hAnsi="Verdana"/>
          <w:sz w:val="20"/>
          <w:szCs w:val="20"/>
        </w:rPr>
        <w:t>Fecha de publicación en Diario Oficial: 20 de diciembre de 2011</w:t>
      </w:r>
    </w:p>
    <w:p w14:paraId="390BBF75" w14:textId="545737D3" w:rsidR="0088588F" w:rsidRDefault="00435640" w:rsidP="00435640">
      <w:pPr>
        <w:pStyle w:val="Sinespaciado"/>
        <w:rPr>
          <w:rFonts w:ascii="Verdana" w:hAnsi="Verdana"/>
          <w:sz w:val="20"/>
          <w:szCs w:val="20"/>
        </w:rPr>
      </w:pPr>
      <w:r w:rsidRPr="00435640">
        <w:rPr>
          <w:rFonts w:ascii="Verdana" w:hAnsi="Verdana"/>
          <w:sz w:val="20"/>
          <w:szCs w:val="20"/>
        </w:rPr>
        <w:t>Número del Diario Oficial: 48.289</w:t>
      </w:r>
    </w:p>
    <w:p w14:paraId="3D14CD71" w14:textId="77777777" w:rsidR="00435640" w:rsidRPr="00435640" w:rsidRDefault="00435640" w:rsidP="00435640">
      <w:pPr>
        <w:pStyle w:val="Sinespaciado"/>
        <w:rPr>
          <w:rFonts w:ascii="Verdana" w:hAnsi="Verdana"/>
          <w:sz w:val="20"/>
          <w:szCs w:val="20"/>
        </w:rPr>
      </w:pPr>
    </w:p>
    <w:p w14:paraId="17425C4A" w14:textId="62D94990" w:rsidR="004D6D42" w:rsidRPr="00E64D65" w:rsidRDefault="004D6D42" w:rsidP="00E64D65">
      <w:pPr>
        <w:jc w:val="center"/>
        <w:rPr>
          <w:rFonts w:ascii="Verdana" w:hAnsi="Verdana"/>
          <w:b/>
          <w:bCs/>
          <w:sz w:val="22"/>
          <w:szCs w:val="22"/>
        </w:rPr>
      </w:pPr>
      <w:r w:rsidRPr="00E64D65">
        <w:rPr>
          <w:rFonts w:ascii="Verdana" w:hAnsi="Verdana"/>
          <w:b/>
          <w:bCs/>
          <w:sz w:val="22"/>
          <w:szCs w:val="22"/>
        </w:rPr>
        <w:t>RESOLUCIÓN 5370 DE 2011</w:t>
      </w:r>
    </w:p>
    <w:p w14:paraId="158D310F" w14:textId="17BFF3E7" w:rsidR="004D6D42" w:rsidRPr="00E64D65" w:rsidRDefault="004D6D42" w:rsidP="00E64D65">
      <w:pPr>
        <w:jc w:val="center"/>
        <w:rPr>
          <w:rFonts w:ascii="Verdana" w:hAnsi="Verdana"/>
          <w:b/>
          <w:bCs/>
          <w:sz w:val="22"/>
          <w:szCs w:val="22"/>
        </w:rPr>
      </w:pPr>
      <w:r w:rsidRPr="00E64D65">
        <w:rPr>
          <w:rFonts w:ascii="Verdana" w:hAnsi="Verdana"/>
          <w:b/>
          <w:bCs/>
          <w:sz w:val="22"/>
          <w:szCs w:val="22"/>
        </w:rPr>
        <w:t>(</w:t>
      </w:r>
      <w:r w:rsidR="00E64D65" w:rsidRPr="00E64D65">
        <w:rPr>
          <w:rFonts w:ascii="Verdana" w:hAnsi="Verdana"/>
          <w:b/>
          <w:bCs/>
          <w:sz w:val="22"/>
          <w:szCs w:val="22"/>
        </w:rPr>
        <w:t>1 de diciembre)</w:t>
      </w:r>
    </w:p>
    <w:p w14:paraId="7A9293DF" w14:textId="7510D3BA" w:rsidR="004D6D42" w:rsidRPr="00E64D65" w:rsidRDefault="004D6D42" w:rsidP="00E64D65">
      <w:pPr>
        <w:jc w:val="center"/>
        <w:rPr>
          <w:rFonts w:ascii="Verdana" w:hAnsi="Verdana"/>
          <w:b/>
          <w:bCs/>
          <w:sz w:val="22"/>
          <w:szCs w:val="22"/>
        </w:rPr>
      </w:pPr>
      <w:r w:rsidRPr="00E64D65">
        <w:rPr>
          <w:rFonts w:ascii="Verdana" w:hAnsi="Verdana"/>
          <w:b/>
          <w:bCs/>
          <w:sz w:val="22"/>
          <w:szCs w:val="22"/>
        </w:rPr>
        <w:t>INSTITUTO COLOMBIANO DE BIENESTAR FAMILIAR</w:t>
      </w:r>
    </w:p>
    <w:p w14:paraId="7E9BA34B" w14:textId="472CF063" w:rsidR="004D6D42" w:rsidRPr="004D6D42" w:rsidRDefault="00E64D65" w:rsidP="00E64D65">
      <w:pPr>
        <w:jc w:val="center"/>
        <w:rPr>
          <w:rFonts w:ascii="Verdana" w:hAnsi="Verdana"/>
          <w:sz w:val="22"/>
          <w:szCs w:val="22"/>
        </w:rPr>
      </w:pPr>
      <w:r>
        <w:rPr>
          <w:rFonts w:ascii="Verdana" w:hAnsi="Verdana"/>
          <w:sz w:val="22"/>
          <w:szCs w:val="22"/>
        </w:rPr>
        <w:t>“</w:t>
      </w:r>
      <w:r w:rsidR="004D6D42" w:rsidRPr="004D6D42">
        <w:rPr>
          <w:rFonts w:ascii="Verdana" w:hAnsi="Verdana"/>
          <w:sz w:val="22"/>
          <w:szCs w:val="22"/>
        </w:rPr>
        <w:t>Por la cual se implementa el Sistema de Seguimiento y Monitoreo al Programa de Alimentación Escolar, SEMPAE</w:t>
      </w:r>
      <w:r>
        <w:rPr>
          <w:rFonts w:ascii="Verdana" w:hAnsi="Verdana"/>
          <w:sz w:val="22"/>
          <w:szCs w:val="22"/>
        </w:rPr>
        <w:t>”</w:t>
      </w:r>
    </w:p>
    <w:p w14:paraId="7933898F" w14:textId="77777777" w:rsidR="004D6D42" w:rsidRPr="00E64D65" w:rsidRDefault="004D6D42" w:rsidP="00E64D65">
      <w:pPr>
        <w:jc w:val="center"/>
        <w:rPr>
          <w:rFonts w:ascii="Verdana" w:hAnsi="Verdana"/>
          <w:b/>
          <w:bCs/>
          <w:sz w:val="22"/>
          <w:szCs w:val="22"/>
        </w:rPr>
      </w:pPr>
      <w:r w:rsidRPr="00E64D65">
        <w:rPr>
          <w:rFonts w:ascii="Verdana" w:hAnsi="Verdana"/>
          <w:b/>
          <w:bCs/>
          <w:sz w:val="22"/>
          <w:szCs w:val="22"/>
        </w:rPr>
        <w:t>EL DIRECTOR GENERAL DEL INSTITUTO COLOMBIANO DE BIENESTAR FAMILIAR CECILIA DE LA FUENTE DE LLERAS,</w:t>
      </w:r>
    </w:p>
    <w:p w14:paraId="0FDAB6D7" w14:textId="3DD8B576" w:rsidR="004D6D42" w:rsidRPr="004D6D42" w:rsidRDefault="004D6D42" w:rsidP="00E64D65">
      <w:pPr>
        <w:jc w:val="center"/>
        <w:rPr>
          <w:rFonts w:ascii="Verdana" w:hAnsi="Verdana"/>
          <w:sz w:val="22"/>
          <w:szCs w:val="22"/>
        </w:rPr>
      </w:pPr>
      <w:r w:rsidRPr="004D6D42">
        <w:rPr>
          <w:rFonts w:ascii="Verdana" w:hAnsi="Verdana"/>
          <w:sz w:val="22"/>
          <w:szCs w:val="22"/>
        </w:rPr>
        <w:t>en uso de sus facultades legales y estatutarias, en especial las conferidas en el artículo 78 de la Ley 489 de 1998 y el inciso 3o del parágrafo del artículo 16 de la Ley 1176 de 2007, y</w:t>
      </w:r>
    </w:p>
    <w:p w14:paraId="54A4FCB1" w14:textId="77777777" w:rsidR="004D6D42" w:rsidRPr="00E64D65" w:rsidRDefault="004D6D42" w:rsidP="00E64D65">
      <w:pPr>
        <w:jc w:val="center"/>
        <w:rPr>
          <w:rFonts w:ascii="Verdana" w:hAnsi="Verdana"/>
          <w:b/>
          <w:bCs/>
          <w:sz w:val="22"/>
          <w:szCs w:val="22"/>
        </w:rPr>
      </w:pPr>
      <w:r w:rsidRPr="00E64D65">
        <w:rPr>
          <w:rFonts w:ascii="Verdana" w:hAnsi="Verdana"/>
          <w:b/>
          <w:bCs/>
          <w:sz w:val="22"/>
          <w:szCs w:val="22"/>
        </w:rPr>
        <w:t>CONSIDERANDO:</w:t>
      </w:r>
    </w:p>
    <w:p w14:paraId="21801205" w14:textId="77777777" w:rsidR="00E64D65" w:rsidRDefault="004D6D42" w:rsidP="004D6D42">
      <w:pPr>
        <w:pStyle w:val="Prrafodelista"/>
        <w:numPr>
          <w:ilvl w:val="0"/>
          <w:numId w:val="1"/>
        </w:numPr>
        <w:rPr>
          <w:rFonts w:ascii="Verdana" w:hAnsi="Verdana"/>
          <w:sz w:val="22"/>
          <w:szCs w:val="22"/>
        </w:rPr>
      </w:pPr>
      <w:r w:rsidRPr="00E64D65">
        <w:rPr>
          <w:rFonts w:ascii="Verdana" w:hAnsi="Verdana"/>
          <w:sz w:val="22"/>
          <w:szCs w:val="22"/>
        </w:rPr>
        <w:t>Que el inciso 3o del parágrafo del artículo 16 de la Ley 1176 de 2007, señala que “El ICBF implementará a partir del año de 2009 un sistema de seguimiento y monitoreo a los recursos destinados a alimentación escolar en los establecimientos educativos oficiales en el país, que contemple las diferentes fuentes, con el fin de monitorear las coberturas alcanzadas y la eficiencia en el uso de los recursos de programa. Los entes territoriales y demás agentes deberán reportar la información que para el efecto se defina en los plazos y formatos que establezcan según reglamentación que expida el Gobierno Nacional'.</w:t>
      </w:r>
    </w:p>
    <w:p w14:paraId="7EF12AC1" w14:textId="77777777" w:rsidR="00E64D65" w:rsidRDefault="004D6D42" w:rsidP="004D6D42">
      <w:pPr>
        <w:pStyle w:val="Prrafodelista"/>
        <w:numPr>
          <w:ilvl w:val="0"/>
          <w:numId w:val="1"/>
        </w:numPr>
        <w:rPr>
          <w:rFonts w:ascii="Verdana" w:hAnsi="Verdana"/>
          <w:sz w:val="22"/>
          <w:szCs w:val="22"/>
        </w:rPr>
      </w:pPr>
      <w:r w:rsidRPr="00E64D65">
        <w:rPr>
          <w:rFonts w:ascii="Verdana" w:hAnsi="Verdana"/>
          <w:sz w:val="22"/>
          <w:szCs w:val="22"/>
        </w:rPr>
        <w:t>Que los artículos 17 y 18 de la ley citada en el anterior considerando determinan respectivamente, los criterios de distribución de los recursos de alimentación escolar y su destinación.</w:t>
      </w:r>
    </w:p>
    <w:p w14:paraId="493115BC" w14:textId="77777777" w:rsidR="00E64D65" w:rsidRDefault="004D6D42" w:rsidP="004D6D42">
      <w:pPr>
        <w:pStyle w:val="Prrafodelista"/>
        <w:numPr>
          <w:ilvl w:val="0"/>
          <w:numId w:val="1"/>
        </w:numPr>
        <w:rPr>
          <w:rFonts w:ascii="Verdana" w:hAnsi="Verdana"/>
          <w:sz w:val="22"/>
          <w:szCs w:val="22"/>
        </w:rPr>
      </w:pPr>
      <w:r w:rsidRPr="00E64D65">
        <w:rPr>
          <w:rFonts w:ascii="Verdana" w:hAnsi="Verdana"/>
          <w:sz w:val="22"/>
          <w:szCs w:val="22"/>
        </w:rPr>
        <w:t>Que el Programa de Alimentación Escolar, PAE, de conformidad con lo establecido en el inciso 1o del artículo 16 de la ley en comento, se financiará con recursos de diferentes fuentes y “Para el efecto, las entidades territoriales seguirán y aplicarán, en primer término los lineamientos técnico-administrativos básicos respecto de la complementación alimentaria, los estándares de alimentación, de planta física, de equipo y menaje y de recurso humano, y las condiciones para la prestación del servicio, que establezca el Instituto Colombiano de Bienestar Familiar (ICBF), para el desarrollo del programa. Adicionalmente, considerarán los lineamientos previstos en sus planes de desarrollo”.</w:t>
      </w:r>
    </w:p>
    <w:p w14:paraId="4AF4301E" w14:textId="77777777" w:rsidR="00E64D65" w:rsidRDefault="004D6D42" w:rsidP="004D6D42">
      <w:pPr>
        <w:pStyle w:val="Prrafodelista"/>
        <w:numPr>
          <w:ilvl w:val="0"/>
          <w:numId w:val="1"/>
        </w:numPr>
        <w:rPr>
          <w:rFonts w:ascii="Verdana" w:hAnsi="Verdana"/>
          <w:sz w:val="22"/>
          <w:szCs w:val="22"/>
        </w:rPr>
      </w:pPr>
      <w:r w:rsidRPr="00E64D65">
        <w:rPr>
          <w:rFonts w:ascii="Verdana" w:hAnsi="Verdana"/>
          <w:sz w:val="22"/>
          <w:szCs w:val="22"/>
        </w:rPr>
        <w:lastRenderedPageBreak/>
        <w:t>Que teniendo en cuenta las reiteradas solicitudes de información que realizan las entidades del orden nacional a las entidades territoriales, de naturaleza financiera, económica y social, y en cumplimiento de lo ordenado en el inciso 3o del parágrafo del artículo 16 de la Ley 1176 de 2007, se hace necesario implementar el Sistema de Seguimiento y Monitoreo al Programa de Alimentación Escolar, SEMPAE, el cual será de obligatorio cumplimiento.</w:t>
      </w:r>
    </w:p>
    <w:p w14:paraId="3B779C14" w14:textId="1F3634CC" w:rsidR="004D6D42" w:rsidRPr="00E64D65" w:rsidRDefault="004D6D42" w:rsidP="004D6D42">
      <w:pPr>
        <w:pStyle w:val="Prrafodelista"/>
        <w:numPr>
          <w:ilvl w:val="0"/>
          <w:numId w:val="1"/>
        </w:numPr>
        <w:rPr>
          <w:rFonts w:ascii="Verdana" w:hAnsi="Verdana"/>
          <w:sz w:val="22"/>
          <w:szCs w:val="22"/>
        </w:rPr>
      </w:pPr>
      <w:r w:rsidRPr="00E64D65">
        <w:rPr>
          <w:rFonts w:ascii="Verdana" w:hAnsi="Verdana"/>
          <w:sz w:val="22"/>
          <w:szCs w:val="22"/>
        </w:rPr>
        <w:t>Que en mérito de lo expuesto,</w:t>
      </w:r>
    </w:p>
    <w:p w14:paraId="76AB7A29" w14:textId="77777777" w:rsidR="004D6D42" w:rsidRPr="00E64D65" w:rsidRDefault="004D6D42" w:rsidP="00E64D65">
      <w:pPr>
        <w:jc w:val="center"/>
        <w:rPr>
          <w:rFonts w:ascii="Verdana" w:hAnsi="Verdana"/>
          <w:b/>
          <w:bCs/>
          <w:sz w:val="22"/>
          <w:szCs w:val="22"/>
        </w:rPr>
      </w:pPr>
      <w:r w:rsidRPr="00E64D65">
        <w:rPr>
          <w:rFonts w:ascii="Verdana" w:hAnsi="Verdana"/>
          <w:b/>
          <w:bCs/>
          <w:sz w:val="22"/>
          <w:szCs w:val="22"/>
        </w:rPr>
        <w:t>RESUELVE:</w:t>
      </w:r>
    </w:p>
    <w:p w14:paraId="15C19A0A" w14:textId="1BDCE54E" w:rsidR="004D6D42" w:rsidRPr="004D6D42" w:rsidRDefault="004D6D42" w:rsidP="004D6D42">
      <w:pPr>
        <w:rPr>
          <w:rFonts w:ascii="Verdana" w:hAnsi="Verdana"/>
          <w:sz w:val="22"/>
          <w:szCs w:val="22"/>
        </w:rPr>
      </w:pPr>
      <w:r w:rsidRPr="00E64D65">
        <w:rPr>
          <w:rFonts w:ascii="Verdana" w:hAnsi="Verdana"/>
          <w:b/>
          <w:bCs/>
          <w:sz w:val="22"/>
          <w:szCs w:val="22"/>
        </w:rPr>
        <w:t>ARTÍCULO 1o. OBJETO.</w:t>
      </w:r>
      <w:r w:rsidRPr="004D6D42">
        <w:rPr>
          <w:rFonts w:ascii="Verdana" w:hAnsi="Verdana"/>
          <w:sz w:val="22"/>
          <w:szCs w:val="22"/>
        </w:rPr>
        <w:t xml:space="preserve"> Implementar el Sistema de Seguimiento y Monitoreo al Programa de Alimentación Escolar, SEMPAE, mediante el cual el Instituto Colombiano de Bienestar Familiar Cecilia de la Fuente de Lleras, ICBF, consolidará los datos sobre la ejecución presupuestal de ingresos y gastos, y demás información oficial básica de los recursos del Sistema General de Participaciones, SGP y del Programa de Alimentación Escolar, PAE del ICBF destinados a Programas de alimentación Escolar en el Territorio Nacional.</w:t>
      </w:r>
    </w:p>
    <w:p w14:paraId="38EDDAA9" w14:textId="045599FC" w:rsidR="004D6D42" w:rsidRPr="004D6D42" w:rsidRDefault="004D6D42" w:rsidP="004D6D42">
      <w:pPr>
        <w:rPr>
          <w:rFonts w:ascii="Verdana" w:hAnsi="Verdana"/>
          <w:sz w:val="22"/>
          <w:szCs w:val="22"/>
        </w:rPr>
      </w:pPr>
      <w:r w:rsidRPr="00E64D65">
        <w:rPr>
          <w:rFonts w:ascii="Verdana" w:hAnsi="Verdana"/>
          <w:b/>
          <w:bCs/>
          <w:sz w:val="22"/>
          <w:szCs w:val="22"/>
        </w:rPr>
        <w:t>ARTÍCULO 2o. ÁMBITO DE APLICACIÓN.</w:t>
      </w:r>
      <w:r w:rsidRPr="004D6D42">
        <w:rPr>
          <w:rFonts w:ascii="Verdana" w:hAnsi="Verdana"/>
          <w:sz w:val="22"/>
          <w:szCs w:val="22"/>
        </w:rPr>
        <w:t xml:space="preserve"> La información, requisitos y plazos que se establecen en la presente Resolución son de obligatorio cumplimiento para los entes territoriales a nivel nacional.</w:t>
      </w:r>
    </w:p>
    <w:p w14:paraId="12F4BD74" w14:textId="6301184F" w:rsidR="004D6D42" w:rsidRPr="004D6D42" w:rsidRDefault="004D6D42" w:rsidP="004D6D42">
      <w:pPr>
        <w:rPr>
          <w:rFonts w:ascii="Verdana" w:hAnsi="Verdana"/>
          <w:sz w:val="22"/>
          <w:szCs w:val="22"/>
        </w:rPr>
      </w:pPr>
      <w:r w:rsidRPr="00E64D65">
        <w:rPr>
          <w:rFonts w:ascii="Verdana" w:hAnsi="Verdana"/>
          <w:b/>
          <w:bCs/>
          <w:sz w:val="22"/>
          <w:szCs w:val="22"/>
        </w:rPr>
        <w:t>ARTÍCULO 3o. REPORTE DE INFORMACIÓN.</w:t>
      </w:r>
      <w:r w:rsidRPr="004D6D42">
        <w:rPr>
          <w:rFonts w:ascii="Verdana" w:hAnsi="Verdana"/>
          <w:sz w:val="22"/>
          <w:szCs w:val="22"/>
        </w:rPr>
        <w:t xml:space="preserve"> La información que se solicita en la presente Resolución se reportará por medio del Sistema Consolidador de Hacienda e Información Financiera Pública, CHIP, administrado por la Contaduría General de la Nación.</w:t>
      </w:r>
    </w:p>
    <w:p w14:paraId="013D80F0" w14:textId="0EEEE8E0" w:rsidR="004D6D42" w:rsidRPr="004D6D42" w:rsidRDefault="004D6D42" w:rsidP="004D6D42">
      <w:pPr>
        <w:rPr>
          <w:rFonts w:ascii="Verdana" w:hAnsi="Verdana"/>
          <w:sz w:val="22"/>
          <w:szCs w:val="22"/>
        </w:rPr>
      </w:pPr>
      <w:r w:rsidRPr="00E64D65">
        <w:rPr>
          <w:rFonts w:ascii="Verdana" w:hAnsi="Verdana"/>
          <w:b/>
          <w:bCs/>
          <w:sz w:val="22"/>
          <w:szCs w:val="22"/>
        </w:rPr>
        <w:t xml:space="preserve">PARÁGRAFO </w:t>
      </w:r>
      <w:r w:rsidR="00E64D65" w:rsidRPr="00E64D65">
        <w:rPr>
          <w:rFonts w:ascii="Verdana" w:hAnsi="Verdana"/>
          <w:b/>
          <w:bCs/>
          <w:sz w:val="22"/>
          <w:szCs w:val="22"/>
        </w:rPr>
        <w:t>PRIMERO</w:t>
      </w:r>
      <w:r w:rsidRPr="00E64D65">
        <w:rPr>
          <w:rFonts w:ascii="Verdana" w:hAnsi="Verdana"/>
          <w:b/>
          <w:bCs/>
          <w:sz w:val="22"/>
          <w:szCs w:val="22"/>
        </w:rPr>
        <w:t>.</w:t>
      </w:r>
      <w:r w:rsidRPr="004D6D42">
        <w:rPr>
          <w:rFonts w:ascii="Verdana" w:hAnsi="Verdana"/>
          <w:sz w:val="22"/>
          <w:szCs w:val="22"/>
        </w:rPr>
        <w:t xml:space="preserve"> La Contaduría General de la Nación, en su calidad de administrador del Sistema CHIP, no será responsable por la información reportada al SEMPAE.</w:t>
      </w:r>
    </w:p>
    <w:p w14:paraId="2F88196E" w14:textId="7CE08DC4" w:rsidR="004D6D42" w:rsidRPr="004D6D42" w:rsidRDefault="004D6D42" w:rsidP="004D6D42">
      <w:pPr>
        <w:rPr>
          <w:rFonts w:ascii="Verdana" w:hAnsi="Verdana"/>
          <w:sz w:val="22"/>
          <w:szCs w:val="22"/>
        </w:rPr>
      </w:pPr>
      <w:r w:rsidRPr="00E64D65">
        <w:rPr>
          <w:rFonts w:ascii="Verdana" w:hAnsi="Verdana"/>
          <w:b/>
          <w:bCs/>
          <w:sz w:val="22"/>
          <w:szCs w:val="22"/>
        </w:rPr>
        <w:t xml:space="preserve">PARÁGRAFO </w:t>
      </w:r>
      <w:r w:rsidR="00E64D65" w:rsidRPr="00E64D65">
        <w:rPr>
          <w:rFonts w:ascii="Verdana" w:hAnsi="Verdana"/>
          <w:b/>
          <w:bCs/>
          <w:sz w:val="22"/>
          <w:szCs w:val="22"/>
        </w:rPr>
        <w:t>SEGUNDO</w:t>
      </w:r>
      <w:r w:rsidRPr="004D6D42">
        <w:rPr>
          <w:rFonts w:ascii="Verdana" w:hAnsi="Verdana"/>
          <w:sz w:val="22"/>
          <w:szCs w:val="22"/>
        </w:rPr>
        <w:t>. En el ICBF, la Subdirección de Niñez y Adolescencia de la Dirección General será la encargada de administrar la información que reporta el Sistema CHIP.</w:t>
      </w:r>
    </w:p>
    <w:p w14:paraId="7CA088CB" w14:textId="3C0E7EA5" w:rsidR="004D6D42" w:rsidRPr="004D6D42" w:rsidRDefault="004D6D42" w:rsidP="004D6D42">
      <w:pPr>
        <w:rPr>
          <w:rFonts w:ascii="Verdana" w:hAnsi="Verdana"/>
          <w:sz w:val="22"/>
          <w:szCs w:val="22"/>
        </w:rPr>
      </w:pPr>
      <w:r w:rsidRPr="00E64D65">
        <w:rPr>
          <w:rFonts w:ascii="Verdana" w:hAnsi="Verdana"/>
          <w:b/>
          <w:bCs/>
          <w:sz w:val="22"/>
          <w:szCs w:val="22"/>
        </w:rPr>
        <w:t>ARTÍCULO 4o. ENTIDADES RESPONSABLES.</w:t>
      </w:r>
      <w:r w:rsidRPr="004D6D42">
        <w:rPr>
          <w:rFonts w:ascii="Verdana" w:hAnsi="Verdana"/>
          <w:sz w:val="22"/>
          <w:szCs w:val="22"/>
        </w:rPr>
        <w:t xml:space="preserve"> Serán responsables de reportar la información al Sistema CHIP, las siguientes entidades:</w:t>
      </w:r>
    </w:p>
    <w:p w14:paraId="31472DCA" w14:textId="77777777" w:rsidR="00E64D65" w:rsidRDefault="004D6D42" w:rsidP="004D6D42">
      <w:pPr>
        <w:pStyle w:val="Prrafodelista"/>
        <w:numPr>
          <w:ilvl w:val="0"/>
          <w:numId w:val="2"/>
        </w:numPr>
        <w:rPr>
          <w:rFonts w:ascii="Verdana" w:hAnsi="Verdana"/>
          <w:sz w:val="22"/>
          <w:szCs w:val="22"/>
        </w:rPr>
      </w:pPr>
      <w:r w:rsidRPr="00E64D65">
        <w:rPr>
          <w:rFonts w:ascii="Verdana" w:hAnsi="Verdana"/>
          <w:sz w:val="22"/>
          <w:szCs w:val="22"/>
        </w:rPr>
        <w:t>En los municipios certificados: La Secretaría de Educación o quien haga sus veces.</w:t>
      </w:r>
    </w:p>
    <w:p w14:paraId="0BDE9CF3" w14:textId="7B456BD8" w:rsidR="004D6D42" w:rsidRPr="00E64D65" w:rsidRDefault="004D6D42" w:rsidP="004D6D42">
      <w:pPr>
        <w:pStyle w:val="Prrafodelista"/>
        <w:numPr>
          <w:ilvl w:val="0"/>
          <w:numId w:val="2"/>
        </w:numPr>
        <w:rPr>
          <w:rFonts w:ascii="Verdana" w:hAnsi="Verdana"/>
          <w:sz w:val="22"/>
          <w:szCs w:val="22"/>
        </w:rPr>
      </w:pPr>
      <w:r w:rsidRPr="00E64D65">
        <w:rPr>
          <w:rFonts w:ascii="Verdana" w:hAnsi="Verdana"/>
          <w:sz w:val="22"/>
          <w:szCs w:val="22"/>
        </w:rPr>
        <w:t>En los municipios no certificados: La Secretaría de Hacienda o quien haga sus veces.</w:t>
      </w:r>
    </w:p>
    <w:p w14:paraId="5543C2C9" w14:textId="608BE9BD" w:rsidR="004D6D42" w:rsidRPr="004D6D42" w:rsidRDefault="004D6D42" w:rsidP="004D6D42">
      <w:pPr>
        <w:rPr>
          <w:rFonts w:ascii="Verdana" w:hAnsi="Verdana"/>
          <w:sz w:val="22"/>
          <w:szCs w:val="22"/>
        </w:rPr>
      </w:pPr>
      <w:r w:rsidRPr="00E64D65">
        <w:rPr>
          <w:rFonts w:ascii="Verdana" w:hAnsi="Verdana"/>
          <w:b/>
          <w:bCs/>
          <w:sz w:val="22"/>
          <w:szCs w:val="22"/>
        </w:rPr>
        <w:t xml:space="preserve">PARÁGRAFO </w:t>
      </w:r>
      <w:r w:rsidR="00E64D65" w:rsidRPr="00E64D65">
        <w:rPr>
          <w:rFonts w:ascii="Verdana" w:hAnsi="Verdana"/>
          <w:b/>
          <w:bCs/>
          <w:sz w:val="22"/>
          <w:szCs w:val="22"/>
        </w:rPr>
        <w:t>PRIMERO</w:t>
      </w:r>
      <w:r w:rsidRPr="00E64D65">
        <w:rPr>
          <w:rFonts w:ascii="Verdana" w:hAnsi="Verdana"/>
          <w:b/>
          <w:bCs/>
          <w:sz w:val="22"/>
          <w:szCs w:val="22"/>
        </w:rPr>
        <w:t>.</w:t>
      </w:r>
      <w:r w:rsidRPr="004D6D42">
        <w:rPr>
          <w:rFonts w:ascii="Verdana" w:hAnsi="Verdana"/>
          <w:sz w:val="22"/>
          <w:szCs w:val="22"/>
        </w:rPr>
        <w:t xml:space="preserve"> La delegación del reporte en las Secretarías no exime de responsabilidad por su cumplimiento a los Gobernadores y Alcaldes.</w:t>
      </w:r>
    </w:p>
    <w:p w14:paraId="10FBB41D" w14:textId="7A9E3E59" w:rsidR="004D6D42" w:rsidRPr="004D6D42" w:rsidRDefault="004D6D42" w:rsidP="004D6D42">
      <w:pPr>
        <w:rPr>
          <w:rFonts w:ascii="Verdana" w:hAnsi="Verdana"/>
          <w:sz w:val="22"/>
          <w:szCs w:val="22"/>
        </w:rPr>
      </w:pPr>
      <w:r w:rsidRPr="00E64D65">
        <w:rPr>
          <w:rFonts w:ascii="Verdana" w:hAnsi="Verdana"/>
          <w:b/>
          <w:bCs/>
          <w:sz w:val="22"/>
          <w:szCs w:val="22"/>
        </w:rPr>
        <w:t xml:space="preserve">PARÁGRAFO </w:t>
      </w:r>
      <w:r w:rsidR="00E64D65" w:rsidRPr="00E64D65">
        <w:rPr>
          <w:rFonts w:ascii="Verdana" w:hAnsi="Verdana"/>
          <w:b/>
          <w:bCs/>
          <w:sz w:val="22"/>
          <w:szCs w:val="22"/>
        </w:rPr>
        <w:t>SEGUNDO</w:t>
      </w:r>
      <w:r w:rsidRPr="00E64D65">
        <w:rPr>
          <w:rFonts w:ascii="Verdana" w:hAnsi="Verdana"/>
          <w:b/>
          <w:bCs/>
          <w:sz w:val="22"/>
          <w:szCs w:val="22"/>
        </w:rPr>
        <w:t>.</w:t>
      </w:r>
      <w:r w:rsidRPr="004D6D42">
        <w:rPr>
          <w:rFonts w:ascii="Verdana" w:hAnsi="Verdana"/>
          <w:sz w:val="22"/>
          <w:szCs w:val="22"/>
        </w:rPr>
        <w:t xml:space="preserve"> La información de ejecución presupuestal de ingresos y gastos reportada al SEMPAE, deberá ser conexa a la reportada en el Régimen de Contabilidad Pública.</w:t>
      </w:r>
    </w:p>
    <w:p w14:paraId="1E12CF21" w14:textId="131D41A8" w:rsidR="004D6D42" w:rsidRPr="004D6D42" w:rsidRDefault="004D6D42" w:rsidP="004D6D42">
      <w:pPr>
        <w:rPr>
          <w:rFonts w:ascii="Verdana" w:hAnsi="Verdana"/>
          <w:sz w:val="22"/>
          <w:szCs w:val="22"/>
        </w:rPr>
      </w:pPr>
      <w:r w:rsidRPr="00E64D65">
        <w:rPr>
          <w:rFonts w:ascii="Verdana" w:hAnsi="Verdana"/>
          <w:b/>
          <w:bCs/>
          <w:sz w:val="22"/>
          <w:szCs w:val="22"/>
        </w:rPr>
        <w:t>ARTÍCULO 5o. INFORMACIÓN A REPORTAR.</w:t>
      </w:r>
      <w:r w:rsidRPr="004D6D42">
        <w:rPr>
          <w:rFonts w:ascii="Verdana" w:hAnsi="Verdana"/>
          <w:sz w:val="22"/>
          <w:szCs w:val="22"/>
        </w:rPr>
        <w:t xml:space="preserve"> Las entidades responsables deben reportar la siguiente información al Sistema CHIP:</w:t>
      </w:r>
    </w:p>
    <w:p w14:paraId="009733A8" w14:textId="048E45E6" w:rsidR="004D6D42" w:rsidRPr="00E64D65" w:rsidRDefault="004D6D42" w:rsidP="00E64D65">
      <w:pPr>
        <w:pStyle w:val="Prrafodelista"/>
        <w:numPr>
          <w:ilvl w:val="0"/>
          <w:numId w:val="3"/>
        </w:numPr>
        <w:rPr>
          <w:rFonts w:ascii="Verdana" w:hAnsi="Verdana"/>
          <w:sz w:val="22"/>
          <w:szCs w:val="22"/>
        </w:rPr>
      </w:pPr>
      <w:r w:rsidRPr="00E64D65">
        <w:rPr>
          <w:rFonts w:ascii="Verdana" w:hAnsi="Verdana"/>
          <w:sz w:val="22"/>
          <w:szCs w:val="22"/>
        </w:rPr>
        <w:lastRenderedPageBreak/>
        <w:t>Información de los Contratos del Programa de Alimentación Escolar, PAE, (Datos del Contrato y Participantes).</w:t>
      </w:r>
    </w:p>
    <w:p w14:paraId="3972AF91" w14:textId="3D7D9362" w:rsidR="004D6D42" w:rsidRPr="00E64D65" w:rsidRDefault="004D6D42" w:rsidP="00E64D65">
      <w:pPr>
        <w:pStyle w:val="Prrafodelista"/>
        <w:numPr>
          <w:ilvl w:val="0"/>
          <w:numId w:val="3"/>
        </w:numPr>
        <w:rPr>
          <w:rFonts w:ascii="Verdana" w:hAnsi="Verdana"/>
          <w:sz w:val="22"/>
          <w:szCs w:val="22"/>
        </w:rPr>
      </w:pPr>
      <w:r w:rsidRPr="00E64D65">
        <w:rPr>
          <w:rFonts w:ascii="Verdana" w:hAnsi="Verdana"/>
          <w:sz w:val="22"/>
          <w:szCs w:val="22"/>
        </w:rPr>
        <w:t>Información de los aportes por modalidad.</w:t>
      </w:r>
    </w:p>
    <w:p w14:paraId="7FC6256A" w14:textId="158093C2" w:rsidR="004D6D42" w:rsidRPr="00E64D65" w:rsidRDefault="004D6D42" w:rsidP="00E64D65">
      <w:pPr>
        <w:pStyle w:val="Prrafodelista"/>
        <w:numPr>
          <w:ilvl w:val="0"/>
          <w:numId w:val="3"/>
        </w:numPr>
        <w:rPr>
          <w:rFonts w:ascii="Verdana" w:hAnsi="Verdana"/>
          <w:sz w:val="22"/>
          <w:szCs w:val="22"/>
        </w:rPr>
      </w:pPr>
      <w:r w:rsidRPr="00E64D65">
        <w:rPr>
          <w:rFonts w:ascii="Verdana" w:hAnsi="Verdana"/>
          <w:sz w:val="22"/>
          <w:szCs w:val="22"/>
        </w:rPr>
        <w:t>Información de los aportes por establecimientos educativos.</w:t>
      </w:r>
    </w:p>
    <w:p w14:paraId="09641B52" w14:textId="646C88F8" w:rsidR="004D6D42" w:rsidRPr="004D6D42" w:rsidRDefault="004D6D42" w:rsidP="004D6D42">
      <w:pPr>
        <w:rPr>
          <w:rFonts w:ascii="Verdana" w:hAnsi="Verdana"/>
          <w:sz w:val="22"/>
          <w:szCs w:val="22"/>
        </w:rPr>
      </w:pPr>
      <w:r w:rsidRPr="00E64D65">
        <w:rPr>
          <w:rFonts w:ascii="Verdana" w:hAnsi="Verdana"/>
          <w:b/>
          <w:bCs/>
          <w:sz w:val="22"/>
          <w:szCs w:val="22"/>
        </w:rPr>
        <w:t>ARTÍCULO 6o. PRESUNCIÓN SOBRE LA INFORMACIÓN REPORTADA.</w:t>
      </w:r>
      <w:r w:rsidRPr="004D6D42">
        <w:rPr>
          <w:rFonts w:ascii="Verdana" w:hAnsi="Verdana"/>
          <w:sz w:val="22"/>
          <w:szCs w:val="22"/>
        </w:rPr>
        <w:t xml:space="preserve"> El ICBF presumirá que la información reportada mediante el Sistema CHIP es confiable, veraz y relevante.</w:t>
      </w:r>
    </w:p>
    <w:p w14:paraId="4665EAC6" w14:textId="32CF821D" w:rsidR="004D6D42" w:rsidRPr="004D6D42" w:rsidRDefault="004D6D42" w:rsidP="00E64D65">
      <w:pPr>
        <w:rPr>
          <w:rFonts w:ascii="Verdana" w:hAnsi="Verdana"/>
          <w:sz w:val="22"/>
          <w:szCs w:val="22"/>
        </w:rPr>
      </w:pPr>
      <w:r w:rsidRPr="00E64D65">
        <w:rPr>
          <w:rFonts w:ascii="Verdana" w:hAnsi="Verdana"/>
          <w:b/>
          <w:bCs/>
          <w:sz w:val="22"/>
          <w:szCs w:val="22"/>
        </w:rPr>
        <w:t>ARTÍCULO 7o. PLAZOS PARA EL REPORTE DE LA INFORMACIÓN A LA CONTADURÍA GENERAL DE LA NACIÓN.</w:t>
      </w:r>
      <w:r w:rsidRPr="004D6D42">
        <w:rPr>
          <w:rFonts w:ascii="Verdana" w:hAnsi="Verdana"/>
          <w:sz w:val="22"/>
          <w:szCs w:val="22"/>
        </w:rPr>
        <w:t xml:space="preserve"> Las entidades responsables reportarán la información de que trata el artículo 4o trimestralmente, teniendo en cuenta las siguientes fechas de corte y presentación:</w:t>
      </w:r>
    </w:p>
    <w:tbl>
      <w:tblPr>
        <w:tblStyle w:val="Tablaconcuadrcula"/>
        <w:tblW w:w="0" w:type="auto"/>
        <w:tblLook w:val="04A0" w:firstRow="1" w:lastRow="0" w:firstColumn="1" w:lastColumn="0" w:noHBand="0" w:noVBand="1"/>
      </w:tblPr>
      <w:tblGrid>
        <w:gridCol w:w="4414"/>
        <w:gridCol w:w="4414"/>
      </w:tblGrid>
      <w:tr w:rsidR="00E64D65" w14:paraId="1C21C21E" w14:textId="77777777" w:rsidTr="00E64D65">
        <w:tc>
          <w:tcPr>
            <w:tcW w:w="4414" w:type="dxa"/>
          </w:tcPr>
          <w:p w14:paraId="358B2EA3" w14:textId="79662E13" w:rsidR="00E64D65" w:rsidRDefault="0096171B" w:rsidP="0096171B">
            <w:pPr>
              <w:rPr>
                <w:rFonts w:ascii="Verdana" w:hAnsi="Verdana"/>
                <w:b/>
                <w:bCs/>
                <w:sz w:val="22"/>
                <w:szCs w:val="22"/>
              </w:rPr>
            </w:pPr>
            <w:r w:rsidRPr="0096171B">
              <w:rPr>
                <w:rFonts w:ascii="Verdana" w:hAnsi="Verdana"/>
                <w:b/>
                <w:bCs/>
                <w:sz w:val="22"/>
                <w:szCs w:val="22"/>
              </w:rPr>
              <w:t>FECHA DE CORTE</w:t>
            </w:r>
          </w:p>
        </w:tc>
        <w:tc>
          <w:tcPr>
            <w:tcW w:w="4414" w:type="dxa"/>
          </w:tcPr>
          <w:p w14:paraId="3788F4BD" w14:textId="37757A05" w:rsidR="00E64D65" w:rsidRDefault="0096171B" w:rsidP="004D6D42">
            <w:pPr>
              <w:rPr>
                <w:rFonts w:ascii="Verdana" w:hAnsi="Verdana"/>
                <w:b/>
                <w:bCs/>
                <w:sz w:val="22"/>
                <w:szCs w:val="22"/>
              </w:rPr>
            </w:pPr>
            <w:r w:rsidRPr="0096171B">
              <w:rPr>
                <w:rFonts w:ascii="Verdana" w:hAnsi="Verdana"/>
                <w:b/>
                <w:bCs/>
                <w:sz w:val="22"/>
                <w:szCs w:val="22"/>
              </w:rPr>
              <w:t>FECHA LÍMITE DE PRESENTACIÓN</w:t>
            </w:r>
          </w:p>
        </w:tc>
      </w:tr>
      <w:tr w:rsidR="00E64D65" w14:paraId="2DFE272C" w14:textId="77777777" w:rsidTr="00E64D65">
        <w:tc>
          <w:tcPr>
            <w:tcW w:w="4414" w:type="dxa"/>
          </w:tcPr>
          <w:p w14:paraId="5620A900" w14:textId="708AAECB" w:rsidR="00E64D65" w:rsidRPr="00A0002B" w:rsidRDefault="00A0002B" w:rsidP="004D6D42">
            <w:pPr>
              <w:rPr>
                <w:rFonts w:ascii="Verdana" w:hAnsi="Verdana"/>
                <w:sz w:val="22"/>
                <w:szCs w:val="22"/>
              </w:rPr>
            </w:pPr>
            <w:r w:rsidRPr="00A0002B">
              <w:rPr>
                <w:rFonts w:ascii="Verdana" w:hAnsi="Verdana"/>
                <w:sz w:val="22"/>
                <w:szCs w:val="22"/>
              </w:rPr>
              <w:t>31 de marzo</w:t>
            </w:r>
          </w:p>
        </w:tc>
        <w:tc>
          <w:tcPr>
            <w:tcW w:w="4414" w:type="dxa"/>
          </w:tcPr>
          <w:p w14:paraId="3E00565E" w14:textId="747EF8E8" w:rsidR="00E64D65" w:rsidRPr="00A0002B" w:rsidRDefault="0096171B" w:rsidP="004D6D42">
            <w:pPr>
              <w:rPr>
                <w:rFonts w:ascii="Verdana" w:hAnsi="Verdana"/>
                <w:sz w:val="22"/>
                <w:szCs w:val="22"/>
              </w:rPr>
            </w:pPr>
            <w:r w:rsidRPr="00A0002B">
              <w:rPr>
                <w:rFonts w:ascii="Verdana" w:hAnsi="Verdana"/>
                <w:sz w:val="22"/>
                <w:szCs w:val="22"/>
              </w:rPr>
              <w:t>30 de abril</w:t>
            </w:r>
          </w:p>
        </w:tc>
      </w:tr>
      <w:tr w:rsidR="00E64D65" w14:paraId="67784716" w14:textId="77777777" w:rsidTr="00E64D65">
        <w:tc>
          <w:tcPr>
            <w:tcW w:w="4414" w:type="dxa"/>
          </w:tcPr>
          <w:p w14:paraId="0A31805B" w14:textId="6284E368" w:rsidR="00E64D65" w:rsidRPr="00A0002B" w:rsidRDefault="00A0002B" w:rsidP="004D6D42">
            <w:pPr>
              <w:rPr>
                <w:rFonts w:ascii="Verdana" w:hAnsi="Verdana"/>
                <w:sz w:val="22"/>
                <w:szCs w:val="22"/>
              </w:rPr>
            </w:pPr>
            <w:r w:rsidRPr="00A0002B">
              <w:rPr>
                <w:rFonts w:ascii="Verdana" w:hAnsi="Verdana"/>
                <w:sz w:val="22"/>
                <w:szCs w:val="22"/>
              </w:rPr>
              <w:t>30 de junio</w:t>
            </w:r>
          </w:p>
        </w:tc>
        <w:tc>
          <w:tcPr>
            <w:tcW w:w="4414" w:type="dxa"/>
          </w:tcPr>
          <w:p w14:paraId="2815CD78" w14:textId="1F9AC184" w:rsidR="00E64D65" w:rsidRPr="00A0002B" w:rsidRDefault="0096171B" w:rsidP="004D6D42">
            <w:pPr>
              <w:rPr>
                <w:rFonts w:ascii="Verdana" w:hAnsi="Verdana"/>
                <w:sz w:val="22"/>
                <w:szCs w:val="22"/>
              </w:rPr>
            </w:pPr>
            <w:r w:rsidRPr="00A0002B">
              <w:rPr>
                <w:rFonts w:ascii="Verdana" w:hAnsi="Verdana"/>
                <w:sz w:val="22"/>
                <w:szCs w:val="22"/>
              </w:rPr>
              <w:t>31 de julio</w:t>
            </w:r>
          </w:p>
        </w:tc>
      </w:tr>
      <w:tr w:rsidR="00E64D65" w14:paraId="6F13C7E5" w14:textId="77777777" w:rsidTr="00E64D65">
        <w:tc>
          <w:tcPr>
            <w:tcW w:w="4414" w:type="dxa"/>
          </w:tcPr>
          <w:p w14:paraId="0C4C16AC" w14:textId="054DCA3F" w:rsidR="00E64D65" w:rsidRPr="00A0002B" w:rsidRDefault="00BB50BB" w:rsidP="004D6D42">
            <w:pPr>
              <w:rPr>
                <w:rFonts w:ascii="Verdana" w:hAnsi="Verdana"/>
                <w:sz w:val="22"/>
                <w:szCs w:val="22"/>
              </w:rPr>
            </w:pPr>
            <w:r w:rsidRPr="00A0002B">
              <w:rPr>
                <w:rFonts w:ascii="Verdana" w:hAnsi="Verdana"/>
                <w:sz w:val="22"/>
                <w:szCs w:val="22"/>
              </w:rPr>
              <w:t>30 de septiembre</w:t>
            </w:r>
          </w:p>
        </w:tc>
        <w:tc>
          <w:tcPr>
            <w:tcW w:w="4414" w:type="dxa"/>
          </w:tcPr>
          <w:p w14:paraId="5E0E8BBD" w14:textId="1999E2BA" w:rsidR="00E64D65" w:rsidRPr="00A0002B" w:rsidRDefault="00BB50BB" w:rsidP="004D6D42">
            <w:pPr>
              <w:rPr>
                <w:rFonts w:ascii="Verdana" w:hAnsi="Verdana"/>
                <w:sz w:val="22"/>
                <w:szCs w:val="22"/>
              </w:rPr>
            </w:pPr>
            <w:r w:rsidRPr="00A0002B">
              <w:rPr>
                <w:rFonts w:ascii="Verdana" w:hAnsi="Verdana"/>
                <w:sz w:val="22"/>
                <w:szCs w:val="22"/>
              </w:rPr>
              <w:t>31 de octubre</w:t>
            </w:r>
          </w:p>
        </w:tc>
      </w:tr>
      <w:tr w:rsidR="00E64D65" w14:paraId="1C0931D2" w14:textId="77777777" w:rsidTr="00E64D65">
        <w:tc>
          <w:tcPr>
            <w:tcW w:w="4414" w:type="dxa"/>
          </w:tcPr>
          <w:p w14:paraId="64E88E28" w14:textId="749C29F6" w:rsidR="00E64D65" w:rsidRPr="00A0002B" w:rsidRDefault="00BB50BB" w:rsidP="004D6D42">
            <w:pPr>
              <w:rPr>
                <w:rFonts w:ascii="Verdana" w:hAnsi="Verdana"/>
                <w:sz w:val="22"/>
                <w:szCs w:val="22"/>
              </w:rPr>
            </w:pPr>
            <w:r w:rsidRPr="00A0002B">
              <w:rPr>
                <w:rFonts w:ascii="Verdana" w:hAnsi="Verdana"/>
                <w:sz w:val="22"/>
                <w:szCs w:val="22"/>
              </w:rPr>
              <w:t>31 de diciembre</w:t>
            </w:r>
          </w:p>
        </w:tc>
        <w:tc>
          <w:tcPr>
            <w:tcW w:w="4414" w:type="dxa"/>
          </w:tcPr>
          <w:p w14:paraId="48A27903" w14:textId="7546FD71" w:rsidR="00E64D65" w:rsidRPr="00A0002B" w:rsidRDefault="00BB50BB" w:rsidP="004D6D42">
            <w:pPr>
              <w:rPr>
                <w:rFonts w:ascii="Verdana" w:hAnsi="Verdana"/>
                <w:sz w:val="22"/>
                <w:szCs w:val="22"/>
              </w:rPr>
            </w:pPr>
            <w:r w:rsidRPr="00A0002B">
              <w:rPr>
                <w:rFonts w:ascii="Verdana" w:hAnsi="Verdana"/>
                <w:sz w:val="22"/>
                <w:szCs w:val="22"/>
              </w:rPr>
              <w:t>15 de marzo del año siguiente</w:t>
            </w:r>
          </w:p>
        </w:tc>
      </w:tr>
    </w:tbl>
    <w:p w14:paraId="7696FF66" w14:textId="77777777" w:rsidR="00E64D65" w:rsidRDefault="00E64D65" w:rsidP="004D6D42">
      <w:pPr>
        <w:rPr>
          <w:rFonts w:ascii="Verdana" w:hAnsi="Verdana"/>
          <w:b/>
          <w:bCs/>
          <w:sz w:val="22"/>
          <w:szCs w:val="22"/>
        </w:rPr>
      </w:pPr>
    </w:p>
    <w:p w14:paraId="73DCBBB6" w14:textId="13DA65B0" w:rsidR="004D6D42" w:rsidRPr="004D6D42" w:rsidRDefault="004D6D42" w:rsidP="004D6D42">
      <w:pPr>
        <w:rPr>
          <w:rFonts w:ascii="Verdana" w:hAnsi="Verdana"/>
          <w:sz w:val="22"/>
          <w:szCs w:val="22"/>
        </w:rPr>
      </w:pPr>
      <w:r w:rsidRPr="00E64D65">
        <w:rPr>
          <w:rFonts w:ascii="Verdana" w:hAnsi="Verdana"/>
          <w:b/>
          <w:bCs/>
          <w:sz w:val="22"/>
          <w:szCs w:val="22"/>
        </w:rPr>
        <w:t xml:space="preserve">PARÁGRAFO </w:t>
      </w:r>
      <w:r w:rsidR="00A0002B">
        <w:rPr>
          <w:rFonts w:ascii="Verdana" w:hAnsi="Verdana"/>
          <w:b/>
          <w:bCs/>
          <w:sz w:val="22"/>
          <w:szCs w:val="22"/>
        </w:rPr>
        <w:t>PRIMERO</w:t>
      </w:r>
      <w:r w:rsidRPr="00E64D65">
        <w:rPr>
          <w:rFonts w:ascii="Verdana" w:hAnsi="Verdana"/>
          <w:b/>
          <w:bCs/>
          <w:sz w:val="22"/>
          <w:szCs w:val="22"/>
        </w:rPr>
        <w:t>.</w:t>
      </w:r>
      <w:r w:rsidRPr="004D6D42">
        <w:rPr>
          <w:rFonts w:ascii="Verdana" w:hAnsi="Verdana"/>
          <w:sz w:val="22"/>
          <w:szCs w:val="22"/>
        </w:rPr>
        <w:t xml:space="preserve"> De requerirse, el ICBF podrá solicitar la información en otras fechas, para lo cual informará de manera oportuna a las entidades responsables.</w:t>
      </w:r>
    </w:p>
    <w:p w14:paraId="2C1FBBE7" w14:textId="64F8E2BD" w:rsidR="004D6D42" w:rsidRPr="004D6D42" w:rsidRDefault="004D6D42" w:rsidP="00BA6DEA">
      <w:pPr>
        <w:rPr>
          <w:rFonts w:ascii="Verdana" w:hAnsi="Verdana"/>
          <w:sz w:val="22"/>
          <w:szCs w:val="22"/>
        </w:rPr>
      </w:pPr>
      <w:r w:rsidRPr="00A0002B">
        <w:rPr>
          <w:rFonts w:ascii="Verdana" w:hAnsi="Verdana"/>
          <w:b/>
          <w:bCs/>
          <w:sz w:val="22"/>
          <w:szCs w:val="22"/>
        </w:rPr>
        <w:t xml:space="preserve">PARÁGRAFO </w:t>
      </w:r>
      <w:r w:rsidR="00A0002B" w:rsidRPr="00A0002B">
        <w:rPr>
          <w:rFonts w:ascii="Verdana" w:hAnsi="Verdana"/>
          <w:b/>
          <w:bCs/>
          <w:sz w:val="22"/>
          <w:szCs w:val="22"/>
        </w:rPr>
        <w:t>SEGUNDO</w:t>
      </w:r>
      <w:r w:rsidRPr="00A0002B">
        <w:rPr>
          <w:rFonts w:ascii="Verdana" w:hAnsi="Verdana"/>
          <w:b/>
          <w:bCs/>
          <w:sz w:val="22"/>
          <w:szCs w:val="22"/>
        </w:rPr>
        <w:t>.</w:t>
      </w:r>
      <w:r w:rsidRPr="004D6D42">
        <w:rPr>
          <w:rFonts w:ascii="Verdana" w:hAnsi="Verdana"/>
          <w:sz w:val="22"/>
          <w:szCs w:val="22"/>
        </w:rPr>
        <w:t xml:space="preserve"> </w:t>
      </w:r>
      <w:r w:rsidR="00E64D65">
        <w:rPr>
          <w:rFonts w:ascii="Verdana" w:hAnsi="Verdana"/>
          <w:sz w:val="22"/>
          <w:szCs w:val="22"/>
        </w:rPr>
        <w:t>[</w:t>
      </w:r>
      <w:r w:rsidRPr="004D6D42">
        <w:rPr>
          <w:rFonts w:ascii="Verdana" w:hAnsi="Verdana"/>
          <w:sz w:val="22"/>
          <w:szCs w:val="22"/>
        </w:rPr>
        <w:t>Parágrafo modificado por el artículo 1 de la Resolución 1396 de 2012</w:t>
      </w:r>
      <w:r w:rsidR="00BA6DEA">
        <w:rPr>
          <w:rFonts w:ascii="Verdana" w:hAnsi="Verdana"/>
          <w:sz w:val="22"/>
          <w:szCs w:val="22"/>
        </w:rPr>
        <w:t xml:space="preserve">] </w:t>
      </w:r>
      <w:r w:rsidR="00BA6DEA" w:rsidRPr="00BA6DEA">
        <w:rPr>
          <w:rFonts w:ascii="Verdana" w:hAnsi="Verdana"/>
          <w:sz w:val="22"/>
          <w:szCs w:val="22"/>
        </w:rPr>
        <w:t>El primer reporte deberá presentarse con fecha de corte 31 de diciembre de 2011.</w:t>
      </w:r>
    </w:p>
    <w:p w14:paraId="58786602" w14:textId="5DBF5B37" w:rsidR="004D6D42" w:rsidRPr="004D6D42" w:rsidRDefault="004D6D42" w:rsidP="004D6D42">
      <w:pPr>
        <w:rPr>
          <w:rFonts w:ascii="Verdana" w:hAnsi="Verdana"/>
          <w:sz w:val="22"/>
          <w:szCs w:val="22"/>
        </w:rPr>
      </w:pPr>
      <w:r w:rsidRPr="00BA6DEA">
        <w:rPr>
          <w:rFonts w:ascii="Verdana" w:hAnsi="Verdana"/>
          <w:b/>
          <w:bCs/>
          <w:sz w:val="22"/>
          <w:szCs w:val="22"/>
        </w:rPr>
        <w:t>ARTÍCULO 8o. CUMPLIMIENTO EN LA PRESENTACIÓN DE INFORMES.</w:t>
      </w:r>
      <w:r w:rsidRPr="004D6D42">
        <w:rPr>
          <w:rFonts w:ascii="Verdana" w:hAnsi="Verdana"/>
          <w:sz w:val="22"/>
          <w:szCs w:val="22"/>
        </w:rPr>
        <w:t xml:space="preserve"> El reporte de la información solicitada debe ser oportuno y preciso. Su incumplimiento generará las sanciones disciplinarias a que haya lugar y para el efecto el Contador General de la Nación entregará a la autoridad competente el listado de los entes territoriales incumplidos para que se adelanten las acciones a que haya lugar.</w:t>
      </w:r>
    </w:p>
    <w:p w14:paraId="49B9AB5C" w14:textId="111B2E2A" w:rsidR="004D6D42" w:rsidRPr="004D6D42" w:rsidRDefault="004D6D42" w:rsidP="004D6D42">
      <w:pPr>
        <w:rPr>
          <w:rFonts w:ascii="Verdana" w:hAnsi="Verdana"/>
          <w:sz w:val="22"/>
          <w:szCs w:val="22"/>
        </w:rPr>
      </w:pPr>
      <w:r w:rsidRPr="00BA6DEA">
        <w:rPr>
          <w:rFonts w:ascii="Verdana" w:hAnsi="Verdana"/>
          <w:b/>
          <w:bCs/>
          <w:sz w:val="22"/>
          <w:szCs w:val="22"/>
        </w:rPr>
        <w:t>ARTÍCULO 9o. COMUNICACIÓN.</w:t>
      </w:r>
      <w:r w:rsidRPr="004D6D42">
        <w:rPr>
          <w:rFonts w:ascii="Verdana" w:hAnsi="Verdana"/>
          <w:sz w:val="22"/>
          <w:szCs w:val="22"/>
        </w:rPr>
        <w:t xml:space="preserve"> La presente resolución se publicará en el portal web del ICBF y se comunicará su expedición a las Gobernaciones de los Departamentos, para su correspondiente divulgación.</w:t>
      </w:r>
    </w:p>
    <w:p w14:paraId="47E9B82A" w14:textId="2234BAD8" w:rsidR="004D6D42" w:rsidRPr="004D6D42" w:rsidRDefault="004D6D42" w:rsidP="004D6D42">
      <w:pPr>
        <w:rPr>
          <w:rFonts w:ascii="Verdana" w:hAnsi="Verdana"/>
          <w:sz w:val="22"/>
          <w:szCs w:val="22"/>
        </w:rPr>
      </w:pPr>
      <w:r w:rsidRPr="00BA6DEA">
        <w:rPr>
          <w:rFonts w:ascii="Verdana" w:hAnsi="Verdana"/>
          <w:b/>
          <w:bCs/>
          <w:sz w:val="22"/>
          <w:szCs w:val="22"/>
        </w:rPr>
        <w:t>ARTÍCULO 10. VIGENCIA.</w:t>
      </w:r>
      <w:r w:rsidRPr="004D6D42">
        <w:rPr>
          <w:rFonts w:ascii="Verdana" w:hAnsi="Verdana"/>
          <w:sz w:val="22"/>
          <w:szCs w:val="22"/>
        </w:rPr>
        <w:t xml:space="preserve"> </w:t>
      </w:r>
      <w:r w:rsidR="00E64D65">
        <w:rPr>
          <w:rFonts w:ascii="Verdana" w:hAnsi="Verdana"/>
          <w:sz w:val="22"/>
          <w:szCs w:val="22"/>
        </w:rPr>
        <w:t>[</w:t>
      </w:r>
      <w:r w:rsidRPr="004D6D42">
        <w:rPr>
          <w:rFonts w:ascii="Verdana" w:hAnsi="Verdana"/>
          <w:sz w:val="22"/>
          <w:szCs w:val="22"/>
        </w:rPr>
        <w:t>Resolución derogada por el artículo 10 de la Resolución 1299 de 2013</w:t>
      </w:r>
      <w:r w:rsidR="00E64D65">
        <w:rPr>
          <w:rFonts w:ascii="Verdana" w:hAnsi="Verdana"/>
          <w:sz w:val="22"/>
          <w:szCs w:val="22"/>
        </w:rPr>
        <w:t>]</w:t>
      </w:r>
      <w:r w:rsidRPr="004D6D42">
        <w:rPr>
          <w:rFonts w:ascii="Verdana" w:hAnsi="Verdana"/>
          <w:sz w:val="22"/>
          <w:szCs w:val="22"/>
        </w:rPr>
        <w:t xml:space="preserve"> La presente resolución rige a partir de la fecha de su publicación.</w:t>
      </w:r>
    </w:p>
    <w:p w14:paraId="6C4AFA52" w14:textId="567E3F27" w:rsidR="004D6D42" w:rsidRPr="00BA6DEA" w:rsidRDefault="00BA6DEA" w:rsidP="00BA6DEA">
      <w:pPr>
        <w:jc w:val="center"/>
        <w:rPr>
          <w:rFonts w:ascii="Verdana" w:hAnsi="Verdana"/>
          <w:b/>
          <w:bCs/>
          <w:sz w:val="22"/>
          <w:szCs w:val="22"/>
        </w:rPr>
      </w:pPr>
      <w:r w:rsidRPr="00BA6DEA">
        <w:rPr>
          <w:rFonts w:ascii="Verdana" w:hAnsi="Verdana"/>
          <w:b/>
          <w:bCs/>
          <w:sz w:val="22"/>
          <w:szCs w:val="22"/>
        </w:rPr>
        <w:t>PUBLÍQUESE, COMUNÍQUESE Y CÚMPLASE,</w:t>
      </w:r>
    </w:p>
    <w:p w14:paraId="1C0A6CA0" w14:textId="1877A5C4" w:rsidR="004D6D42" w:rsidRPr="004D6D42" w:rsidRDefault="004D6D42" w:rsidP="00BA6DEA">
      <w:pPr>
        <w:jc w:val="center"/>
        <w:rPr>
          <w:rFonts w:ascii="Verdana" w:hAnsi="Verdana"/>
          <w:sz w:val="22"/>
          <w:szCs w:val="22"/>
        </w:rPr>
      </w:pPr>
      <w:r w:rsidRPr="004D6D42">
        <w:rPr>
          <w:rFonts w:ascii="Verdana" w:hAnsi="Verdana"/>
          <w:sz w:val="22"/>
          <w:szCs w:val="22"/>
        </w:rPr>
        <w:t xml:space="preserve">Dada en Bogotá, D. C., </w:t>
      </w:r>
      <w:r w:rsidR="00BA6DEA" w:rsidRPr="004D6D42">
        <w:rPr>
          <w:rFonts w:ascii="Verdana" w:hAnsi="Verdana"/>
          <w:sz w:val="22"/>
          <w:szCs w:val="22"/>
        </w:rPr>
        <w:t>a</w:t>
      </w:r>
      <w:r w:rsidR="00BA6DEA">
        <w:rPr>
          <w:rFonts w:ascii="Verdana" w:hAnsi="Verdana"/>
          <w:sz w:val="22"/>
          <w:szCs w:val="22"/>
        </w:rPr>
        <w:t>l</w:t>
      </w:r>
      <w:r w:rsidR="00BA6DEA" w:rsidRPr="004D6D42">
        <w:rPr>
          <w:rFonts w:ascii="Verdana" w:hAnsi="Verdana"/>
          <w:sz w:val="22"/>
          <w:szCs w:val="22"/>
        </w:rPr>
        <w:t xml:space="preserve"> 1o </w:t>
      </w:r>
      <w:r w:rsidR="00BA6DEA">
        <w:rPr>
          <w:rFonts w:ascii="Verdana" w:hAnsi="Verdana"/>
          <w:sz w:val="22"/>
          <w:szCs w:val="22"/>
        </w:rPr>
        <w:t xml:space="preserve">día del mes </w:t>
      </w:r>
      <w:r w:rsidRPr="004D6D42">
        <w:rPr>
          <w:rFonts w:ascii="Verdana" w:hAnsi="Verdana"/>
          <w:sz w:val="22"/>
          <w:szCs w:val="22"/>
        </w:rPr>
        <w:t>de diciembre de 2011.</w:t>
      </w:r>
    </w:p>
    <w:p w14:paraId="3EBAAEC3" w14:textId="25A56E1E" w:rsidR="00BA6DEA" w:rsidRPr="00BA6DEA" w:rsidRDefault="00BA6DEA" w:rsidP="00BA6DEA">
      <w:pPr>
        <w:jc w:val="center"/>
        <w:rPr>
          <w:rFonts w:ascii="Verdana" w:hAnsi="Verdana"/>
          <w:b/>
          <w:bCs/>
          <w:sz w:val="22"/>
          <w:szCs w:val="22"/>
        </w:rPr>
      </w:pPr>
      <w:r w:rsidRPr="00BA6DEA">
        <w:rPr>
          <w:rFonts w:ascii="Verdana" w:hAnsi="Verdana"/>
          <w:b/>
          <w:bCs/>
          <w:sz w:val="22"/>
          <w:szCs w:val="22"/>
        </w:rPr>
        <w:t>DIEGO ANDRÉS MOLANO APONTE</w:t>
      </w:r>
    </w:p>
    <w:p w14:paraId="36094859" w14:textId="73AD0114" w:rsidR="004D6D42" w:rsidRPr="004D6D42" w:rsidRDefault="00BA6DEA" w:rsidP="00BA6DEA">
      <w:pPr>
        <w:jc w:val="center"/>
        <w:rPr>
          <w:rFonts w:ascii="Verdana" w:hAnsi="Verdana"/>
          <w:sz w:val="22"/>
          <w:szCs w:val="22"/>
        </w:rPr>
      </w:pPr>
      <w:r w:rsidRPr="004D6D42">
        <w:rPr>
          <w:rFonts w:ascii="Verdana" w:hAnsi="Verdana"/>
          <w:sz w:val="22"/>
          <w:szCs w:val="22"/>
        </w:rPr>
        <w:t>EL DIRECTOR GENERAL</w:t>
      </w:r>
    </w:p>
    <w:p w14:paraId="1D2945D1" w14:textId="77777777" w:rsidR="004D6D42" w:rsidRPr="004D6D42" w:rsidRDefault="004D6D42" w:rsidP="004D6D42">
      <w:pPr>
        <w:rPr>
          <w:rFonts w:ascii="Verdana" w:hAnsi="Verdana"/>
          <w:sz w:val="22"/>
          <w:szCs w:val="22"/>
        </w:rPr>
      </w:pPr>
    </w:p>
    <w:p w14:paraId="5CD3EC35" w14:textId="77777777" w:rsidR="004D6D42" w:rsidRPr="004D6D42" w:rsidRDefault="004D6D42" w:rsidP="004D6D42">
      <w:pPr>
        <w:rPr>
          <w:rFonts w:ascii="Verdana" w:hAnsi="Verdana"/>
          <w:sz w:val="22"/>
          <w:szCs w:val="22"/>
        </w:rPr>
      </w:pPr>
    </w:p>
    <w:p w14:paraId="70DD4A24" w14:textId="77777777" w:rsidR="004D6D42" w:rsidRPr="004D6D42" w:rsidRDefault="004D6D42" w:rsidP="004D6D42">
      <w:pPr>
        <w:rPr>
          <w:rFonts w:ascii="Verdana" w:hAnsi="Verdana"/>
          <w:sz w:val="22"/>
          <w:szCs w:val="22"/>
        </w:rPr>
      </w:pPr>
    </w:p>
    <w:sectPr w:rsidR="004D6D42" w:rsidRPr="004D6D4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E0A7B"/>
    <w:multiLevelType w:val="hybridMultilevel"/>
    <w:tmpl w:val="754A0088"/>
    <w:lvl w:ilvl="0" w:tplc="E6F252C4">
      <w:start w:val="1"/>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95661E"/>
    <w:multiLevelType w:val="hybridMultilevel"/>
    <w:tmpl w:val="D3BA177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EE32915"/>
    <w:multiLevelType w:val="hybridMultilevel"/>
    <w:tmpl w:val="F0CEAB2E"/>
    <w:lvl w:ilvl="0" w:tplc="EBCA3BC2">
      <w:start w:val="1"/>
      <w:numFmt w:val="lowerLetter"/>
      <w:lvlText w:val="%1)"/>
      <w:lvlJc w:val="left"/>
      <w:pPr>
        <w:ind w:left="732" w:hanging="372"/>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9990476"/>
    <w:multiLevelType w:val="hybridMultilevel"/>
    <w:tmpl w:val="492458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759790294">
    <w:abstractNumId w:val="3"/>
  </w:num>
  <w:num w:numId="2" w16cid:durableId="67464477">
    <w:abstractNumId w:val="0"/>
  </w:num>
  <w:num w:numId="3" w16cid:durableId="718045152">
    <w:abstractNumId w:val="1"/>
  </w:num>
  <w:num w:numId="4" w16cid:durableId="5332258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B67"/>
    <w:rsid w:val="00015D2A"/>
    <w:rsid w:val="003F4CCC"/>
    <w:rsid w:val="00435640"/>
    <w:rsid w:val="00490B89"/>
    <w:rsid w:val="004D6D42"/>
    <w:rsid w:val="00550F5C"/>
    <w:rsid w:val="0088588F"/>
    <w:rsid w:val="0096171B"/>
    <w:rsid w:val="009F49F4"/>
    <w:rsid w:val="00A0002B"/>
    <w:rsid w:val="00BA6DEA"/>
    <w:rsid w:val="00BB50BB"/>
    <w:rsid w:val="00BC6B67"/>
    <w:rsid w:val="00E64D65"/>
    <w:rsid w:val="00E921B5"/>
    <w:rsid w:val="00FC40C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0810B"/>
  <w15:chartTrackingRefBased/>
  <w15:docId w15:val="{F4204F2F-886D-446A-A7BF-DEC8F9C6E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D42"/>
  </w:style>
  <w:style w:type="paragraph" w:styleId="Ttulo1">
    <w:name w:val="heading 1"/>
    <w:basedOn w:val="Normal"/>
    <w:next w:val="Normal"/>
    <w:link w:val="Ttulo1Car"/>
    <w:uiPriority w:val="9"/>
    <w:qFormat/>
    <w:rsid w:val="00BC6B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C6B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C6B6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C6B6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BC6B67"/>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BC6B67"/>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BC6B67"/>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BC6B67"/>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BC6B67"/>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C6B6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C6B6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C6B67"/>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C6B67"/>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BC6B67"/>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BC6B67"/>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BC6B67"/>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BC6B67"/>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BC6B67"/>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BC6B67"/>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C6B6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C6B6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C6B67"/>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BC6B67"/>
    <w:pPr>
      <w:spacing w:before="160"/>
      <w:jc w:val="center"/>
    </w:pPr>
    <w:rPr>
      <w:i/>
      <w:iCs/>
      <w:color w:val="404040" w:themeColor="text1" w:themeTint="BF"/>
    </w:rPr>
  </w:style>
  <w:style w:type="character" w:customStyle="1" w:styleId="CitaCar">
    <w:name w:val="Cita Car"/>
    <w:basedOn w:val="Fuentedeprrafopredeter"/>
    <w:link w:val="Cita"/>
    <w:uiPriority w:val="29"/>
    <w:rsid w:val="00BC6B67"/>
    <w:rPr>
      <w:i/>
      <w:iCs/>
      <w:color w:val="404040" w:themeColor="text1" w:themeTint="BF"/>
    </w:rPr>
  </w:style>
  <w:style w:type="paragraph" w:styleId="Prrafodelista">
    <w:name w:val="List Paragraph"/>
    <w:basedOn w:val="Normal"/>
    <w:uiPriority w:val="34"/>
    <w:qFormat/>
    <w:rsid w:val="00BC6B67"/>
    <w:pPr>
      <w:ind w:left="720"/>
      <w:contextualSpacing/>
    </w:pPr>
  </w:style>
  <w:style w:type="character" w:styleId="nfasisintenso">
    <w:name w:val="Intense Emphasis"/>
    <w:basedOn w:val="Fuentedeprrafopredeter"/>
    <w:uiPriority w:val="21"/>
    <w:qFormat/>
    <w:rsid w:val="00BC6B67"/>
    <w:rPr>
      <w:i/>
      <w:iCs/>
      <w:color w:val="0F4761" w:themeColor="accent1" w:themeShade="BF"/>
    </w:rPr>
  </w:style>
  <w:style w:type="paragraph" w:styleId="Citadestacada">
    <w:name w:val="Intense Quote"/>
    <w:basedOn w:val="Normal"/>
    <w:next w:val="Normal"/>
    <w:link w:val="CitadestacadaCar"/>
    <w:uiPriority w:val="30"/>
    <w:qFormat/>
    <w:rsid w:val="00BC6B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C6B67"/>
    <w:rPr>
      <w:i/>
      <w:iCs/>
      <w:color w:val="0F4761" w:themeColor="accent1" w:themeShade="BF"/>
    </w:rPr>
  </w:style>
  <w:style w:type="character" w:styleId="Referenciaintensa">
    <w:name w:val="Intense Reference"/>
    <w:basedOn w:val="Fuentedeprrafopredeter"/>
    <w:uiPriority w:val="32"/>
    <w:qFormat/>
    <w:rsid w:val="00BC6B67"/>
    <w:rPr>
      <w:b/>
      <w:bCs/>
      <w:smallCaps/>
      <w:color w:val="0F4761" w:themeColor="accent1" w:themeShade="BF"/>
      <w:spacing w:val="5"/>
    </w:rPr>
  </w:style>
  <w:style w:type="table" w:styleId="Tablaconcuadrcula">
    <w:name w:val="Table Grid"/>
    <w:basedOn w:val="Tablanormal"/>
    <w:uiPriority w:val="39"/>
    <w:rsid w:val="004D6D4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435640"/>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5573FB-2373-45CD-9811-055738450D17}"/>
</file>

<file path=customXml/itemProps2.xml><?xml version="1.0" encoding="utf-8"?>
<ds:datastoreItem xmlns:ds="http://schemas.openxmlformats.org/officeDocument/2006/customXml" ds:itemID="{212278A4-6EC4-4BC8-838E-B49044A1EC39}"/>
</file>

<file path=customXml/itemProps3.xml><?xml version="1.0" encoding="utf-8"?>
<ds:datastoreItem xmlns:ds="http://schemas.openxmlformats.org/officeDocument/2006/customXml" ds:itemID="{BCD9FCBC-FFED-43F5-B4B1-40F578DC5730}"/>
</file>

<file path=docProps/app.xml><?xml version="1.0" encoding="utf-8"?>
<Properties xmlns="http://schemas.openxmlformats.org/officeDocument/2006/extended-properties" xmlns:vt="http://schemas.openxmlformats.org/officeDocument/2006/docPropsVTypes">
  <Template>Normal</Template>
  <TotalTime>2</TotalTime>
  <Pages>1</Pages>
  <Words>1071</Words>
  <Characters>5766</Characters>
  <Application>Microsoft Office Word</Application>
  <DocSecurity>0</DocSecurity>
  <Lines>131</Lines>
  <Paragraphs>59</Paragraphs>
  <ScaleCrop>false</ScaleCrop>
  <Company/>
  <LinksUpToDate>false</LinksUpToDate>
  <CharactersWithSpaces>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2025-12-12T19:39:00Z</dcterms:created>
  <dcterms:modified xsi:type="dcterms:W3CDTF">2026-01-23T21:51:00Z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