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536B" w14:textId="77777777" w:rsidR="00C877B0" w:rsidRPr="00C877B0" w:rsidRDefault="00C877B0" w:rsidP="00C877B0">
      <w:pPr>
        <w:jc w:val="center"/>
        <w:rPr>
          <w:rFonts w:ascii="Verdana" w:hAnsi="Verdana"/>
          <w:b/>
          <w:bCs/>
          <w:sz w:val="22"/>
          <w:szCs w:val="22"/>
        </w:rPr>
      </w:pPr>
      <w:r w:rsidRPr="00C877B0">
        <w:rPr>
          <w:rFonts w:ascii="Verdana" w:hAnsi="Verdana"/>
          <w:b/>
          <w:bCs/>
          <w:sz w:val="22"/>
          <w:szCs w:val="22"/>
        </w:rPr>
        <w:t>RESOLUCIÓN 533 DE 2009</w:t>
      </w:r>
    </w:p>
    <w:p w14:paraId="1DEE5F41" w14:textId="77777777" w:rsidR="00013054" w:rsidRPr="00013054" w:rsidRDefault="00013054" w:rsidP="00013054">
      <w:pPr>
        <w:pStyle w:val="Sinespaciado"/>
        <w:rPr>
          <w:rFonts w:ascii="Verdana" w:hAnsi="Verdana"/>
          <w:sz w:val="20"/>
          <w:szCs w:val="20"/>
        </w:rPr>
      </w:pPr>
      <w:r w:rsidRPr="00013054">
        <w:rPr>
          <w:rFonts w:ascii="Verdana" w:hAnsi="Verdana"/>
          <w:sz w:val="20"/>
          <w:szCs w:val="20"/>
        </w:rPr>
        <w:t>Fecha de Expedición: 19/02/2009</w:t>
      </w:r>
    </w:p>
    <w:p w14:paraId="5CC9065F" w14:textId="77777777" w:rsidR="00013054" w:rsidRPr="00013054" w:rsidRDefault="00013054" w:rsidP="00013054">
      <w:pPr>
        <w:pStyle w:val="Sinespaciado"/>
        <w:rPr>
          <w:rFonts w:ascii="Verdana" w:hAnsi="Verdana"/>
          <w:sz w:val="20"/>
          <w:szCs w:val="20"/>
        </w:rPr>
      </w:pPr>
      <w:r w:rsidRPr="00013054">
        <w:rPr>
          <w:rFonts w:ascii="Verdana" w:hAnsi="Verdana"/>
          <w:sz w:val="20"/>
          <w:szCs w:val="20"/>
        </w:rPr>
        <w:t>Fecha de entrada en vigencia: 19/02/2009</w:t>
      </w:r>
    </w:p>
    <w:p w14:paraId="505362E6" w14:textId="433DAFAB" w:rsidR="00013054" w:rsidRDefault="00013054" w:rsidP="00013054">
      <w:pPr>
        <w:pStyle w:val="Sinespaciado"/>
        <w:rPr>
          <w:rFonts w:ascii="Verdana" w:hAnsi="Verdana"/>
          <w:sz w:val="20"/>
          <w:szCs w:val="20"/>
        </w:rPr>
      </w:pPr>
      <w:r w:rsidRPr="00013054">
        <w:rPr>
          <w:rFonts w:ascii="Verdana" w:hAnsi="Verdana"/>
          <w:sz w:val="20"/>
          <w:szCs w:val="20"/>
        </w:rPr>
        <w:t>Estado de la vigencia: Derogada por el artículo 60 del Acuerdo 4 de 2010</w:t>
      </w:r>
      <w:r w:rsidRPr="00013054">
        <w:rPr>
          <w:rFonts w:ascii="Verdana" w:hAnsi="Verdana"/>
          <w:sz w:val="20"/>
          <w:szCs w:val="20"/>
        </w:rPr>
        <w:tab/>
      </w:r>
    </w:p>
    <w:p w14:paraId="27064879" w14:textId="2A060013" w:rsidR="00013054" w:rsidRPr="00013054" w:rsidRDefault="00013054" w:rsidP="00013054">
      <w:pPr>
        <w:pStyle w:val="Sinespaciado"/>
        <w:rPr>
          <w:rFonts w:ascii="Verdana" w:hAnsi="Verdana"/>
          <w:sz w:val="20"/>
          <w:szCs w:val="20"/>
        </w:rPr>
      </w:pPr>
    </w:p>
    <w:p w14:paraId="42461C83" w14:textId="665A12C4" w:rsidR="00013054" w:rsidRPr="00013054" w:rsidRDefault="00013054" w:rsidP="00013054">
      <w:pPr>
        <w:pStyle w:val="Sinespaciado"/>
        <w:rPr>
          <w:rFonts w:ascii="Verdana" w:hAnsi="Verdana"/>
          <w:sz w:val="20"/>
          <w:szCs w:val="20"/>
        </w:rPr>
      </w:pPr>
      <w:r w:rsidRPr="00013054">
        <w:rPr>
          <w:rFonts w:ascii="Verdana" w:hAnsi="Verdana"/>
          <w:sz w:val="20"/>
          <w:szCs w:val="20"/>
        </w:rPr>
        <w:t>Fecha de publicación en Diario Oficial: 14/04/2009</w:t>
      </w:r>
    </w:p>
    <w:p w14:paraId="7A658ADC" w14:textId="16C09779" w:rsidR="00794C8B" w:rsidRDefault="00013054" w:rsidP="00013054">
      <w:pPr>
        <w:pStyle w:val="Sinespaciado"/>
        <w:rPr>
          <w:rFonts w:ascii="Verdana" w:hAnsi="Verdana"/>
          <w:sz w:val="20"/>
          <w:szCs w:val="20"/>
        </w:rPr>
      </w:pPr>
      <w:r w:rsidRPr="00013054">
        <w:rPr>
          <w:rFonts w:ascii="Verdana" w:hAnsi="Verdana"/>
          <w:sz w:val="20"/>
          <w:szCs w:val="20"/>
        </w:rPr>
        <w:t>Número del Diario Oficial: No. 47.320</w:t>
      </w:r>
    </w:p>
    <w:p w14:paraId="619DA61B" w14:textId="77777777" w:rsidR="00013054" w:rsidRDefault="00013054" w:rsidP="00013054">
      <w:pPr>
        <w:pStyle w:val="Sinespaciado"/>
        <w:rPr>
          <w:rFonts w:ascii="Verdana" w:hAnsi="Verdana"/>
          <w:sz w:val="20"/>
          <w:szCs w:val="20"/>
        </w:rPr>
      </w:pPr>
    </w:p>
    <w:p w14:paraId="32DB0B8E" w14:textId="121792E3" w:rsidR="00013054" w:rsidRPr="00013054" w:rsidRDefault="00013054" w:rsidP="00013054">
      <w:pPr>
        <w:pStyle w:val="Sinespaciado"/>
        <w:rPr>
          <w:rFonts w:ascii="Verdana" w:hAnsi="Verdana"/>
          <w:sz w:val="20"/>
          <w:szCs w:val="20"/>
        </w:rPr>
      </w:pPr>
      <w:r>
        <w:rPr>
          <w:rFonts w:ascii="Verdana" w:hAnsi="Verdana"/>
          <w:sz w:val="20"/>
          <w:szCs w:val="20"/>
        </w:rPr>
        <w:t xml:space="preserve">Nota: </w:t>
      </w:r>
      <w:r w:rsidRPr="00013054">
        <w:rPr>
          <w:rFonts w:ascii="Verdana" w:hAnsi="Verdana"/>
          <w:sz w:val="20"/>
          <w:szCs w:val="20"/>
        </w:rPr>
        <w:t>Resolución modificada por el Acuerdo 4 de 2009</w:t>
      </w:r>
    </w:p>
    <w:p w14:paraId="3F301D88" w14:textId="77777777" w:rsidR="00013054" w:rsidRPr="00013054" w:rsidRDefault="00013054" w:rsidP="00013054">
      <w:pPr>
        <w:pStyle w:val="Sinespaciado"/>
        <w:rPr>
          <w:rFonts w:ascii="Verdana" w:hAnsi="Verdana"/>
          <w:sz w:val="20"/>
          <w:szCs w:val="20"/>
        </w:rPr>
      </w:pPr>
    </w:p>
    <w:p w14:paraId="3380401E" w14:textId="77777777" w:rsidR="00C877B0" w:rsidRPr="00C877B0" w:rsidRDefault="00C877B0" w:rsidP="00C877B0">
      <w:pPr>
        <w:jc w:val="center"/>
        <w:rPr>
          <w:rFonts w:ascii="Verdana" w:hAnsi="Verdana"/>
          <w:b/>
          <w:bCs/>
          <w:sz w:val="22"/>
          <w:szCs w:val="22"/>
        </w:rPr>
      </w:pPr>
      <w:r w:rsidRPr="00C877B0">
        <w:rPr>
          <w:rFonts w:ascii="Verdana" w:hAnsi="Verdana"/>
          <w:b/>
          <w:bCs/>
          <w:sz w:val="22"/>
          <w:szCs w:val="22"/>
        </w:rPr>
        <w:t>RESOLUCIÓN 533 DE 2009</w:t>
      </w:r>
    </w:p>
    <w:p w14:paraId="5A289896" w14:textId="77777777" w:rsidR="00C877B0" w:rsidRPr="00C877B0" w:rsidRDefault="00C877B0" w:rsidP="00C877B0">
      <w:pPr>
        <w:jc w:val="center"/>
        <w:rPr>
          <w:rFonts w:ascii="Verdana" w:hAnsi="Verdana"/>
          <w:sz w:val="22"/>
          <w:szCs w:val="22"/>
        </w:rPr>
      </w:pPr>
      <w:r w:rsidRPr="00C877B0">
        <w:rPr>
          <w:rFonts w:ascii="Verdana" w:hAnsi="Verdana"/>
          <w:sz w:val="22"/>
          <w:szCs w:val="22"/>
        </w:rPr>
        <w:t>(febrero 19)</w:t>
      </w:r>
    </w:p>
    <w:p w14:paraId="61EE2E7C" w14:textId="77777777" w:rsidR="00C877B0" w:rsidRPr="00C877B0" w:rsidRDefault="00C877B0" w:rsidP="00C877B0">
      <w:pPr>
        <w:jc w:val="center"/>
        <w:rPr>
          <w:rFonts w:ascii="Verdana" w:hAnsi="Verdana"/>
          <w:b/>
          <w:bCs/>
          <w:sz w:val="22"/>
          <w:szCs w:val="22"/>
        </w:rPr>
      </w:pPr>
      <w:r w:rsidRPr="00C877B0">
        <w:rPr>
          <w:rFonts w:ascii="Verdana" w:hAnsi="Verdana"/>
          <w:b/>
          <w:bCs/>
          <w:sz w:val="22"/>
          <w:szCs w:val="22"/>
        </w:rPr>
        <w:t>INSTITUTO COLOMBIANO DE BIENESTAR FAMILIAR</w:t>
      </w:r>
    </w:p>
    <w:p w14:paraId="31CB5D43" w14:textId="77777777" w:rsidR="00C877B0" w:rsidRPr="00C877B0" w:rsidRDefault="00C877B0" w:rsidP="00C877B0">
      <w:pPr>
        <w:jc w:val="center"/>
        <w:rPr>
          <w:rFonts w:ascii="Verdana" w:hAnsi="Verdana"/>
          <w:sz w:val="22"/>
          <w:szCs w:val="22"/>
        </w:rPr>
      </w:pPr>
      <w:r w:rsidRPr="00C877B0">
        <w:rPr>
          <w:rFonts w:ascii="Verdana" w:hAnsi="Verdana"/>
          <w:sz w:val="22"/>
          <w:szCs w:val="22"/>
        </w:rPr>
        <w:t>Por la cual se crea el Comité de Talento Humano en el Instituto Colombiano de Bienestar Familiar Cecilia de la Fuente de Lleras.</w:t>
      </w:r>
    </w:p>
    <w:p w14:paraId="75EB0264" w14:textId="77777777" w:rsidR="00C877B0" w:rsidRPr="00C877B0" w:rsidRDefault="00C877B0" w:rsidP="00C877B0">
      <w:pPr>
        <w:jc w:val="center"/>
        <w:rPr>
          <w:rFonts w:ascii="Verdana" w:hAnsi="Verdana"/>
          <w:b/>
          <w:bCs/>
          <w:sz w:val="22"/>
          <w:szCs w:val="22"/>
        </w:rPr>
      </w:pPr>
      <w:r w:rsidRPr="00C877B0">
        <w:rPr>
          <w:rFonts w:ascii="Verdana" w:hAnsi="Verdana"/>
          <w:b/>
          <w:bCs/>
          <w:sz w:val="22"/>
          <w:szCs w:val="22"/>
        </w:rPr>
        <w:t>LA DIRECTORA GENERAL DEL INSTITUTO COLOMBIANO DE BIENESTAR FAMILIAR CECILIA DE LA FUENTE DE LLERAS,</w:t>
      </w:r>
    </w:p>
    <w:p w14:paraId="53C7AE10" w14:textId="2CF4414A" w:rsidR="00C877B0" w:rsidRPr="00C877B0" w:rsidRDefault="00C877B0" w:rsidP="00C877B0">
      <w:pPr>
        <w:jc w:val="center"/>
        <w:rPr>
          <w:rFonts w:ascii="Verdana" w:hAnsi="Verdana"/>
          <w:sz w:val="22"/>
          <w:szCs w:val="22"/>
        </w:rPr>
      </w:pPr>
      <w:r w:rsidRPr="00C877B0">
        <w:rPr>
          <w:rFonts w:ascii="Verdana" w:hAnsi="Verdana"/>
          <w:sz w:val="22"/>
          <w:szCs w:val="22"/>
        </w:rPr>
        <w:t>en uso de sus facultades legales y estatutarias, en especial las conferidas en el artículo </w:t>
      </w:r>
      <w:r w:rsidRPr="00741799">
        <w:rPr>
          <w:rFonts w:ascii="Verdana" w:hAnsi="Verdana"/>
          <w:sz w:val="22"/>
          <w:szCs w:val="22"/>
        </w:rPr>
        <w:t>78</w:t>
      </w:r>
      <w:r w:rsidRPr="00C877B0">
        <w:rPr>
          <w:rFonts w:ascii="Verdana" w:hAnsi="Verdana"/>
          <w:sz w:val="22"/>
          <w:szCs w:val="22"/>
        </w:rPr>
        <w:t> de la Ley 489 de 1998, y</w:t>
      </w:r>
    </w:p>
    <w:p w14:paraId="2E6D7FD8" w14:textId="77777777" w:rsidR="00C877B0" w:rsidRPr="00C877B0" w:rsidRDefault="00C877B0" w:rsidP="00C877B0">
      <w:pPr>
        <w:jc w:val="center"/>
        <w:rPr>
          <w:rFonts w:ascii="Verdana" w:hAnsi="Verdana"/>
          <w:b/>
          <w:bCs/>
          <w:sz w:val="22"/>
          <w:szCs w:val="22"/>
        </w:rPr>
      </w:pPr>
      <w:r w:rsidRPr="00C877B0">
        <w:rPr>
          <w:rFonts w:ascii="Verdana" w:hAnsi="Verdana"/>
          <w:b/>
          <w:bCs/>
          <w:sz w:val="22"/>
          <w:szCs w:val="22"/>
        </w:rPr>
        <w:t>CONSIDERANDO:</w:t>
      </w:r>
    </w:p>
    <w:p w14:paraId="39CE47C1" w14:textId="01CB2E75" w:rsidR="00C877B0" w:rsidRPr="00C877B0" w:rsidRDefault="00C877B0" w:rsidP="00C877B0">
      <w:pPr>
        <w:jc w:val="both"/>
        <w:rPr>
          <w:rFonts w:ascii="Verdana" w:hAnsi="Verdana"/>
          <w:sz w:val="22"/>
          <w:szCs w:val="22"/>
        </w:rPr>
      </w:pPr>
      <w:r w:rsidRPr="00C877B0">
        <w:rPr>
          <w:rFonts w:ascii="Verdana" w:hAnsi="Verdana"/>
          <w:sz w:val="22"/>
          <w:szCs w:val="22"/>
        </w:rPr>
        <w:t>Que el artículo </w:t>
      </w:r>
      <w:r w:rsidRPr="00741799">
        <w:rPr>
          <w:rFonts w:ascii="Verdana" w:hAnsi="Verdana"/>
          <w:sz w:val="22"/>
          <w:szCs w:val="22"/>
        </w:rPr>
        <w:t>209</w:t>
      </w:r>
      <w:r w:rsidRPr="00C877B0">
        <w:rPr>
          <w:rFonts w:ascii="Verdana" w:hAnsi="Verdana"/>
          <w:sz w:val="22"/>
          <w:szCs w:val="22"/>
        </w:rPr>
        <w:t>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9A37920" w14:textId="5D804024" w:rsidR="00C877B0" w:rsidRPr="00C877B0" w:rsidRDefault="00C877B0" w:rsidP="00C877B0">
      <w:pPr>
        <w:jc w:val="both"/>
        <w:rPr>
          <w:rFonts w:ascii="Verdana" w:hAnsi="Verdana"/>
          <w:sz w:val="22"/>
          <w:szCs w:val="22"/>
        </w:rPr>
      </w:pPr>
      <w:r w:rsidRPr="00C877B0">
        <w:rPr>
          <w:rFonts w:ascii="Verdana" w:hAnsi="Verdana"/>
          <w:sz w:val="22"/>
          <w:szCs w:val="22"/>
        </w:rPr>
        <w:t>Que de acuerdo con lo establecido en el artículo </w:t>
      </w:r>
      <w:r w:rsidRPr="00741799">
        <w:rPr>
          <w:rFonts w:ascii="Verdana" w:hAnsi="Verdana"/>
          <w:sz w:val="22"/>
          <w:szCs w:val="22"/>
        </w:rPr>
        <w:t>27</w:t>
      </w:r>
      <w:r w:rsidRPr="00C877B0">
        <w:rPr>
          <w:rFonts w:ascii="Verdana" w:hAnsi="Verdana"/>
          <w:sz w:val="22"/>
          <w:szCs w:val="22"/>
        </w:rPr>
        <w:t> del Decreto 1138 de 1999, la Dirección General está facultada para crear comités y determinar sus funciones para la adecuada atención de los asuntos del Instituto.</w:t>
      </w:r>
    </w:p>
    <w:p w14:paraId="4F6A9B70" w14:textId="77777777" w:rsidR="00C877B0" w:rsidRPr="00C877B0" w:rsidRDefault="00C877B0" w:rsidP="00C877B0">
      <w:pPr>
        <w:jc w:val="both"/>
        <w:rPr>
          <w:rFonts w:ascii="Verdana" w:hAnsi="Verdana"/>
          <w:sz w:val="22"/>
          <w:szCs w:val="22"/>
        </w:rPr>
      </w:pPr>
      <w:r w:rsidRPr="00C877B0">
        <w:rPr>
          <w:rFonts w:ascii="Verdana" w:hAnsi="Verdana"/>
          <w:sz w:val="22"/>
          <w:szCs w:val="22"/>
        </w:rPr>
        <w:t>Que por instrucciones de la Directora General en el Seminario Taller de Planeación estratégica, en desarrollo de la política de gestión de talento humano que es uno de los núcleos básicos de la calidad y calidez del servicio, y con el propósito de satisfacer el cumplimiento de la actuación administrativa del Estado, es preciso constituir el Comité de Talento Humano.</w:t>
      </w:r>
    </w:p>
    <w:p w14:paraId="47D9F739" w14:textId="77777777" w:rsidR="00C877B0" w:rsidRPr="00C877B0" w:rsidRDefault="00C877B0" w:rsidP="00C877B0">
      <w:pPr>
        <w:jc w:val="both"/>
        <w:rPr>
          <w:rFonts w:ascii="Verdana" w:hAnsi="Verdana"/>
          <w:sz w:val="22"/>
          <w:szCs w:val="22"/>
        </w:rPr>
      </w:pPr>
      <w:r w:rsidRPr="00C877B0">
        <w:rPr>
          <w:rFonts w:ascii="Verdana" w:hAnsi="Verdana"/>
          <w:sz w:val="22"/>
          <w:szCs w:val="22"/>
        </w:rPr>
        <w:t>Que en mérito de lo expuesto,</w:t>
      </w:r>
    </w:p>
    <w:p w14:paraId="0FEE0FE4" w14:textId="77777777" w:rsidR="00C877B0" w:rsidRPr="00C877B0" w:rsidRDefault="00C877B0" w:rsidP="00C877B0">
      <w:pPr>
        <w:jc w:val="center"/>
        <w:rPr>
          <w:rFonts w:ascii="Verdana" w:hAnsi="Verdana"/>
          <w:b/>
          <w:bCs/>
          <w:sz w:val="22"/>
          <w:szCs w:val="22"/>
        </w:rPr>
      </w:pPr>
      <w:r w:rsidRPr="00C877B0">
        <w:rPr>
          <w:rFonts w:ascii="Verdana" w:hAnsi="Verdana"/>
          <w:b/>
          <w:bCs/>
          <w:sz w:val="22"/>
          <w:szCs w:val="22"/>
        </w:rPr>
        <w:t>RESUELVE:</w:t>
      </w:r>
    </w:p>
    <w:p w14:paraId="5E9D8FE0" w14:textId="2D6AC4CA" w:rsidR="00C877B0" w:rsidRPr="00C877B0" w:rsidRDefault="00C877B0" w:rsidP="00C877B0">
      <w:pPr>
        <w:jc w:val="both"/>
        <w:rPr>
          <w:rFonts w:ascii="Verdana" w:hAnsi="Verdana"/>
          <w:sz w:val="22"/>
          <w:szCs w:val="22"/>
        </w:rPr>
      </w:pPr>
      <w:bookmarkStart w:id="0" w:name="1"/>
      <w:r w:rsidRPr="00C877B0">
        <w:rPr>
          <w:rFonts w:ascii="Verdana" w:hAnsi="Verdana"/>
          <w:b/>
          <w:bCs/>
          <w:sz w:val="22"/>
          <w:szCs w:val="22"/>
        </w:rPr>
        <w:t>ARTÍCULO 1o. CREACIÓN Y OBJETO</w:t>
      </w:r>
      <w:r w:rsidRPr="00C877B0">
        <w:rPr>
          <w:rFonts w:ascii="Verdana" w:hAnsi="Verdana"/>
          <w:sz w:val="22"/>
          <w:szCs w:val="22"/>
        </w:rPr>
        <w:t>.</w:t>
      </w:r>
      <w:bookmarkEnd w:id="0"/>
      <w:r w:rsidRPr="00C877B0">
        <w:rPr>
          <w:rFonts w:ascii="Verdana" w:hAnsi="Verdana"/>
          <w:sz w:val="22"/>
          <w:szCs w:val="22"/>
        </w:rPr>
        <w:t> </w:t>
      </w:r>
      <w:r w:rsidR="00116526">
        <w:rPr>
          <w:rFonts w:ascii="Verdana" w:hAnsi="Verdana"/>
          <w:sz w:val="22"/>
          <w:szCs w:val="22"/>
        </w:rPr>
        <w:t xml:space="preserve"> </w:t>
      </w:r>
      <w:r w:rsidR="00116526" w:rsidRPr="00116526">
        <w:rPr>
          <w:rFonts w:ascii="Verdana" w:hAnsi="Verdana"/>
          <w:sz w:val="22"/>
          <w:szCs w:val="22"/>
        </w:rPr>
        <w:t xml:space="preserve">Créase el Comité de Talento Humano con el objeto de ser una instancia asesora y consultiva en la gestión del talento </w:t>
      </w:r>
      <w:r w:rsidR="00116526" w:rsidRPr="00116526">
        <w:rPr>
          <w:rFonts w:ascii="Verdana" w:hAnsi="Verdana"/>
          <w:sz w:val="22"/>
          <w:szCs w:val="22"/>
        </w:rPr>
        <w:lastRenderedPageBreak/>
        <w:t>humano del Instituto Colombiano de Bienestar Familiar Cecilia de la Fuente de Lleras.</w:t>
      </w:r>
    </w:p>
    <w:p w14:paraId="05A791D3" w14:textId="740C474E" w:rsidR="00116526" w:rsidRPr="00116526" w:rsidRDefault="00C877B0" w:rsidP="00116526">
      <w:pPr>
        <w:rPr>
          <w:rFonts w:ascii="Verdana" w:hAnsi="Verdana"/>
          <w:sz w:val="22"/>
          <w:szCs w:val="22"/>
        </w:rPr>
      </w:pPr>
      <w:bookmarkStart w:id="1" w:name="2"/>
      <w:r w:rsidRPr="00C877B0">
        <w:rPr>
          <w:rFonts w:ascii="Verdana" w:hAnsi="Verdana"/>
          <w:b/>
          <w:bCs/>
          <w:sz w:val="22"/>
          <w:szCs w:val="22"/>
        </w:rPr>
        <w:t>ARTÍCULO 2o. INTEGRACIÓN DEL COMITÉ</w:t>
      </w:r>
      <w:r w:rsidRPr="00C877B0">
        <w:rPr>
          <w:rFonts w:ascii="Verdana" w:hAnsi="Verdana"/>
          <w:sz w:val="22"/>
          <w:szCs w:val="22"/>
        </w:rPr>
        <w:t>.</w:t>
      </w:r>
      <w:bookmarkEnd w:id="1"/>
      <w:r w:rsidR="00116526">
        <w:rPr>
          <w:rFonts w:ascii="Verdana" w:hAnsi="Verdana"/>
          <w:sz w:val="22"/>
          <w:szCs w:val="22"/>
        </w:rPr>
        <w:t xml:space="preserve"> </w:t>
      </w:r>
      <w:r w:rsidR="00116526" w:rsidRPr="00116526">
        <w:rPr>
          <w:rFonts w:ascii="Verdana" w:hAnsi="Verdana"/>
          <w:sz w:val="22"/>
          <w:szCs w:val="22"/>
        </w:rPr>
        <w:t>El comité estará integrado así:</w:t>
      </w:r>
    </w:p>
    <w:p w14:paraId="0891EF66" w14:textId="77777777" w:rsidR="00116526" w:rsidRPr="00116526" w:rsidRDefault="00116526" w:rsidP="00116526">
      <w:pPr>
        <w:jc w:val="both"/>
        <w:rPr>
          <w:rFonts w:ascii="Verdana" w:hAnsi="Verdana"/>
          <w:sz w:val="22"/>
          <w:szCs w:val="22"/>
        </w:rPr>
      </w:pPr>
      <w:r w:rsidRPr="00116526">
        <w:rPr>
          <w:rFonts w:ascii="Verdana" w:hAnsi="Verdana"/>
          <w:sz w:val="22"/>
          <w:szCs w:val="22"/>
        </w:rPr>
        <w:t>1. El (la) Secretario (a) General.</w:t>
      </w:r>
    </w:p>
    <w:p w14:paraId="6199C1D1" w14:textId="77777777" w:rsidR="00116526" w:rsidRPr="00116526" w:rsidRDefault="00116526" w:rsidP="00116526">
      <w:pPr>
        <w:jc w:val="both"/>
        <w:rPr>
          <w:rFonts w:ascii="Verdana" w:hAnsi="Verdana"/>
          <w:sz w:val="22"/>
          <w:szCs w:val="22"/>
        </w:rPr>
      </w:pPr>
      <w:r w:rsidRPr="00116526">
        <w:rPr>
          <w:rFonts w:ascii="Verdana" w:hAnsi="Verdana"/>
          <w:sz w:val="22"/>
          <w:szCs w:val="22"/>
        </w:rPr>
        <w:t>2. El (la) Director (a) Planeación.</w:t>
      </w:r>
    </w:p>
    <w:p w14:paraId="62AD5DBE" w14:textId="77777777" w:rsidR="00116526" w:rsidRPr="00116526" w:rsidRDefault="00116526" w:rsidP="00116526">
      <w:pPr>
        <w:jc w:val="both"/>
        <w:rPr>
          <w:rFonts w:ascii="Verdana" w:hAnsi="Verdana"/>
          <w:sz w:val="22"/>
          <w:szCs w:val="22"/>
        </w:rPr>
      </w:pPr>
      <w:r w:rsidRPr="00116526">
        <w:rPr>
          <w:rFonts w:ascii="Verdana" w:hAnsi="Verdana"/>
          <w:sz w:val="22"/>
          <w:szCs w:val="22"/>
        </w:rPr>
        <w:t>3. El (la) Director (a) de Evaluación.</w:t>
      </w:r>
    </w:p>
    <w:p w14:paraId="2FF234AA" w14:textId="77777777" w:rsidR="00116526" w:rsidRPr="00116526" w:rsidRDefault="00116526" w:rsidP="00116526">
      <w:pPr>
        <w:jc w:val="both"/>
        <w:rPr>
          <w:rFonts w:ascii="Verdana" w:hAnsi="Verdana"/>
          <w:sz w:val="22"/>
          <w:szCs w:val="22"/>
        </w:rPr>
      </w:pPr>
      <w:r w:rsidRPr="00116526">
        <w:rPr>
          <w:rFonts w:ascii="Verdana" w:hAnsi="Verdana"/>
          <w:sz w:val="22"/>
          <w:szCs w:val="22"/>
        </w:rPr>
        <w:t>4. El (la) Director (a) Técnico (a).</w:t>
      </w:r>
    </w:p>
    <w:p w14:paraId="79DB3426" w14:textId="77777777" w:rsidR="00116526" w:rsidRPr="00116526" w:rsidRDefault="00116526" w:rsidP="00116526">
      <w:pPr>
        <w:jc w:val="both"/>
        <w:rPr>
          <w:rFonts w:ascii="Verdana" w:hAnsi="Verdana"/>
          <w:sz w:val="22"/>
          <w:szCs w:val="22"/>
        </w:rPr>
      </w:pPr>
      <w:r w:rsidRPr="00116526">
        <w:rPr>
          <w:rFonts w:ascii="Verdana" w:hAnsi="Verdana"/>
          <w:sz w:val="22"/>
          <w:szCs w:val="22"/>
        </w:rPr>
        <w:t>5. El (la) Director (a) de Gestión Humana.</w:t>
      </w:r>
    </w:p>
    <w:p w14:paraId="696C8033" w14:textId="77777777" w:rsidR="00116526" w:rsidRPr="00116526" w:rsidRDefault="00116526" w:rsidP="00116526">
      <w:pPr>
        <w:jc w:val="both"/>
        <w:rPr>
          <w:rFonts w:ascii="Verdana" w:hAnsi="Verdana"/>
          <w:sz w:val="22"/>
          <w:szCs w:val="22"/>
        </w:rPr>
      </w:pPr>
      <w:r w:rsidRPr="00116526">
        <w:rPr>
          <w:rFonts w:ascii="Verdana" w:hAnsi="Verdana"/>
          <w:sz w:val="22"/>
          <w:szCs w:val="22"/>
        </w:rPr>
        <w:t>6. El (la) Subdirector (a) de Mejoramiento Organizacional.</w:t>
      </w:r>
    </w:p>
    <w:p w14:paraId="027F2209" w14:textId="77777777" w:rsidR="00116526" w:rsidRPr="00116526" w:rsidRDefault="00116526" w:rsidP="00116526">
      <w:pPr>
        <w:jc w:val="both"/>
        <w:rPr>
          <w:rFonts w:ascii="Verdana" w:hAnsi="Verdana"/>
          <w:sz w:val="22"/>
          <w:szCs w:val="22"/>
        </w:rPr>
      </w:pPr>
      <w:r w:rsidRPr="00116526">
        <w:rPr>
          <w:rFonts w:ascii="Verdana" w:hAnsi="Verdana"/>
          <w:sz w:val="22"/>
          <w:szCs w:val="22"/>
        </w:rPr>
        <w:t>7. El (la) Coordinador (a) del Grupo de Protección de la Dirección Técnica.</w:t>
      </w:r>
    </w:p>
    <w:p w14:paraId="62497042" w14:textId="77777777" w:rsidR="00116526" w:rsidRPr="00116526" w:rsidRDefault="00116526" w:rsidP="00116526">
      <w:pPr>
        <w:jc w:val="both"/>
        <w:rPr>
          <w:rFonts w:ascii="Verdana" w:hAnsi="Verdana"/>
          <w:sz w:val="22"/>
          <w:szCs w:val="22"/>
        </w:rPr>
      </w:pPr>
      <w:r w:rsidRPr="00116526">
        <w:rPr>
          <w:rFonts w:ascii="Verdana" w:hAnsi="Verdana"/>
          <w:sz w:val="22"/>
          <w:szCs w:val="22"/>
        </w:rPr>
        <w:t>8. El (la) Coordinador (a) del Grupo de Responsabilidad Penal para Adolescentes de la Dirección Técnica.</w:t>
      </w:r>
    </w:p>
    <w:p w14:paraId="653F1FB9" w14:textId="3E1ABFE6" w:rsidR="00C877B0" w:rsidRPr="00C877B0" w:rsidRDefault="00116526" w:rsidP="00C877B0">
      <w:pPr>
        <w:jc w:val="both"/>
        <w:rPr>
          <w:rFonts w:ascii="Verdana" w:hAnsi="Verdana"/>
          <w:sz w:val="22"/>
          <w:szCs w:val="22"/>
        </w:rPr>
      </w:pPr>
      <w:r w:rsidRPr="00116526">
        <w:rPr>
          <w:rFonts w:ascii="Verdana" w:hAnsi="Verdana"/>
          <w:sz w:val="22"/>
          <w:szCs w:val="22"/>
        </w:rPr>
        <w:t>9. Un delegado de la Dirección General.</w:t>
      </w:r>
    </w:p>
    <w:p w14:paraId="25C56712" w14:textId="161877F2" w:rsidR="00C877B0" w:rsidRPr="00C877B0" w:rsidRDefault="00C877B0" w:rsidP="00C877B0">
      <w:pPr>
        <w:jc w:val="both"/>
        <w:rPr>
          <w:rFonts w:ascii="Verdana" w:hAnsi="Verdana"/>
          <w:sz w:val="22"/>
          <w:szCs w:val="22"/>
        </w:rPr>
      </w:pPr>
      <w:bookmarkStart w:id="2" w:name="3"/>
      <w:r w:rsidRPr="00C877B0">
        <w:rPr>
          <w:rFonts w:ascii="Verdana" w:hAnsi="Verdana"/>
          <w:b/>
          <w:bCs/>
          <w:sz w:val="22"/>
          <w:szCs w:val="22"/>
        </w:rPr>
        <w:t>ARTÍCULO 3o. REUNIONES.</w:t>
      </w:r>
      <w:bookmarkEnd w:id="2"/>
      <w:r w:rsidRPr="00C877B0">
        <w:rPr>
          <w:rFonts w:ascii="Verdana" w:hAnsi="Verdana"/>
          <w:i/>
          <w:iCs/>
          <w:sz w:val="22"/>
          <w:szCs w:val="22"/>
        </w:rPr>
        <w:t> </w:t>
      </w:r>
      <w:r w:rsidR="00116526">
        <w:rPr>
          <w:rFonts w:ascii="Verdana" w:hAnsi="Verdana"/>
          <w:sz w:val="22"/>
          <w:szCs w:val="22"/>
        </w:rPr>
        <w:t xml:space="preserve"> </w:t>
      </w:r>
      <w:r w:rsidR="00116526" w:rsidRPr="00116526">
        <w:rPr>
          <w:rFonts w:ascii="Verdana" w:hAnsi="Verdana"/>
          <w:sz w:val="22"/>
          <w:szCs w:val="22"/>
        </w:rPr>
        <w:t>El Comité se reunirá ordinariamente por lo menos una (1) vez al mes, previa convocatoria de cualquiera de sus miembros, y extraordinariamente cuando se requiera.</w:t>
      </w:r>
    </w:p>
    <w:p w14:paraId="0B1E237B" w14:textId="43BE3516" w:rsidR="00116526" w:rsidRPr="00527253" w:rsidRDefault="00C877B0" w:rsidP="00116526">
      <w:pPr>
        <w:jc w:val="both"/>
        <w:rPr>
          <w:rFonts w:ascii="Verdana" w:hAnsi="Verdana"/>
          <w:sz w:val="22"/>
          <w:szCs w:val="22"/>
        </w:rPr>
      </w:pPr>
      <w:bookmarkStart w:id="3" w:name="4"/>
      <w:r w:rsidRPr="00527253">
        <w:rPr>
          <w:rFonts w:ascii="Verdana" w:hAnsi="Verdana"/>
          <w:b/>
          <w:bCs/>
          <w:sz w:val="22"/>
          <w:szCs w:val="22"/>
        </w:rPr>
        <w:t>ARTÍCULO 4o. QUÓRUM DELIBERATORIO Y DECISORIO</w:t>
      </w:r>
      <w:r w:rsidRPr="00527253">
        <w:rPr>
          <w:rFonts w:ascii="Verdana" w:hAnsi="Verdana"/>
          <w:sz w:val="22"/>
          <w:szCs w:val="22"/>
        </w:rPr>
        <w:t>.</w:t>
      </w:r>
      <w:bookmarkEnd w:id="3"/>
      <w:r w:rsidRPr="00527253">
        <w:rPr>
          <w:rFonts w:ascii="Verdana" w:hAnsi="Verdana"/>
          <w:i/>
          <w:iCs/>
          <w:sz w:val="22"/>
          <w:szCs w:val="22"/>
        </w:rPr>
        <w:t> </w:t>
      </w:r>
      <w:r w:rsidR="00116526" w:rsidRPr="00527253">
        <w:rPr>
          <w:rFonts w:ascii="Verdana" w:hAnsi="Verdana"/>
          <w:sz w:val="22"/>
          <w:szCs w:val="22"/>
        </w:rPr>
        <w:t xml:space="preserve"> Se constituirá quórum deliberatorio con la participación de por lo menos cinco (5) de sus miembros y decisorio con la participación de por lo menos seis (6) de los miembros del Comité.</w:t>
      </w:r>
    </w:p>
    <w:p w14:paraId="54960FA6" w14:textId="7FA82B4F" w:rsidR="00C877B0" w:rsidRPr="00C877B0" w:rsidRDefault="00116526" w:rsidP="00C877B0">
      <w:pPr>
        <w:jc w:val="both"/>
        <w:rPr>
          <w:rFonts w:ascii="Verdana" w:hAnsi="Verdana"/>
          <w:sz w:val="22"/>
          <w:szCs w:val="22"/>
        </w:rPr>
      </w:pPr>
      <w:r w:rsidRPr="00527253">
        <w:rPr>
          <w:rFonts w:ascii="Verdana" w:hAnsi="Verdana"/>
          <w:sz w:val="22"/>
          <w:szCs w:val="22"/>
        </w:rPr>
        <w:t>PARÁGRAFO. Cuando sea necesario y previa invitación podrán concurrir en calidad de invitados según los temas a tratar, Directores Regionales, Directores Seccionales, Jefes de Oficina, Directores, Subdirectores o cualquier otro servidor público.</w:t>
      </w:r>
    </w:p>
    <w:p w14:paraId="0D446303" w14:textId="73077357" w:rsidR="00527253" w:rsidRPr="00527253" w:rsidRDefault="00C877B0" w:rsidP="00527253">
      <w:pPr>
        <w:jc w:val="both"/>
        <w:rPr>
          <w:rFonts w:ascii="Verdana" w:hAnsi="Verdana"/>
          <w:sz w:val="22"/>
          <w:szCs w:val="22"/>
        </w:rPr>
      </w:pPr>
      <w:bookmarkStart w:id="4" w:name="5"/>
      <w:r w:rsidRPr="00C877B0">
        <w:rPr>
          <w:rFonts w:ascii="Verdana" w:hAnsi="Verdana"/>
          <w:b/>
          <w:bCs/>
          <w:sz w:val="22"/>
          <w:szCs w:val="22"/>
        </w:rPr>
        <w:t>ARTÍCULO 5o. FUNCIONES DEL COMITÉ DE TALENTO HUMANO.</w:t>
      </w:r>
      <w:bookmarkEnd w:id="4"/>
      <w:r w:rsidR="00527253">
        <w:rPr>
          <w:rFonts w:ascii="Verdana" w:hAnsi="Verdana"/>
          <w:sz w:val="22"/>
          <w:szCs w:val="22"/>
        </w:rPr>
        <w:t xml:space="preserve"> </w:t>
      </w:r>
      <w:r w:rsidR="00527253" w:rsidRPr="00527253">
        <w:rPr>
          <w:rFonts w:ascii="Verdana" w:hAnsi="Verdana"/>
          <w:sz w:val="22"/>
          <w:szCs w:val="22"/>
        </w:rPr>
        <w:t>Son funciones del Comité las siguientes:</w:t>
      </w:r>
    </w:p>
    <w:p w14:paraId="13972A62" w14:textId="77777777" w:rsidR="00527253" w:rsidRPr="00527253" w:rsidRDefault="00527253" w:rsidP="00527253">
      <w:pPr>
        <w:jc w:val="both"/>
        <w:rPr>
          <w:rFonts w:ascii="Verdana" w:hAnsi="Verdana"/>
          <w:sz w:val="22"/>
          <w:szCs w:val="22"/>
        </w:rPr>
      </w:pPr>
      <w:r w:rsidRPr="00527253">
        <w:rPr>
          <w:rFonts w:ascii="Verdana" w:hAnsi="Verdana"/>
          <w:sz w:val="22"/>
          <w:szCs w:val="22"/>
        </w:rPr>
        <w:t>1. Orientar el diseño de planes estratégicos del área de Talento Humano.</w:t>
      </w:r>
    </w:p>
    <w:p w14:paraId="29419F3C" w14:textId="77777777" w:rsidR="00527253" w:rsidRPr="00527253" w:rsidRDefault="00527253" w:rsidP="00527253">
      <w:pPr>
        <w:jc w:val="both"/>
        <w:rPr>
          <w:rFonts w:ascii="Verdana" w:hAnsi="Verdana"/>
          <w:sz w:val="22"/>
          <w:szCs w:val="22"/>
        </w:rPr>
      </w:pPr>
      <w:r w:rsidRPr="00527253">
        <w:rPr>
          <w:rFonts w:ascii="Verdana" w:hAnsi="Verdana"/>
          <w:sz w:val="22"/>
          <w:szCs w:val="22"/>
        </w:rPr>
        <w:t>2. Participar en la formulación de políticas orientadas a la planeación, optimización y solución de necesidades de talento humano.</w:t>
      </w:r>
    </w:p>
    <w:p w14:paraId="55868C06" w14:textId="77777777" w:rsidR="00527253" w:rsidRPr="00527253" w:rsidRDefault="00527253" w:rsidP="00527253">
      <w:pPr>
        <w:jc w:val="both"/>
        <w:rPr>
          <w:rFonts w:ascii="Verdana" w:hAnsi="Verdana"/>
          <w:sz w:val="22"/>
          <w:szCs w:val="22"/>
        </w:rPr>
      </w:pPr>
      <w:r w:rsidRPr="00527253">
        <w:rPr>
          <w:rFonts w:ascii="Verdana" w:hAnsi="Verdana"/>
          <w:sz w:val="22"/>
          <w:szCs w:val="22"/>
        </w:rPr>
        <w:t>3. Asesorar la formulación de programas internos que promuevan la eficacia, pertinencia y coherencia en la gestión del talento humano.</w:t>
      </w:r>
    </w:p>
    <w:p w14:paraId="25B6AA1B" w14:textId="77777777" w:rsidR="00527253" w:rsidRPr="00527253" w:rsidRDefault="00527253" w:rsidP="00527253">
      <w:pPr>
        <w:jc w:val="both"/>
        <w:rPr>
          <w:rFonts w:ascii="Verdana" w:hAnsi="Verdana"/>
          <w:sz w:val="22"/>
          <w:szCs w:val="22"/>
        </w:rPr>
      </w:pPr>
      <w:r w:rsidRPr="00527253">
        <w:rPr>
          <w:rFonts w:ascii="Verdana" w:hAnsi="Verdana"/>
          <w:sz w:val="22"/>
          <w:szCs w:val="22"/>
        </w:rPr>
        <w:lastRenderedPageBreak/>
        <w:t>4. Velar por el uso eficiente de la planta de personal y de los demás medies de vinculación de personal.</w:t>
      </w:r>
    </w:p>
    <w:p w14:paraId="6BA8A52C" w14:textId="77777777" w:rsidR="00527253" w:rsidRPr="00527253" w:rsidRDefault="00527253" w:rsidP="00527253">
      <w:pPr>
        <w:jc w:val="both"/>
        <w:rPr>
          <w:rFonts w:ascii="Verdana" w:hAnsi="Verdana"/>
          <w:sz w:val="22"/>
          <w:szCs w:val="22"/>
        </w:rPr>
      </w:pPr>
      <w:r w:rsidRPr="00527253">
        <w:rPr>
          <w:rFonts w:ascii="Verdana" w:hAnsi="Verdana"/>
          <w:sz w:val="22"/>
          <w:szCs w:val="22"/>
        </w:rPr>
        <w:t>5. Gestionar y realizar el seguimiento a los recursos presupuestales asignados a la vinculación de los servidores públicos y contratistas al servicio del Instituto.</w:t>
      </w:r>
    </w:p>
    <w:p w14:paraId="1CCD1921" w14:textId="5948D8A1" w:rsidR="00527253" w:rsidRPr="00C877B0" w:rsidRDefault="00527253" w:rsidP="00C877B0">
      <w:pPr>
        <w:jc w:val="both"/>
        <w:rPr>
          <w:rFonts w:ascii="Verdana" w:hAnsi="Verdana"/>
          <w:sz w:val="22"/>
          <w:szCs w:val="22"/>
        </w:rPr>
      </w:pPr>
      <w:r w:rsidRPr="00527253">
        <w:rPr>
          <w:rFonts w:ascii="Verdana" w:hAnsi="Verdana"/>
          <w:sz w:val="22"/>
          <w:szCs w:val="22"/>
        </w:rPr>
        <w:t>6. Establecer las necesidades de personal en las Regionales teniendo en cuenta los estándares de personal, las solicitudes, las justificaciones y demás medios que las acrediten.</w:t>
      </w:r>
    </w:p>
    <w:p w14:paraId="616DD5AE" w14:textId="4202D791" w:rsidR="00C877B0" w:rsidRPr="00C877B0" w:rsidRDefault="00C877B0" w:rsidP="00C877B0">
      <w:pPr>
        <w:jc w:val="both"/>
        <w:rPr>
          <w:rFonts w:ascii="Verdana" w:hAnsi="Verdana"/>
          <w:sz w:val="22"/>
          <w:szCs w:val="22"/>
        </w:rPr>
      </w:pPr>
      <w:bookmarkStart w:id="5" w:name="6"/>
      <w:r w:rsidRPr="00C877B0">
        <w:rPr>
          <w:rFonts w:ascii="Verdana" w:hAnsi="Verdana"/>
          <w:b/>
          <w:bCs/>
          <w:sz w:val="22"/>
          <w:szCs w:val="22"/>
        </w:rPr>
        <w:t>ARTÍCULO 6o. SECRETARÍA TÉCNICA.</w:t>
      </w:r>
      <w:bookmarkEnd w:id="5"/>
      <w:r w:rsidRPr="00C877B0">
        <w:rPr>
          <w:rFonts w:ascii="Verdana" w:hAnsi="Verdana"/>
          <w:sz w:val="22"/>
          <w:szCs w:val="22"/>
        </w:rPr>
        <w:t>  La Secretaría Técnica del Comité de Talento Humano estará a cargo del (la) Director (a) de Gestión Humana.</w:t>
      </w:r>
    </w:p>
    <w:p w14:paraId="4DAB51F2" w14:textId="4098521E" w:rsidR="00C877B0" w:rsidRPr="00C877B0" w:rsidRDefault="00C877B0" w:rsidP="00C877B0">
      <w:pPr>
        <w:jc w:val="both"/>
        <w:rPr>
          <w:rFonts w:ascii="Verdana" w:hAnsi="Verdana"/>
          <w:sz w:val="22"/>
          <w:szCs w:val="22"/>
        </w:rPr>
      </w:pPr>
      <w:bookmarkStart w:id="6" w:name="7"/>
      <w:r w:rsidRPr="00C877B0">
        <w:rPr>
          <w:rFonts w:ascii="Verdana" w:hAnsi="Verdana"/>
          <w:b/>
          <w:bCs/>
          <w:sz w:val="22"/>
          <w:szCs w:val="22"/>
        </w:rPr>
        <w:t>ARTÍCULO 7o. FUNCIONES DEL SECRETARIO TÉCNICO DEL COMITÉ.</w:t>
      </w:r>
      <w:bookmarkEnd w:id="6"/>
      <w:r w:rsidRPr="00C877B0">
        <w:rPr>
          <w:rFonts w:ascii="Verdana" w:hAnsi="Verdana"/>
          <w:sz w:val="22"/>
          <w:szCs w:val="22"/>
        </w:rPr>
        <w:t> </w:t>
      </w:r>
      <w:r>
        <w:rPr>
          <w:rFonts w:ascii="Verdana" w:hAnsi="Verdana"/>
          <w:sz w:val="22"/>
          <w:szCs w:val="22"/>
        </w:rPr>
        <w:t>[</w:t>
      </w:r>
      <w:r w:rsidRPr="00C877B0">
        <w:rPr>
          <w:rFonts w:ascii="Verdana" w:hAnsi="Verdana"/>
          <w:sz w:val="22"/>
          <w:szCs w:val="22"/>
        </w:rPr>
        <w:t>Resolución derogada por el artículo </w:t>
      </w:r>
      <w:r w:rsidRPr="00741799">
        <w:rPr>
          <w:rFonts w:ascii="Verdana" w:hAnsi="Verdana"/>
          <w:sz w:val="22"/>
          <w:szCs w:val="22"/>
        </w:rPr>
        <w:t>60</w:t>
      </w:r>
      <w:r w:rsidRPr="00C877B0">
        <w:rPr>
          <w:rFonts w:ascii="Verdana" w:hAnsi="Verdana"/>
          <w:sz w:val="22"/>
          <w:szCs w:val="22"/>
        </w:rPr>
        <w:t> del Acuerdo 4 de 2010</w:t>
      </w:r>
      <w:r>
        <w:rPr>
          <w:rFonts w:ascii="Verdana" w:hAnsi="Verdana"/>
          <w:sz w:val="22"/>
          <w:szCs w:val="22"/>
        </w:rPr>
        <w:t>]</w:t>
      </w:r>
      <w:r w:rsidRPr="00C877B0">
        <w:rPr>
          <w:rFonts w:ascii="Verdana" w:hAnsi="Verdana"/>
          <w:sz w:val="22"/>
          <w:szCs w:val="22"/>
        </w:rPr>
        <w:t xml:space="preserve"> </w:t>
      </w:r>
      <w:r>
        <w:rPr>
          <w:rFonts w:ascii="Verdana" w:hAnsi="Verdana"/>
          <w:sz w:val="22"/>
          <w:szCs w:val="22"/>
        </w:rPr>
        <w:t>[</w:t>
      </w:r>
      <w:r w:rsidRPr="00C877B0">
        <w:rPr>
          <w:rFonts w:ascii="Verdana" w:hAnsi="Verdana"/>
          <w:sz w:val="22"/>
          <w:szCs w:val="22"/>
        </w:rPr>
        <w:t>Ver Notas del Editor</w:t>
      </w:r>
      <w:r>
        <w:rPr>
          <w:rFonts w:ascii="Verdana" w:hAnsi="Verdana"/>
          <w:sz w:val="22"/>
          <w:szCs w:val="22"/>
        </w:rPr>
        <w:t>]</w:t>
      </w:r>
      <w:r w:rsidRPr="00C877B0">
        <w:rPr>
          <w:rFonts w:ascii="Verdana" w:hAnsi="Verdana"/>
          <w:sz w:val="22"/>
          <w:szCs w:val="22"/>
        </w:rPr>
        <w:t xml:space="preserve"> Son funciones de la Secretaría Técnica del Comité las siguientes:</w:t>
      </w:r>
    </w:p>
    <w:p w14:paraId="407393AB" w14:textId="77777777" w:rsidR="00C877B0" w:rsidRPr="00C877B0" w:rsidRDefault="00C877B0" w:rsidP="00C877B0">
      <w:pPr>
        <w:jc w:val="both"/>
        <w:rPr>
          <w:rFonts w:ascii="Verdana" w:hAnsi="Verdana"/>
          <w:sz w:val="22"/>
          <w:szCs w:val="22"/>
        </w:rPr>
      </w:pPr>
      <w:r w:rsidRPr="00C877B0">
        <w:rPr>
          <w:rFonts w:ascii="Verdana" w:hAnsi="Verdana"/>
          <w:sz w:val="22"/>
          <w:szCs w:val="22"/>
        </w:rPr>
        <w:t>1. Citar a los integrantes del Comité a las reuniones.</w:t>
      </w:r>
    </w:p>
    <w:p w14:paraId="2CF4F066" w14:textId="77777777" w:rsidR="00C877B0" w:rsidRPr="00C877B0" w:rsidRDefault="00C877B0" w:rsidP="00C877B0">
      <w:pPr>
        <w:jc w:val="both"/>
        <w:rPr>
          <w:rFonts w:ascii="Verdana" w:hAnsi="Verdana"/>
          <w:sz w:val="22"/>
          <w:szCs w:val="22"/>
        </w:rPr>
      </w:pPr>
      <w:r w:rsidRPr="00C877B0">
        <w:rPr>
          <w:rFonts w:ascii="Verdana" w:hAnsi="Verdana"/>
          <w:sz w:val="22"/>
          <w:szCs w:val="22"/>
        </w:rPr>
        <w:t>2. Elaborar el orden del día.</w:t>
      </w:r>
    </w:p>
    <w:p w14:paraId="4BB73466" w14:textId="77777777" w:rsidR="00C877B0" w:rsidRPr="00C877B0" w:rsidRDefault="00C877B0" w:rsidP="00C877B0">
      <w:pPr>
        <w:jc w:val="both"/>
        <w:rPr>
          <w:rFonts w:ascii="Verdana" w:hAnsi="Verdana"/>
          <w:sz w:val="22"/>
          <w:szCs w:val="22"/>
        </w:rPr>
      </w:pPr>
      <w:r w:rsidRPr="00C877B0">
        <w:rPr>
          <w:rFonts w:ascii="Verdana" w:hAnsi="Verdana"/>
          <w:sz w:val="22"/>
          <w:szCs w:val="22"/>
        </w:rPr>
        <w:t>3. Elaborar las actas de cada reunión.</w:t>
      </w:r>
    </w:p>
    <w:p w14:paraId="4E620180" w14:textId="77777777" w:rsidR="00C877B0" w:rsidRPr="00C877B0" w:rsidRDefault="00C877B0" w:rsidP="00C877B0">
      <w:pPr>
        <w:jc w:val="both"/>
        <w:rPr>
          <w:rFonts w:ascii="Verdana" w:hAnsi="Verdana"/>
          <w:sz w:val="22"/>
          <w:szCs w:val="22"/>
        </w:rPr>
      </w:pPr>
      <w:r w:rsidRPr="00C877B0">
        <w:rPr>
          <w:rFonts w:ascii="Verdana" w:hAnsi="Verdana"/>
          <w:sz w:val="22"/>
          <w:szCs w:val="22"/>
        </w:rPr>
        <w:t>4. Presentar y someter a consideración del Comité los oficios e informes que se requieran.</w:t>
      </w:r>
    </w:p>
    <w:p w14:paraId="20E05A2D" w14:textId="77777777" w:rsidR="00C877B0" w:rsidRPr="00C877B0" w:rsidRDefault="00C877B0" w:rsidP="00C877B0">
      <w:pPr>
        <w:jc w:val="both"/>
        <w:rPr>
          <w:rFonts w:ascii="Verdana" w:hAnsi="Verdana"/>
          <w:sz w:val="22"/>
          <w:szCs w:val="22"/>
        </w:rPr>
      </w:pPr>
      <w:r w:rsidRPr="00C877B0">
        <w:rPr>
          <w:rFonts w:ascii="Verdana" w:hAnsi="Verdana"/>
          <w:sz w:val="22"/>
          <w:szCs w:val="22"/>
        </w:rPr>
        <w:t>5. Conservar en debida forma las actas y los documentos soportes que sirvieron para la decisión adoptadas por el Comité.</w:t>
      </w:r>
    </w:p>
    <w:p w14:paraId="59F03F8C" w14:textId="77777777" w:rsidR="00C877B0" w:rsidRPr="00C877B0" w:rsidRDefault="00C877B0" w:rsidP="00C877B0">
      <w:pPr>
        <w:jc w:val="both"/>
        <w:rPr>
          <w:rFonts w:ascii="Verdana" w:hAnsi="Verdana"/>
          <w:sz w:val="22"/>
          <w:szCs w:val="22"/>
        </w:rPr>
      </w:pPr>
      <w:r w:rsidRPr="00C877B0">
        <w:rPr>
          <w:rFonts w:ascii="Verdana" w:hAnsi="Verdana"/>
          <w:sz w:val="22"/>
          <w:szCs w:val="22"/>
        </w:rPr>
        <w:t>6. Estudiar los temas previamente y presentar en las sesiones los conceptos técnicos y jurídicos.</w:t>
      </w:r>
    </w:p>
    <w:p w14:paraId="70C2B779" w14:textId="77777777" w:rsidR="00C877B0" w:rsidRPr="00C877B0" w:rsidRDefault="00C877B0" w:rsidP="00C877B0">
      <w:pPr>
        <w:jc w:val="both"/>
        <w:rPr>
          <w:rFonts w:ascii="Verdana" w:hAnsi="Verdana"/>
          <w:sz w:val="22"/>
          <w:szCs w:val="22"/>
        </w:rPr>
      </w:pPr>
      <w:r w:rsidRPr="00C877B0">
        <w:rPr>
          <w:rFonts w:ascii="Verdana" w:hAnsi="Verdana"/>
          <w:sz w:val="22"/>
          <w:szCs w:val="22"/>
        </w:rPr>
        <w:t>7. Canalizar las solicitudes de recurso humano que efectúen las regionales y presentarlas al Comité para análisis.</w:t>
      </w:r>
    </w:p>
    <w:p w14:paraId="6C25996E" w14:textId="0C77D521" w:rsidR="00C877B0" w:rsidRPr="00C877B0" w:rsidRDefault="00C877B0" w:rsidP="00C877B0">
      <w:pPr>
        <w:jc w:val="both"/>
        <w:rPr>
          <w:rFonts w:ascii="Verdana" w:hAnsi="Verdana"/>
          <w:sz w:val="22"/>
          <w:szCs w:val="22"/>
        </w:rPr>
      </w:pPr>
      <w:r w:rsidRPr="00C877B0">
        <w:rPr>
          <w:rFonts w:ascii="Verdana" w:hAnsi="Verdana"/>
          <w:sz w:val="22"/>
          <w:szCs w:val="22"/>
        </w:rPr>
        <w:t>8. La demás que le sean asignadas por el Comité.</w:t>
      </w:r>
    </w:p>
    <w:p w14:paraId="797C107C" w14:textId="197E4C6E" w:rsidR="00C877B0" w:rsidRPr="00C877B0" w:rsidRDefault="00C877B0" w:rsidP="00C877B0">
      <w:pPr>
        <w:jc w:val="both"/>
        <w:rPr>
          <w:rFonts w:ascii="Verdana" w:hAnsi="Verdana"/>
          <w:sz w:val="22"/>
          <w:szCs w:val="22"/>
        </w:rPr>
      </w:pPr>
      <w:bookmarkStart w:id="7" w:name="8"/>
      <w:r w:rsidRPr="00C877B0">
        <w:rPr>
          <w:rFonts w:ascii="Verdana" w:hAnsi="Verdana"/>
          <w:b/>
          <w:bCs/>
          <w:sz w:val="22"/>
          <w:szCs w:val="22"/>
        </w:rPr>
        <w:t>ARTÍCULO 8o. VIGENCIA.</w:t>
      </w:r>
      <w:bookmarkEnd w:id="7"/>
      <w:r w:rsidRPr="00C877B0">
        <w:rPr>
          <w:rFonts w:ascii="Verdana" w:hAnsi="Verdana"/>
          <w:sz w:val="22"/>
          <w:szCs w:val="22"/>
        </w:rPr>
        <w:t> </w:t>
      </w:r>
      <w:r>
        <w:rPr>
          <w:rFonts w:ascii="Verdana" w:hAnsi="Verdana"/>
          <w:sz w:val="22"/>
          <w:szCs w:val="22"/>
        </w:rPr>
        <w:t>[</w:t>
      </w:r>
      <w:r w:rsidRPr="00C877B0">
        <w:rPr>
          <w:rFonts w:ascii="Verdana" w:hAnsi="Verdana"/>
          <w:sz w:val="22"/>
          <w:szCs w:val="22"/>
        </w:rPr>
        <w:t>Resolución derogada por el artículo </w:t>
      </w:r>
      <w:r w:rsidRPr="00741799">
        <w:rPr>
          <w:rFonts w:ascii="Verdana" w:hAnsi="Verdana"/>
          <w:sz w:val="22"/>
          <w:szCs w:val="22"/>
        </w:rPr>
        <w:t>60</w:t>
      </w:r>
      <w:r w:rsidRPr="00C877B0">
        <w:rPr>
          <w:rFonts w:ascii="Verdana" w:hAnsi="Verdana"/>
          <w:sz w:val="22"/>
          <w:szCs w:val="22"/>
        </w:rPr>
        <w:t> del Acuerdo 4 de 2010</w:t>
      </w:r>
      <w:r>
        <w:rPr>
          <w:rFonts w:ascii="Verdana" w:hAnsi="Verdana"/>
          <w:sz w:val="22"/>
          <w:szCs w:val="22"/>
        </w:rPr>
        <w:t>]</w:t>
      </w:r>
      <w:r w:rsidRPr="00C877B0">
        <w:rPr>
          <w:rFonts w:ascii="Verdana" w:hAnsi="Verdana"/>
          <w:sz w:val="22"/>
          <w:szCs w:val="22"/>
        </w:rPr>
        <w:t xml:space="preserve"> La presente resolución rige a partir de la fecha de su publicación.</w:t>
      </w:r>
    </w:p>
    <w:p w14:paraId="27916B3F" w14:textId="638C1D08" w:rsidR="00C877B0" w:rsidRPr="004A5838" w:rsidRDefault="00C877B0" w:rsidP="00C877B0">
      <w:pPr>
        <w:jc w:val="center"/>
        <w:rPr>
          <w:rFonts w:ascii="Verdana" w:hAnsi="Verdana"/>
          <w:b/>
          <w:bCs/>
          <w:sz w:val="22"/>
          <w:szCs w:val="22"/>
        </w:rPr>
      </w:pPr>
      <w:r w:rsidRPr="004A5838">
        <w:rPr>
          <w:rFonts w:ascii="Verdana" w:hAnsi="Verdana"/>
          <w:b/>
          <w:bCs/>
          <w:sz w:val="22"/>
          <w:szCs w:val="22"/>
        </w:rPr>
        <w:t xml:space="preserve">Publíquese, </w:t>
      </w:r>
      <w:r w:rsidR="004A5838">
        <w:rPr>
          <w:rFonts w:ascii="Verdana" w:hAnsi="Verdana"/>
          <w:b/>
          <w:bCs/>
          <w:sz w:val="22"/>
          <w:szCs w:val="22"/>
        </w:rPr>
        <w:t>C</w:t>
      </w:r>
      <w:r w:rsidRPr="004A5838">
        <w:rPr>
          <w:rFonts w:ascii="Verdana" w:hAnsi="Verdana"/>
          <w:b/>
          <w:bCs/>
          <w:sz w:val="22"/>
          <w:szCs w:val="22"/>
        </w:rPr>
        <w:t xml:space="preserve">omuníquese y </w:t>
      </w:r>
      <w:r w:rsidR="004A5838">
        <w:rPr>
          <w:rFonts w:ascii="Verdana" w:hAnsi="Verdana"/>
          <w:b/>
          <w:bCs/>
          <w:sz w:val="22"/>
          <w:szCs w:val="22"/>
        </w:rPr>
        <w:t>C</w:t>
      </w:r>
      <w:r w:rsidRPr="004A5838">
        <w:rPr>
          <w:rFonts w:ascii="Verdana" w:hAnsi="Verdana"/>
          <w:b/>
          <w:bCs/>
          <w:sz w:val="22"/>
          <w:szCs w:val="22"/>
        </w:rPr>
        <w:t>úmplase.</w:t>
      </w:r>
    </w:p>
    <w:p w14:paraId="10CC0FA7" w14:textId="77777777" w:rsidR="00C877B0" w:rsidRPr="00C877B0" w:rsidRDefault="00C877B0" w:rsidP="00C877B0">
      <w:pPr>
        <w:jc w:val="center"/>
        <w:rPr>
          <w:rFonts w:ascii="Verdana" w:hAnsi="Verdana"/>
          <w:sz w:val="22"/>
          <w:szCs w:val="22"/>
        </w:rPr>
      </w:pPr>
      <w:r w:rsidRPr="00C877B0">
        <w:rPr>
          <w:rFonts w:ascii="Verdana" w:hAnsi="Verdana"/>
          <w:sz w:val="22"/>
          <w:szCs w:val="22"/>
        </w:rPr>
        <w:t>Dada en Bogotá, D. C., a 19 de febrero de 2009.</w:t>
      </w:r>
    </w:p>
    <w:p w14:paraId="7F81433E" w14:textId="77777777" w:rsidR="00C877B0" w:rsidRPr="00C877B0" w:rsidRDefault="00C877B0" w:rsidP="00C877B0">
      <w:pPr>
        <w:jc w:val="center"/>
        <w:rPr>
          <w:rFonts w:ascii="Verdana" w:hAnsi="Verdana"/>
          <w:sz w:val="22"/>
          <w:szCs w:val="22"/>
        </w:rPr>
      </w:pPr>
      <w:r w:rsidRPr="00C877B0">
        <w:rPr>
          <w:rFonts w:ascii="Verdana" w:hAnsi="Verdana"/>
          <w:sz w:val="22"/>
          <w:szCs w:val="22"/>
        </w:rPr>
        <w:t>La Directora General,</w:t>
      </w:r>
    </w:p>
    <w:p w14:paraId="1CFDAFF7" w14:textId="77777777" w:rsidR="00C877B0" w:rsidRPr="00527253" w:rsidRDefault="00C877B0" w:rsidP="00C877B0">
      <w:pPr>
        <w:jc w:val="center"/>
        <w:rPr>
          <w:rFonts w:ascii="Verdana" w:hAnsi="Verdana"/>
          <w:b/>
          <w:bCs/>
          <w:sz w:val="22"/>
          <w:szCs w:val="22"/>
        </w:rPr>
      </w:pPr>
      <w:r w:rsidRPr="00527253">
        <w:rPr>
          <w:rFonts w:ascii="Verdana" w:hAnsi="Verdana"/>
          <w:b/>
          <w:bCs/>
          <w:sz w:val="22"/>
          <w:szCs w:val="22"/>
        </w:rPr>
        <w:t>ELVIRA FORERO HERNÁNDEZ.</w:t>
      </w:r>
    </w:p>
    <w:p w14:paraId="1881F352" w14:textId="7EF715D3" w:rsidR="00794C8B" w:rsidRPr="00C877B0" w:rsidRDefault="00794C8B" w:rsidP="00C877B0">
      <w:pPr>
        <w:jc w:val="center"/>
        <w:rPr>
          <w:rFonts w:ascii="Verdana" w:hAnsi="Verdana"/>
          <w:sz w:val="22"/>
          <w:szCs w:val="22"/>
          <w:lang w:val="pt-PT"/>
        </w:rPr>
      </w:pPr>
    </w:p>
    <w:sectPr w:rsidR="00794C8B" w:rsidRPr="00C877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3054"/>
    <w:rsid w:val="00046CB4"/>
    <w:rsid w:val="00050F65"/>
    <w:rsid w:val="000E528A"/>
    <w:rsid w:val="000F55B9"/>
    <w:rsid w:val="001033E7"/>
    <w:rsid w:val="00112117"/>
    <w:rsid w:val="00116526"/>
    <w:rsid w:val="00172B4A"/>
    <w:rsid w:val="001B1D42"/>
    <w:rsid w:val="001E01BB"/>
    <w:rsid w:val="001F5F2F"/>
    <w:rsid w:val="0026255C"/>
    <w:rsid w:val="00270179"/>
    <w:rsid w:val="00281F44"/>
    <w:rsid w:val="002B6543"/>
    <w:rsid w:val="00387EE9"/>
    <w:rsid w:val="00411CB4"/>
    <w:rsid w:val="004529C5"/>
    <w:rsid w:val="00454E89"/>
    <w:rsid w:val="004A5838"/>
    <w:rsid w:val="004C750E"/>
    <w:rsid w:val="00527253"/>
    <w:rsid w:val="00536063"/>
    <w:rsid w:val="0054386A"/>
    <w:rsid w:val="00555E91"/>
    <w:rsid w:val="00575C56"/>
    <w:rsid w:val="005A7703"/>
    <w:rsid w:val="00665FDA"/>
    <w:rsid w:val="006C6703"/>
    <w:rsid w:val="00722377"/>
    <w:rsid w:val="00723FF9"/>
    <w:rsid w:val="00741799"/>
    <w:rsid w:val="00747F38"/>
    <w:rsid w:val="00794C8B"/>
    <w:rsid w:val="007E46F5"/>
    <w:rsid w:val="00953C3B"/>
    <w:rsid w:val="009D207A"/>
    <w:rsid w:val="00A305B8"/>
    <w:rsid w:val="00A42548"/>
    <w:rsid w:val="00B8362C"/>
    <w:rsid w:val="00B85A8A"/>
    <w:rsid w:val="00BB2E1F"/>
    <w:rsid w:val="00C2001A"/>
    <w:rsid w:val="00C83F29"/>
    <w:rsid w:val="00C877B0"/>
    <w:rsid w:val="00CC5ED5"/>
    <w:rsid w:val="00CC7570"/>
    <w:rsid w:val="00D71035"/>
    <w:rsid w:val="00D72857"/>
    <w:rsid w:val="00E213F8"/>
    <w:rsid w:val="00E746C5"/>
    <w:rsid w:val="00E93D02"/>
    <w:rsid w:val="00ED11A9"/>
    <w:rsid w:val="00EE3D07"/>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0130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C4D4B-C782-4564-B390-C1DA151469AA}"/>
</file>

<file path=customXml/itemProps2.xml><?xml version="1.0" encoding="utf-8"?>
<ds:datastoreItem xmlns:ds="http://schemas.openxmlformats.org/officeDocument/2006/customXml" ds:itemID="{B02597FC-92C6-4291-8A5E-91C58DD1812D}"/>
</file>

<file path=customXml/itemProps3.xml><?xml version="1.0" encoding="utf-8"?>
<ds:datastoreItem xmlns:ds="http://schemas.openxmlformats.org/officeDocument/2006/customXml" ds:itemID="{A11BAEA9-507D-43FD-B7B2-C909B6570E9F}"/>
</file>

<file path=docProps/app.xml><?xml version="1.0" encoding="utf-8"?>
<Properties xmlns="http://schemas.openxmlformats.org/officeDocument/2006/extended-properties" xmlns:vt="http://schemas.openxmlformats.org/officeDocument/2006/docPropsVTypes">
  <Template>Normal</Template>
  <TotalTime>5</TotalTime>
  <Pages>3</Pages>
  <Words>812</Words>
  <Characters>4470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2025-12-15T15:16:00Z</dcterms:created>
  <dcterms:modified xsi:type="dcterms:W3CDTF">2026-04-16T16:43:00Z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