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F9B9D" w14:textId="77777777" w:rsidR="00D91324" w:rsidRPr="00E6085C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RESOLUCIÓN 5068 DE 2010</w:t>
      </w:r>
    </w:p>
    <w:p w14:paraId="75347A36" w14:textId="77777777" w:rsidR="00E6085C" w:rsidRDefault="00E6085C" w:rsidP="00E6085C">
      <w:pPr>
        <w:pStyle w:val="Sinespaciado"/>
        <w:rPr>
          <w:sz w:val="20"/>
          <w:szCs w:val="20"/>
        </w:rPr>
      </w:pPr>
      <w:bookmarkStart w:id="0" w:name="_gkik43155102" w:colFirst="0" w:colLast="0"/>
      <w:bookmarkEnd w:id="0"/>
    </w:p>
    <w:p w14:paraId="135CD1D6" w14:textId="69296C81" w:rsidR="00E6085C" w:rsidRPr="00E6085C" w:rsidRDefault="00E6085C" w:rsidP="00E6085C">
      <w:pPr>
        <w:pStyle w:val="Sinespaciado"/>
        <w:rPr>
          <w:sz w:val="20"/>
          <w:szCs w:val="20"/>
        </w:rPr>
      </w:pPr>
      <w:r w:rsidRPr="00E6085C">
        <w:rPr>
          <w:sz w:val="20"/>
          <w:szCs w:val="20"/>
        </w:rPr>
        <w:t>Fecha de Expedición: 10 de octubre de 2010</w:t>
      </w:r>
    </w:p>
    <w:p w14:paraId="6AEAC493" w14:textId="77777777" w:rsidR="00E6085C" w:rsidRPr="00E6085C" w:rsidRDefault="00E6085C" w:rsidP="00E6085C">
      <w:pPr>
        <w:pStyle w:val="Sinespaciado"/>
        <w:rPr>
          <w:sz w:val="20"/>
          <w:szCs w:val="20"/>
        </w:rPr>
      </w:pPr>
      <w:r w:rsidRPr="00E6085C">
        <w:rPr>
          <w:sz w:val="20"/>
          <w:szCs w:val="20"/>
        </w:rPr>
        <w:t xml:space="preserve">Fecha de </w:t>
      </w:r>
      <w:proofErr w:type="gramStart"/>
      <w:r w:rsidRPr="00E6085C">
        <w:rPr>
          <w:sz w:val="20"/>
          <w:szCs w:val="20"/>
        </w:rPr>
        <w:t>entrada en vigencia</w:t>
      </w:r>
      <w:proofErr w:type="gramEnd"/>
      <w:r w:rsidRPr="00E6085C">
        <w:rPr>
          <w:sz w:val="20"/>
          <w:szCs w:val="20"/>
        </w:rPr>
        <w:t>: 10 de octubre de 2010</w:t>
      </w:r>
    </w:p>
    <w:p w14:paraId="39BC34A8" w14:textId="2E3B43F0" w:rsidR="00B26A11" w:rsidRDefault="00E6085C" w:rsidP="00E6085C">
      <w:pPr>
        <w:pStyle w:val="Sinespaciado"/>
        <w:rPr>
          <w:sz w:val="20"/>
          <w:szCs w:val="20"/>
        </w:rPr>
      </w:pPr>
      <w:r w:rsidRPr="00E6085C">
        <w:rPr>
          <w:sz w:val="20"/>
          <w:szCs w:val="20"/>
        </w:rPr>
        <w:t xml:space="preserve">Estado de la vigencia: </w:t>
      </w:r>
      <w:r w:rsidR="00B26A11" w:rsidRPr="00B26A11">
        <w:rPr>
          <w:sz w:val="20"/>
          <w:szCs w:val="20"/>
        </w:rPr>
        <w:t>Derogada por el artículo 57 de la Resolución 6300 de 2024</w:t>
      </w:r>
      <w:r w:rsidRPr="00E6085C">
        <w:rPr>
          <w:sz w:val="20"/>
          <w:szCs w:val="20"/>
        </w:rPr>
        <w:tab/>
      </w:r>
    </w:p>
    <w:p w14:paraId="2E78D0CA" w14:textId="77777777" w:rsidR="00B26A11" w:rsidRDefault="00B26A11" w:rsidP="00E6085C">
      <w:pPr>
        <w:pStyle w:val="Sinespaciado"/>
        <w:rPr>
          <w:sz w:val="20"/>
          <w:szCs w:val="20"/>
        </w:rPr>
      </w:pPr>
    </w:p>
    <w:p w14:paraId="4B842055" w14:textId="043CE062" w:rsidR="00E6085C" w:rsidRPr="00E6085C" w:rsidRDefault="00E6085C" w:rsidP="00E6085C">
      <w:pPr>
        <w:pStyle w:val="Sinespaciado"/>
        <w:rPr>
          <w:sz w:val="20"/>
          <w:szCs w:val="20"/>
        </w:rPr>
      </w:pPr>
      <w:r w:rsidRPr="00E6085C">
        <w:rPr>
          <w:sz w:val="20"/>
          <w:szCs w:val="20"/>
        </w:rPr>
        <w:t>Fecha de publicación en Diario Oficial: 17 de noviembre de 2010</w:t>
      </w:r>
    </w:p>
    <w:p w14:paraId="1880548F" w14:textId="26D92A22" w:rsidR="00E6085C" w:rsidRPr="00E6085C" w:rsidRDefault="00E6085C" w:rsidP="00E6085C">
      <w:pPr>
        <w:pStyle w:val="Sinespaciado"/>
        <w:rPr>
          <w:sz w:val="20"/>
          <w:szCs w:val="20"/>
        </w:rPr>
      </w:pPr>
      <w:r w:rsidRPr="00E6085C">
        <w:rPr>
          <w:sz w:val="20"/>
          <w:szCs w:val="20"/>
        </w:rPr>
        <w:t>Número del Diario Oficial: 47.896</w:t>
      </w:r>
    </w:p>
    <w:p w14:paraId="3EC51678" w14:textId="77777777" w:rsidR="00E6085C" w:rsidRPr="00E6085C" w:rsidRDefault="00E6085C" w:rsidP="00E6085C">
      <w:pPr>
        <w:pStyle w:val="Sinespaciado"/>
      </w:pPr>
    </w:p>
    <w:p w14:paraId="2BCB3AC4" w14:textId="1D09CE22" w:rsidR="00D91324" w:rsidRPr="00E6085C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RESOLUCIÓN 5068 DE 2010</w:t>
      </w:r>
    </w:p>
    <w:p w14:paraId="2E9A498C" w14:textId="77777777" w:rsidR="00D91324" w:rsidRPr="00E6085C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(noviembre 10)</w:t>
      </w:r>
    </w:p>
    <w:p w14:paraId="70043940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INSTITUTO COLOMBIANO DE BIENESTAR FAMILIAR</w:t>
      </w:r>
    </w:p>
    <w:p w14:paraId="6D1551B2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CECILIA DE LA FUENTE DE LLERAS</w:t>
      </w:r>
    </w:p>
    <w:p w14:paraId="65EC06D5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 w:rsidRPr="00E6085C">
        <w:rPr>
          <w:rFonts w:ascii="Verdana" w:eastAsia="Verdana" w:hAnsi="Verdana" w:cs="Verdana"/>
        </w:rPr>
        <w:t>Por la cual se crea el Comité de Inspección, Vigilancia y Control a los establecimientos públicos o privados que adelanten Programas para la niñez y la familia, del Instituto Colombiano de Bienestar Familiar – Cecilia de la Fuente de Lleras.</w:t>
      </w:r>
    </w:p>
    <w:p w14:paraId="2ACF0C3F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LA DIRECTORA GENERAL DEL INSTITUTO COLOMBIANO DE BIENESTAR FAMILIAR - CECILIA DE LA FUENTE DE LLERAS,</w:t>
      </w:r>
    </w:p>
    <w:p w14:paraId="641591D2" w14:textId="1677E24D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 w:rsidR="00D91324" w:rsidRPr="00E6085C">
        <w:rPr>
          <w:rFonts w:ascii="Verdana" w:eastAsia="Verdana" w:hAnsi="Verdana" w:cs="Verdana"/>
        </w:rPr>
        <w:t>78</w:t>
      </w:r>
      <w:r w:rsidRPr="00E6085C">
        <w:rPr>
          <w:rFonts w:ascii="Verdana" w:eastAsia="Verdana" w:hAnsi="Verdana" w:cs="Verdana"/>
        </w:rPr>
        <w:t xml:space="preserve"> de la Ley 489 de 1998 y el artículo </w:t>
      </w:r>
      <w:r w:rsidR="00D91324" w:rsidRPr="00E6085C">
        <w:rPr>
          <w:rFonts w:ascii="Verdana" w:eastAsia="Verdana" w:hAnsi="Verdana" w:cs="Verdana"/>
        </w:rPr>
        <w:t>36</w:t>
      </w:r>
      <w:r w:rsidRPr="00E6085C">
        <w:rPr>
          <w:rFonts w:ascii="Verdana" w:eastAsia="Verdana" w:hAnsi="Verdana" w:cs="Verdana"/>
        </w:rPr>
        <w:t xml:space="preserve"> del Decreto 117 de 2010, y</w:t>
      </w:r>
    </w:p>
    <w:p w14:paraId="2A880353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CONSIDERANDO:</w:t>
      </w:r>
    </w:p>
    <w:p w14:paraId="3EF45F6B" w14:textId="09BDBCE6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Que el artículo </w:t>
      </w:r>
      <w:r w:rsidR="00D91324" w:rsidRPr="00E6085C">
        <w:rPr>
          <w:rFonts w:ascii="Verdana" w:eastAsia="Verdana" w:hAnsi="Verdana" w:cs="Verdana"/>
        </w:rPr>
        <w:t>209</w:t>
      </w:r>
      <w:r w:rsidRPr="00E6085C">
        <w:rPr>
          <w:rFonts w:ascii="Verdana" w:eastAsia="Verdana" w:hAnsi="Verdana" w:cs="Verdana"/>
        </w:rPr>
        <w:t xml:space="preserve">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3FFD64A9" w14:textId="2E9A014A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Que la Ley </w:t>
      </w:r>
      <w:r w:rsidR="00D91324" w:rsidRPr="00E6085C">
        <w:rPr>
          <w:rFonts w:ascii="Verdana" w:eastAsia="Verdana" w:hAnsi="Verdana" w:cs="Verdana"/>
        </w:rPr>
        <w:t>7</w:t>
      </w:r>
      <w:r w:rsidRPr="00E6085C">
        <w:rPr>
          <w:rFonts w:ascii="Verdana" w:eastAsia="Verdana" w:hAnsi="Verdana" w:cs="Verdana"/>
        </w:rPr>
        <w:t>a de 1979 estableció que el Instituto Colombiano de Bienestar Familiar – Cecilia de la Fuente de Lleras, ICBF, debe coordinar los organismos nacionales, departamentales y municipales que prestan el Servicio Público de Bienestar Familiar en todo el territorio nacional.</w:t>
      </w:r>
    </w:p>
    <w:p w14:paraId="770B8A99" w14:textId="1EB03BA2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  <w:i/>
          <w:iCs/>
        </w:rPr>
      </w:pPr>
      <w:r w:rsidRPr="00E6085C">
        <w:rPr>
          <w:rFonts w:ascii="Verdana" w:eastAsia="Verdana" w:hAnsi="Verdana" w:cs="Verdana"/>
        </w:rPr>
        <w:t xml:space="preserve">Que la Ley 1098 de 2006, </w:t>
      </w:r>
      <w:r w:rsidRPr="00E6085C">
        <w:rPr>
          <w:rFonts w:ascii="Verdana" w:eastAsia="Verdana" w:hAnsi="Verdana" w:cs="Verdana"/>
          <w:i/>
          <w:iCs/>
        </w:rPr>
        <w:t>por la cual se expide el Código de la Infancia y la Adolescencia</w:t>
      </w:r>
      <w:r w:rsidRPr="00E6085C">
        <w:rPr>
          <w:rFonts w:ascii="Verdana" w:eastAsia="Verdana" w:hAnsi="Verdana" w:cs="Verdana"/>
        </w:rPr>
        <w:t xml:space="preserve">, en su artículo </w:t>
      </w:r>
      <w:r w:rsidR="00D91324" w:rsidRPr="00E6085C">
        <w:rPr>
          <w:rFonts w:ascii="Verdana" w:eastAsia="Verdana" w:hAnsi="Verdana" w:cs="Verdana"/>
        </w:rPr>
        <w:t>16</w:t>
      </w:r>
      <w:r w:rsidRPr="00E6085C">
        <w:rPr>
          <w:rFonts w:ascii="Verdana" w:eastAsia="Verdana" w:hAnsi="Verdana" w:cs="Verdana"/>
        </w:rPr>
        <w:t xml:space="preserve"> determinó el deber de vigilancia del Estado respecto de todas las personas naturales o jurídicas, con personería jurídica expedida por el Instituto Colombiano de Bienestar Familiar o sin ella, que aún con autorización de los padres o representantes legales alberguen o cuiden a niños, niñas o adolescentes. Así mismo dispuso que </w:t>
      </w:r>
      <w:r w:rsidRPr="00E6085C">
        <w:rPr>
          <w:rFonts w:ascii="Verdana" w:eastAsia="Verdana" w:hAnsi="Verdana" w:cs="Verdana"/>
          <w:i/>
          <w:iCs/>
        </w:rPr>
        <w:t>“de acuerdo con las normas que regulan la prestación del servicio público de Bienestar Familiar compete al Instituto Colombiano de Bienestar Familiar como ente rector, coordinador y articulador del Sistema Nacional de Bienestar Familiar, reconocer, otorgar, suspender y cancelar personerías jurídicas y licencias de funcionamiento a las instituciones del Sistema que prestan servicios de protección a los menores de edad o la familia y a las que desarrollen el programa de adopción”.</w:t>
      </w:r>
    </w:p>
    <w:p w14:paraId="10D0FC4E" w14:textId="4397024D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  <w:i/>
          <w:iCs/>
        </w:rPr>
      </w:pPr>
      <w:r w:rsidRPr="00E6085C">
        <w:rPr>
          <w:rFonts w:ascii="Verdana" w:eastAsia="Verdana" w:hAnsi="Verdana" w:cs="Verdana"/>
        </w:rPr>
        <w:lastRenderedPageBreak/>
        <w:t xml:space="preserve">Que mediante el Decreto </w:t>
      </w:r>
      <w:r w:rsidR="00D91324" w:rsidRPr="00E6085C">
        <w:rPr>
          <w:rFonts w:ascii="Verdana" w:eastAsia="Verdana" w:hAnsi="Verdana" w:cs="Verdana"/>
        </w:rPr>
        <w:t>117</w:t>
      </w:r>
      <w:r w:rsidRPr="00E6085C">
        <w:rPr>
          <w:rFonts w:ascii="Verdana" w:eastAsia="Verdana" w:hAnsi="Verdana" w:cs="Verdana"/>
        </w:rPr>
        <w:t xml:space="preserve"> del 21 de enero de 2010 se creó la Oficina de Aseguramiento a la Calidad del ICBF, a la cual le fue asignada, entre otras, la función de </w:t>
      </w:r>
      <w:r w:rsidRPr="00E6085C">
        <w:rPr>
          <w:rFonts w:ascii="Verdana" w:eastAsia="Verdana" w:hAnsi="Verdana" w:cs="Verdana"/>
          <w:i/>
          <w:iCs/>
        </w:rPr>
        <w:t>coordinar el seguimiento a las acciones de inspección y vigilancia, y realizar las visitas que le competan al Instituto de acuerdo con la normativa vigente.</w:t>
      </w:r>
    </w:p>
    <w:p w14:paraId="3C6C0564" w14:textId="6165F2FA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Que mediante la Resolución número </w:t>
      </w:r>
      <w:r w:rsidR="00D91324" w:rsidRPr="00E6085C">
        <w:rPr>
          <w:rFonts w:ascii="Verdana" w:eastAsia="Verdana" w:hAnsi="Verdana" w:cs="Verdana"/>
        </w:rPr>
        <w:t>3899</w:t>
      </w:r>
      <w:r w:rsidRPr="00E6085C">
        <w:rPr>
          <w:rFonts w:ascii="Verdana" w:eastAsia="Verdana" w:hAnsi="Verdana" w:cs="Verdana"/>
        </w:rPr>
        <w:t xml:space="preserve"> de 8 de septiembre de 2010, el ICBF actualizó y unificó el régimen especial para otorgar, reconocer, renovar, suspender y cancelar las personerías jurídicas y licencias de funcionamiento a las Instituciones del Sistema Nacional de Bienestar Familiar que prestan servicios de protección integral a los niños, niñas y adolescentes y a sus familias, y para autorizar a los organismos acreditados para desarrollar el programa de adopción internacional. Por ello se hace necesario crear un Comité que permita realizar las acciones de inspección, vigilancia y control respecto de los establecimientos públicos o privados que adelanten programas para la niñez y la familia.</w:t>
      </w:r>
    </w:p>
    <w:p w14:paraId="1717AAFE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proofErr w:type="gramStart"/>
      <w:r w:rsidRPr="00E6085C">
        <w:rPr>
          <w:rFonts w:ascii="Verdana" w:eastAsia="Verdana" w:hAnsi="Verdana" w:cs="Verdana"/>
        </w:rPr>
        <w:t>Que</w:t>
      </w:r>
      <w:proofErr w:type="gramEnd"/>
      <w:r w:rsidRPr="00E6085C">
        <w:rPr>
          <w:rFonts w:ascii="Verdana" w:eastAsia="Verdana" w:hAnsi="Verdana" w:cs="Verdana"/>
        </w:rPr>
        <w:t xml:space="preserve"> en mérito de lo expuesto,</w:t>
      </w:r>
    </w:p>
    <w:p w14:paraId="020787B4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RESUELVE:</w:t>
      </w:r>
    </w:p>
    <w:p w14:paraId="75EDA50E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ARTÍCULO 1o. OBJETO.</w:t>
      </w:r>
      <w:r w:rsidRPr="00E6085C">
        <w:rPr>
          <w:rFonts w:ascii="Verdana" w:eastAsia="Verdana" w:hAnsi="Verdana" w:cs="Verdana"/>
        </w:rPr>
        <w:t xml:space="preserve"> Crear en el Instituto Colombiano de Bienestar Familiar – Cecilia de la Fuente de Lleras (ICBF), el Comité de Inspección, Vigilancia y Control de los establecimientos públicos o privados que adelanten programas para la niñez y la familia, el cual conceptuará sobre la toma de medidas legales, técnicas, administrativas o financieras, respecto de las personas naturales y jurídicas que prestan servicios de protección integral y de prevención a los niños, niñas y adolescentes.</w:t>
      </w:r>
    </w:p>
    <w:p w14:paraId="38E211C9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El Comité actuará garantizando siempre los derechos prevalentes y el interés superior de los niños, niñas y adolescentes.</w:t>
      </w:r>
    </w:p>
    <w:p w14:paraId="53D114A0" w14:textId="396D5551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 xml:space="preserve">ARTÍCULO 2o. INTEGRACIÓN DEL COMITÉ. </w:t>
      </w:r>
      <w:r w:rsidRPr="00E6085C">
        <w:rPr>
          <w:rFonts w:ascii="Verdana" w:eastAsia="Verdana" w:hAnsi="Verdana" w:cs="Verdana"/>
        </w:rPr>
        <w:t xml:space="preserve">&lt;Artículo modificado por el artículo </w:t>
      </w:r>
      <w:r w:rsidR="00D91324" w:rsidRPr="00E6085C">
        <w:rPr>
          <w:rFonts w:ascii="Verdana" w:eastAsia="Verdana" w:hAnsi="Verdana" w:cs="Verdana"/>
        </w:rPr>
        <w:t>1</w:t>
      </w:r>
      <w:r w:rsidRPr="00E6085C">
        <w:rPr>
          <w:rFonts w:ascii="Verdana" w:eastAsia="Verdana" w:hAnsi="Verdana" w:cs="Verdana"/>
        </w:rPr>
        <w:t xml:space="preserve"> de la Resolución 8766 de 2019. El nuevo texto es el siguiente:&gt; El Comité estará integrado así:</w:t>
      </w:r>
    </w:p>
    <w:p w14:paraId="17111857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Jefe</w:t>
      </w:r>
      <w:proofErr w:type="gramEnd"/>
      <w:r w:rsidRPr="00E6085C">
        <w:rPr>
          <w:rFonts w:ascii="Verdana" w:eastAsia="Verdana" w:hAnsi="Verdana" w:cs="Verdana"/>
        </w:rPr>
        <w:t xml:space="preserve"> de la Oficina de Aseguramiento a la Calidad, quien lo presidirá y realizará la secretaría técnica.</w:t>
      </w:r>
    </w:p>
    <w:p w14:paraId="05DF8FC2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Subdirector</w:t>
      </w:r>
      <w:proofErr w:type="gramEnd"/>
      <w:r w:rsidRPr="00E6085C">
        <w:rPr>
          <w:rFonts w:ascii="Verdana" w:eastAsia="Verdana" w:hAnsi="Verdana" w:cs="Verdana"/>
        </w:rPr>
        <w:t xml:space="preserve"> General o su delegado.</w:t>
      </w:r>
    </w:p>
    <w:p w14:paraId="6C9ACA42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 xml:space="preserve"> de Protección o su delegado.</w:t>
      </w:r>
    </w:p>
    <w:p w14:paraId="094E3C71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 xml:space="preserve"> de Primera Infancia o su delegado.</w:t>
      </w:r>
    </w:p>
    <w:p w14:paraId="19717546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Jefe</w:t>
      </w:r>
      <w:proofErr w:type="gramEnd"/>
      <w:r w:rsidRPr="00E6085C">
        <w:rPr>
          <w:rFonts w:ascii="Verdana" w:eastAsia="Verdana" w:hAnsi="Verdana" w:cs="Verdana"/>
        </w:rPr>
        <w:t xml:space="preserve"> de la Oficina Asesora Jurídica o su delegado</w:t>
      </w:r>
    </w:p>
    <w:p w14:paraId="30ACB714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El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 xml:space="preserve"> de Contratación o su delegado.</w:t>
      </w:r>
    </w:p>
    <w:p w14:paraId="6CF83A07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 xml:space="preserve">PARÁGRAFO 1o. </w:t>
      </w:r>
      <w:r w:rsidRPr="00E6085C">
        <w:rPr>
          <w:rFonts w:ascii="Verdana" w:eastAsia="Verdana" w:hAnsi="Verdana" w:cs="Verdana"/>
        </w:rPr>
        <w:t xml:space="preserve">Las delegaciones de los miembros del Comité sólo podrán ser ejercidas por funcionarios de planta del ICBF; los delegados del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 xml:space="preserve"> de </w:t>
      </w:r>
      <w:r w:rsidRPr="00E6085C">
        <w:rPr>
          <w:rFonts w:ascii="Verdana" w:eastAsia="Verdana" w:hAnsi="Verdana" w:cs="Verdana"/>
        </w:rPr>
        <w:lastRenderedPageBreak/>
        <w:t xml:space="preserve">Protección y del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 xml:space="preserve"> de Primera Infancia, serán los subdirectores misionales de dichas áreas, a elección del respectivo </w:t>
      </w:r>
      <w:proofErr w:type="gramStart"/>
      <w:r w:rsidRPr="00E6085C">
        <w:rPr>
          <w:rFonts w:ascii="Verdana" w:eastAsia="Verdana" w:hAnsi="Verdana" w:cs="Verdana"/>
        </w:rPr>
        <w:t>Director</w:t>
      </w:r>
      <w:proofErr w:type="gramEnd"/>
      <w:r w:rsidRPr="00E6085C">
        <w:rPr>
          <w:rFonts w:ascii="Verdana" w:eastAsia="Verdana" w:hAnsi="Verdana" w:cs="Verdana"/>
        </w:rPr>
        <w:t>.</w:t>
      </w:r>
    </w:p>
    <w:p w14:paraId="09D70E7D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Dichas delegaciones, podrán ser realizadas por medios electrónicos, y deberán ser comunicadas por los mismos medios, a la Secretaría Técnica del Comité.</w:t>
      </w:r>
    </w:p>
    <w:p w14:paraId="1A539346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  <w:highlight w:val="white"/>
        </w:rPr>
      </w:pPr>
      <w:r w:rsidRPr="00E6085C">
        <w:rPr>
          <w:rFonts w:ascii="Verdana" w:eastAsia="Verdana" w:hAnsi="Verdana" w:cs="Verdana"/>
          <w:b/>
          <w:bCs/>
        </w:rPr>
        <w:t xml:space="preserve">PARÁGRAFO 2o. </w:t>
      </w:r>
      <w:r w:rsidRPr="00E6085C">
        <w:rPr>
          <w:rFonts w:ascii="Verdana" w:eastAsia="Verdana" w:hAnsi="Verdana" w:cs="Verdana"/>
        </w:rPr>
        <w:t>Concurrirán con voz, pero sin voto, los servidores públicos que, por su condición de jerarquía o competencia funcional, deban asistir según el caso en concreto.</w:t>
      </w:r>
    </w:p>
    <w:p w14:paraId="1345B14F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ARTÍCULO 3o. REUNIONES.</w:t>
      </w:r>
      <w:r w:rsidRPr="00E6085C">
        <w:rPr>
          <w:rFonts w:ascii="Verdana" w:eastAsia="Verdana" w:hAnsi="Verdana" w:cs="Verdana"/>
        </w:rPr>
        <w:t xml:space="preserve"> El Comité se reunirá de manera ordinaria trimestralmente, y extraordinariamente cuando se requiera, previa convocatoria de la Secretaría Técnica.</w:t>
      </w:r>
    </w:p>
    <w:p w14:paraId="73AFE51C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ARTÍCULO 4o. QUÓRUM DELIBERATORIO Y DECISORIO.</w:t>
      </w:r>
      <w:r w:rsidRPr="00E6085C">
        <w:rPr>
          <w:rFonts w:ascii="Verdana" w:eastAsia="Verdana" w:hAnsi="Verdana" w:cs="Verdana"/>
        </w:rPr>
        <w:t xml:space="preserve"> Se constituirá quórum </w:t>
      </w:r>
      <w:proofErr w:type="spellStart"/>
      <w:r w:rsidRPr="00E6085C">
        <w:rPr>
          <w:rFonts w:ascii="Verdana" w:eastAsia="Verdana" w:hAnsi="Verdana" w:cs="Verdana"/>
        </w:rPr>
        <w:t>deliberatorio</w:t>
      </w:r>
      <w:proofErr w:type="spellEnd"/>
      <w:r w:rsidRPr="00E6085C">
        <w:rPr>
          <w:rFonts w:ascii="Verdana" w:eastAsia="Verdana" w:hAnsi="Verdana" w:cs="Verdana"/>
        </w:rPr>
        <w:t xml:space="preserve"> con la participación de por lo menos tres (3) de sus integrantes y las decisiones se adoptarán por mayoría simple.</w:t>
      </w:r>
    </w:p>
    <w:p w14:paraId="3DF552F7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ARTÍCULO 5o. FUNCIONES DEL COMITÉ DE INSPECCIÓN Y VIGILANCIA.</w:t>
      </w:r>
      <w:r w:rsidRPr="00E6085C">
        <w:rPr>
          <w:rFonts w:ascii="Verdana" w:eastAsia="Verdana" w:hAnsi="Verdana" w:cs="Verdana"/>
        </w:rPr>
        <w:t xml:space="preserve"> Son funciones del Comité las siguientes:</w:t>
      </w:r>
    </w:p>
    <w:p w14:paraId="077CA7DF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1. Conceptuar sobre la toma de medidas legales, técnicas, administrativas o financieras respecto de las personas naturales y jurídicas que prestan servicios de protección integral a los niños, niñas y adolescentes, en el evento en que se presuma una irregularidad en la prestación de algún servicio, de acuerdo con las exigencias contempladas en la ley y normatividad vigente, y ejercer las correspondientes actividades de Inspección, Vigilancia y Control.</w:t>
      </w:r>
    </w:p>
    <w:p w14:paraId="5440DD31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2. Conceptuar, con base en el informe presentado por la Oficina de Aseguramiento a la Calidad, sobre las acciones que deba tomar el ICBF en relación con las quejas y denuncias que sean presentadas en contra de los organismos extranjeros acreditados por el ICBF con autorización o renovación de autorización para desarrollar el programa de adopción, o contra sus representantes legales en Colombia.</w:t>
      </w:r>
    </w:p>
    <w:p w14:paraId="57729011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>ARTÍCULO 6o. SECRETARÍA TÉCNICA.</w:t>
      </w:r>
      <w:r w:rsidRPr="00E6085C">
        <w:rPr>
          <w:rFonts w:ascii="Verdana" w:eastAsia="Verdana" w:hAnsi="Verdana" w:cs="Verdana"/>
        </w:rPr>
        <w:t xml:space="preserve"> La Secretaría Técnica del Comité será desempeñada por el </w:t>
      </w:r>
      <w:proofErr w:type="gramStart"/>
      <w:r w:rsidRPr="00E6085C">
        <w:rPr>
          <w:rFonts w:ascii="Verdana" w:eastAsia="Verdana" w:hAnsi="Verdana" w:cs="Verdana"/>
        </w:rPr>
        <w:t>Jefe</w:t>
      </w:r>
      <w:proofErr w:type="gramEnd"/>
      <w:r w:rsidRPr="00E6085C">
        <w:rPr>
          <w:rFonts w:ascii="Verdana" w:eastAsia="Verdana" w:hAnsi="Verdana" w:cs="Verdana"/>
        </w:rPr>
        <w:t xml:space="preserve"> de la Oficina de Aseguramiento a la Calidad.</w:t>
      </w:r>
    </w:p>
    <w:p w14:paraId="610DD243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 xml:space="preserve">ARTÍCULO 7o. FUNCIONES DE LA SECRETARÍA TÉCNICA. </w:t>
      </w:r>
      <w:r w:rsidRPr="00E6085C">
        <w:rPr>
          <w:rFonts w:ascii="Verdana" w:eastAsia="Verdana" w:hAnsi="Verdana" w:cs="Verdana"/>
        </w:rPr>
        <w:t>Son funciones de la Secretaría Técnica del Comité:</w:t>
      </w:r>
    </w:p>
    <w:p w14:paraId="6A48385E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1. Coordinar el seguimiento de las acciones de inspección, vigilancia y control.</w:t>
      </w:r>
    </w:p>
    <w:p w14:paraId="6FA75ACB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2. Convocar a las sesiones del Comité.</w:t>
      </w:r>
    </w:p>
    <w:p w14:paraId="02530620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3. Preparar la agenda de cada sesión, la cual será remitida a los integrantes del Comité con una anterioridad de seis (6) días hábiles a la celebración de </w:t>
      </w:r>
      <w:proofErr w:type="gramStart"/>
      <w:r w:rsidRPr="00E6085C">
        <w:rPr>
          <w:rFonts w:ascii="Verdana" w:eastAsia="Verdana" w:hAnsi="Verdana" w:cs="Verdana"/>
        </w:rPr>
        <w:t>la misma</w:t>
      </w:r>
      <w:proofErr w:type="gramEnd"/>
      <w:r w:rsidRPr="00E6085C">
        <w:rPr>
          <w:rFonts w:ascii="Verdana" w:eastAsia="Verdana" w:hAnsi="Verdana" w:cs="Verdana"/>
        </w:rPr>
        <w:t>.</w:t>
      </w:r>
    </w:p>
    <w:p w14:paraId="461EAE26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4. Elaborar las actas de cada sesión, las cuales deberán ser suscritas por los integrantes.</w:t>
      </w:r>
    </w:p>
    <w:p w14:paraId="220BCE50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lastRenderedPageBreak/>
        <w:t>5. Hacer seguimiento de las recomendaciones y decisiones emitidas por el Comité.</w:t>
      </w:r>
    </w:p>
    <w:p w14:paraId="39F689C3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6. Preparar el informe de gestión del Comité y presentarlo anualmente a la Dirección General.</w:t>
      </w:r>
    </w:p>
    <w:p w14:paraId="420FC83E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7. Someter a consideración del Comité la información que este requiera para el cumplimiento de sus funciones.</w:t>
      </w:r>
    </w:p>
    <w:p w14:paraId="7281DA85" w14:textId="77777777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8. Registrar, custodiar, archivar y conservar la correspondencia del Comité.</w:t>
      </w:r>
    </w:p>
    <w:p w14:paraId="7AA92503" w14:textId="1B0070B3" w:rsidR="00D91324" w:rsidRPr="00E6085C" w:rsidRDefault="00000000">
      <w:pPr>
        <w:spacing w:after="280" w:line="240" w:lineRule="auto"/>
        <w:jc w:val="both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  <w:b/>
          <w:bCs/>
        </w:rPr>
        <w:t xml:space="preserve">ARTÍCULO 8o. VIGENCIA. </w:t>
      </w:r>
      <w:r w:rsidR="00B26A11" w:rsidRPr="00B26A11">
        <w:rPr>
          <w:rFonts w:ascii="Verdana" w:eastAsia="Verdana" w:hAnsi="Verdana" w:cs="Verdana"/>
        </w:rPr>
        <w:t>[Derogada por el artículo 57 de la Resolución 6300 de 2024]</w:t>
      </w:r>
      <w:r w:rsidR="00B26A11">
        <w:rPr>
          <w:rFonts w:ascii="Verdana" w:eastAsia="Verdana" w:hAnsi="Verdana" w:cs="Verdana"/>
          <w:b/>
          <w:bCs/>
        </w:rPr>
        <w:t xml:space="preserve"> </w:t>
      </w:r>
      <w:r w:rsidRPr="00E6085C">
        <w:rPr>
          <w:rFonts w:ascii="Verdana" w:eastAsia="Verdana" w:hAnsi="Verdana" w:cs="Verdana"/>
        </w:rPr>
        <w:t>La presente resolución rige a partir de la fecha de su publicación.</w:t>
      </w:r>
    </w:p>
    <w:p w14:paraId="45FDD84E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Publíquese y cúmplase.</w:t>
      </w:r>
    </w:p>
    <w:p w14:paraId="365FF7B0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>Dada en Bogotá, D. C., a 10 de noviembre de 2010.</w:t>
      </w:r>
    </w:p>
    <w:p w14:paraId="1AADDC21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</w:rPr>
      </w:pPr>
      <w:r w:rsidRPr="00E6085C">
        <w:rPr>
          <w:rFonts w:ascii="Verdana" w:eastAsia="Verdana" w:hAnsi="Verdana" w:cs="Verdana"/>
        </w:rPr>
        <w:t xml:space="preserve">La </w:t>
      </w:r>
      <w:proofErr w:type="gramStart"/>
      <w:r w:rsidRPr="00E6085C">
        <w:rPr>
          <w:rFonts w:ascii="Verdana" w:eastAsia="Verdana" w:hAnsi="Verdana" w:cs="Verdana"/>
        </w:rPr>
        <w:t>Directora General</w:t>
      </w:r>
      <w:proofErr w:type="gramEnd"/>
      <w:r w:rsidRPr="00E6085C">
        <w:rPr>
          <w:rFonts w:ascii="Verdana" w:eastAsia="Verdana" w:hAnsi="Verdana" w:cs="Verdana"/>
        </w:rPr>
        <w:t>,</w:t>
      </w:r>
    </w:p>
    <w:p w14:paraId="1AE29284" w14:textId="77777777" w:rsidR="00D91324" w:rsidRPr="00E6085C" w:rsidRDefault="00000000">
      <w:pPr>
        <w:spacing w:after="280" w:line="240" w:lineRule="auto"/>
        <w:jc w:val="center"/>
        <w:rPr>
          <w:rFonts w:ascii="Verdana" w:eastAsia="Verdana" w:hAnsi="Verdana" w:cs="Verdana"/>
          <w:b/>
          <w:bCs/>
        </w:rPr>
      </w:pPr>
      <w:r w:rsidRPr="00E6085C">
        <w:rPr>
          <w:rFonts w:ascii="Verdana" w:eastAsia="Verdana" w:hAnsi="Verdana" w:cs="Verdana"/>
          <w:b/>
          <w:bCs/>
        </w:rPr>
        <w:t>ELVIRA FORERO HERNÁNDEZ.</w:t>
      </w:r>
    </w:p>
    <w:p w14:paraId="011B9219" w14:textId="77777777" w:rsidR="00D91324" w:rsidRPr="00E6085C" w:rsidRDefault="00D91324">
      <w:pPr>
        <w:spacing w:line="240" w:lineRule="auto"/>
        <w:jc w:val="center"/>
        <w:rPr>
          <w:rFonts w:ascii="Verdana" w:eastAsia="Verdana" w:hAnsi="Verdana" w:cs="Verdana"/>
        </w:rPr>
      </w:pPr>
    </w:p>
    <w:p w14:paraId="19C068C8" w14:textId="77777777" w:rsidR="00D91324" w:rsidRPr="00E6085C" w:rsidRDefault="00D91324">
      <w:pPr>
        <w:spacing w:after="280" w:line="240" w:lineRule="auto"/>
        <w:jc w:val="center"/>
        <w:rPr>
          <w:rFonts w:ascii="Verdana" w:eastAsia="Verdana" w:hAnsi="Verdana" w:cs="Verdana"/>
          <w:b/>
          <w:bCs/>
          <w:lang w:val="es-CO"/>
        </w:rPr>
      </w:pPr>
    </w:p>
    <w:sectPr w:rsidR="00D91324" w:rsidRPr="00E6085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C5202C5-F31D-442F-8614-3B500C745AE1}"/>
    <w:embedBold r:id="rId2" w:fontKey="{7CFF75CD-05EE-422E-A755-AEF2EC9FC673}"/>
    <w:embedItalic r:id="rId3" w:fontKey="{BD2DE02B-B53D-4B75-8AB3-9460D967CB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69AE09-EA99-499F-B66C-99930AA1E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00DBA8-CFE6-48E8-BA5F-FC3D1B38D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324"/>
    <w:rsid w:val="00185793"/>
    <w:rsid w:val="00582954"/>
    <w:rsid w:val="005E3D92"/>
    <w:rsid w:val="008F25BD"/>
    <w:rsid w:val="00AA0B8B"/>
    <w:rsid w:val="00B26A11"/>
    <w:rsid w:val="00B30139"/>
    <w:rsid w:val="00D91324"/>
    <w:rsid w:val="00E6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1ED3F"/>
  <w15:docId w15:val="{AB9FE8E6-9A47-42E2-A08E-BFF05B021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6085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1D1E00-FF36-4AE7-AE39-5DF3784F34B4}"/>
</file>

<file path=customXml/itemProps2.xml><?xml version="1.0" encoding="utf-8"?>
<ds:datastoreItem xmlns:ds="http://schemas.openxmlformats.org/officeDocument/2006/customXml" ds:itemID="{F60716E3-0EB1-4ED6-BBF7-538FF839714F}"/>
</file>

<file path=customXml/itemProps3.xml><?xml version="1.0" encoding="utf-8"?>
<ds:datastoreItem xmlns:ds="http://schemas.openxmlformats.org/officeDocument/2006/customXml" ds:itemID="{9DE27A99-E0E2-4477-9516-47C74A198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1232</Words>
  <Characters>6620</Characters>
  <Application>Microsoft Office Word</Application>
  <DocSecurity>0</DocSecurity>
  <Lines>130</Lines>
  <Paragraphs>53</Paragraphs>
  <ScaleCrop>false</ScaleCrop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8</cp:revision>
  <dcterms:created xsi:type="dcterms:W3CDTF">2026-01-06T18:35:00Z</dcterms:created>
  <dcterms:modified xsi:type="dcterms:W3CDTF">2026-04-15T15:13:00Z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