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BE90" w14:textId="783479B9" w:rsidR="00DA3535" w:rsidRPr="00EC7DFD" w:rsidRDefault="00DA3535" w:rsidP="00DA3535">
      <w:pPr>
        <w:jc w:val="center"/>
        <w:rPr>
          <w:rFonts w:ascii="Verdana" w:hAnsi="Verdana"/>
          <w:sz w:val="22"/>
          <w:szCs w:val="22"/>
        </w:rPr>
      </w:pPr>
      <w:r w:rsidRPr="00EC7DFD">
        <w:rPr>
          <w:rFonts w:ascii="Verdana" w:hAnsi="Verdana"/>
          <w:b/>
          <w:bCs/>
          <w:sz w:val="22"/>
          <w:szCs w:val="22"/>
        </w:rPr>
        <w:t xml:space="preserve">RESOLUCIÓN </w:t>
      </w:r>
      <w:r w:rsidR="00EB6E30">
        <w:rPr>
          <w:rFonts w:ascii="Verdana" w:hAnsi="Verdana"/>
          <w:b/>
          <w:bCs/>
          <w:sz w:val="22"/>
          <w:szCs w:val="22"/>
        </w:rPr>
        <w:t>5</w:t>
      </w:r>
      <w:r w:rsidRPr="00EC7DFD">
        <w:rPr>
          <w:rFonts w:ascii="Verdana" w:hAnsi="Verdana"/>
          <w:b/>
          <w:bCs/>
          <w:sz w:val="22"/>
          <w:szCs w:val="22"/>
        </w:rPr>
        <w:t xml:space="preserve"> DE 202</w:t>
      </w:r>
      <w:r w:rsidR="00EB6E30">
        <w:rPr>
          <w:rFonts w:ascii="Verdana" w:hAnsi="Verdana"/>
          <w:b/>
          <w:bCs/>
          <w:sz w:val="22"/>
          <w:szCs w:val="22"/>
        </w:rPr>
        <w:t>4</w:t>
      </w:r>
    </w:p>
    <w:p w14:paraId="7FAA1F65" w14:textId="0824D01D" w:rsidR="006D1939" w:rsidRPr="006D5ECF" w:rsidRDefault="006D1939" w:rsidP="006D1939">
      <w:pPr>
        <w:rPr>
          <w:rFonts w:ascii="Verdana" w:hAnsi="Verdana"/>
          <w:sz w:val="20"/>
          <w:szCs w:val="20"/>
        </w:rPr>
      </w:pPr>
      <w:r w:rsidRPr="006D5ECF">
        <w:rPr>
          <w:rFonts w:ascii="Verdana" w:hAnsi="Verdana"/>
          <w:sz w:val="20"/>
          <w:szCs w:val="20"/>
        </w:rPr>
        <w:t xml:space="preserve">Fecha de Expedición: </w:t>
      </w:r>
      <w:r w:rsidR="00EB6E30">
        <w:rPr>
          <w:rFonts w:ascii="Verdana" w:hAnsi="Verdana"/>
          <w:sz w:val="20"/>
          <w:szCs w:val="20"/>
        </w:rPr>
        <w:t>2 de enero de 2024</w:t>
      </w:r>
    </w:p>
    <w:p w14:paraId="3C8362D2" w14:textId="4B77B317" w:rsidR="006D1939" w:rsidRPr="006D5ECF" w:rsidRDefault="006D1939" w:rsidP="006D1939">
      <w:pPr>
        <w:rPr>
          <w:rFonts w:ascii="Verdana" w:hAnsi="Verdana"/>
          <w:sz w:val="20"/>
          <w:szCs w:val="20"/>
        </w:rPr>
      </w:pPr>
      <w:r w:rsidRPr="006D5ECF">
        <w:rPr>
          <w:rFonts w:ascii="Verdana" w:hAnsi="Verdana"/>
          <w:sz w:val="20"/>
          <w:szCs w:val="20"/>
        </w:rPr>
        <w:t xml:space="preserve">Fecha de </w:t>
      </w:r>
      <w:proofErr w:type="gramStart"/>
      <w:r w:rsidRPr="006D5ECF">
        <w:rPr>
          <w:rFonts w:ascii="Verdana" w:hAnsi="Verdana"/>
          <w:sz w:val="20"/>
          <w:szCs w:val="20"/>
        </w:rPr>
        <w:t>entrada en vigencia</w:t>
      </w:r>
      <w:proofErr w:type="gramEnd"/>
      <w:r w:rsidR="00DA3535" w:rsidRPr="006D5ECF">
        <w:rPr>
          <w:rFonts w:ascii="Verdana" w:hAnsi="Verdana"/>
          <w:sz w:val="20"/>
          <w:szCs w:val="20"/>
        </w:rPr>
        <w:t xml:space="preserve">: </w:t>
      </w:r>
      <w:r w:rsidR="00EB6E30">
        <w:rPr>
          <w:rFonts w:ascii="Verdana" w:hAnsi="Verdana"/>
          <w:sz w:val="20"/>
          <w:szCs w:val="20"/>
        </w:rPr>
        <w:t>2 de enero de 2024</w:t>
      </w:r>
    </w:p>
    <w:p w14:paraId="1772F951" w14:textId="666DB6CE" w:rsidR="006D1939" w:rsidRPr="006D5ECF" w:rsidRDefault="006D1939" w:rsidP="006D1939">
      <w:pPr>
        <w:rPr>
          <w:rFonts w:ascii="Verdana" w:hAnsi="Verdana"/>
          <w:sz w:val="20"/>
          <w:szCs w:val="20"/>
        </w:rPr>
      </w:pPr>
      <w:r w:rsidRPr="006D5ECF">
        <w:rPr>
          <w:rFonts w:ascii="Verdana" w:hAnsi="Verdana"/>
          <w:sz w:val="20"/>
          <w:szCs w:val="20"/>
        </w:rPr>
        <w:t xml:space="preserve">Estado de la vigencia: </w:t>
      </w:r>
      <w:r w:rsidR="006D5ECF">
        <w:rPr>
          <w:rFonts w:ascii="Verdana" w:hAnsi="Verdana"/>
          <w:sz w:val="20"/>
          <w:szCs w:val="20"/>
        </w:rPr>
        <w:t>vigente</w:t>
      </w:r>
    </w:p>
    <w:p w14:paraId="30D368E6" w14:textId="77777777" w:rsidR="006D1939" w:rsidRPr="006D5ECF" w:rsidRDefault="006D1939" w:rsidP="006D1939">
      <w:pPr>
        <w:rPr>
          <w:rFonts w:ascii="Verdana" w:hAnsi="Verdana"/>
          <w:sz w:val="20"/>
          <w:szCs w:val="20"/>
        </w:rPr>
      </w:pPr>
    </w:p>
    <w:p w14:paraId="396C1C8B" w14:textId="37B08B0A" w:rsidR="006D1939" w:rsidRPr="006D5ECF" w:rsidRDefault="006D1939" w:rsidP="006D1939">
      <w:pPr>
        <w:rPr>
          <w:rFonts w:ascii="Verdana" w:hAnsi="Verdana"/>
          <w:sz w:val="20"/>
          <w:szCs w:val="20"/>
        </w:rPr>
      </w:pPr>
      <w:r w:rsidRPr="006D5ECF">
        <w:rPr>
          <w:rFonts w:ascii="Verdana" w:hAnsi="Verdana"/>
          <w:sz w:val="20"/>
          <w:szCs w:val="20"/>
        </w:rPr>
        <w:t xml:space="preserve">Fecha de publicación en Diario Oficial: </w:t>
      </w:r>
      <w:r w:rsidR="006D5ECF">
        <w:rPr>
          <w:rFonts w:ascii="Verdana" w:hAnsi="Verdana"/>
          <w:sz w:val="20"/>
          <w:szCs w:val="20"/>
        </w:rPr>
        <w:t>N/A</w:t>
      </w:r>
    </w:p>
    <w:p w14:paraId="038FC3F0" w14:textId="02DD0662" w:rsidR="006D1939" w:rsidRPr="006D5ECF" w:rsidRDefault="006D1939" w:rsidP="006D1939">
      <w:pPr>
        <w:rPr>
          <w:rFonts w:ascii="Verdana" w:hAnsi="Verdana"/>
          <w:sz w:val="20"/>
          <w:szCs w:val="20"/>
        </w:rPr>
      </w:pPr>
      <w:r w:rsidRPr="006D5ECF">
        <w:rPr>
          <w:rFonts w:ascii="Verdana" w:hAnsi="Verdana"/>
          <w:sz w:val="20"/>
          <w:szCs w:val="20"/>
        </w:rPr>
        <w:t>Número del Diario Oficial: N</w:t>
      </w:r>
      <w:r w:rsidR="006D5ECF">
        <w:rPr>
          <w:rFonts w:ascii="Verdana" w:hAnsi="Verdana"/>
          <w:sz w:val="20"/>
          <w:szCs w:val="20"/>
        </w:rPr>
        <w:t>/A</w:t>
      </w:r>
    </w:p>
    <w:p w14:paraId="6A1C6182" w14:textId="77777777" w:rsidR="00EB6E30" w:rsidRPr="00EC7DFD" w:rsidRDefault="00EB6E30" w:rsidP="00EB6E30">
      <w:pPr>
        <w:jc w:val="center"/>
        <w:rPr>
          <w:rFonts w:ascii="Verdana" w:hAnsi="Verdana"/>
          <w:sz w:val="22"/>
          <w:szCs w:val="22"/>
        </w:rPr>
      </w:pPr>
      <w:r w:rsidRPr="00EC7DFD">
        <w:rPr>
          <w:rFonts w:ascii="Verdana" w:hAnsi="Verdana"/>
          <w:b/>
          <w:bCs/>
          <w:sz w:val="22"/>
          <w:szCs w:val="22"/>
        </w:rPr>
        <w:t xml:space="preserve">RESOLUCIÓN </w:t>
      </w:r>
      <w:r>
        <w:rPr>
          <w:rFonts w:ascii="Verdana" w:hAnsi="Verdana"/>
          <w:b/>
          <w:bCs/>
          <w:sz w:val="22"/>
          <w:szCs w:val="22"/>
        </w:rPr>
        <w:t>5</w:t>
      </w:r>
      <w:r w:rsidRPr="00EC7DFD">
        <w:rPr>
          <w:rFonts w:ascii="Verdana" w:hAnsi="Verdana"/>
          <w:b/>
          <w:bCs/>
          <w:sz w:val="22"/>
          <w:szCs w:val="22"/>
        </w:rPr>
        <w:t xml:space="preserve"> DE 202</w:t>
      </w:r>
      <w:r>
        <w:rPr>
          <w:rFonts w:ascii="Verdana" w:hAnsi="Verdana"/>
          <w:b/>
          <w:bCs/>
          <w:sz w:val="22"/>
          <w:szCs w:val="22"/>
        </w:rPr>
        <w:t>4</w:t>
      </w:r>
    </w:p>
    <w:p w14:paraId="4F231CB3" w14:textId="236D18BD" w:rsidR="00EC7DFD" w:rsidRPr="00EC7DFD" w:rsidRDefault="00EC7DFD" w:rsidP="00DA3535">
      <w:pPr>
        <w:jc w:val="center"/>
        <w:rPr>
          <w:rFonts w:ascii="Verdana" w:hAnsi="Verdana"/>
          <w:b/>
          <w:bCs/>
          <w:sz w:val="22"/>
          <w:szCs w:val="22"/>
        </w:rPr>
      </w:pPr>
      <w:r w:rsidRPr="00EC7DFD">
        <w:rPr>
          <w:rFonts w:ascii="Verdana" w:hAnsi="Verdana"/>
          <w:b/>
          <w:bCs/>
          <w:sz w:val="22"/>
          <w:szCs w:val="22"/>
        </w:rPr>
        <w:t>(</w:t>
      </w:r>
      <w:r w:rsidR="00DA3535">
        <w:rPr>
          <w:rFonts w:ascii="Verdana" w:hAnsi="Verdana"/>
          <w:b/>
          <w:bCs/>
          <w:sz w:val="22"/>
          <w:szCs w:val="22"/>
        </w:rPr>
        <w:t xml:space="preserve">2 de </w:t>
      </w:r>
      <w:r w:rsidR="00EB6E30">
        <w:rPr>
          <w:rFonts w:ascii="Verdana" w:hAnsi="Verdana"/>
          <w:b/>
          <w:bCs/>
          <w:sz w:val="22"/>
          <w:szCs w:val="22"/>
        </w:rPr>
        <w:t>enero</w:t>
      </w:r>
      <w:r w:rsidRPr="00EC7DFD">
        <w:rPr>
          <w:rFonts w:ascii="Verdana" w:hAnsi="Verdana"/>
          <w:b/>
          <w:bCs/>
          <w:sz w:val="22"/>
          <w:szCs w:val="22"/>
        </w:rPr>
        <w:t>)</w:t>
      </w:r>
    </w:p>
    <w:p w14:paraId="4E624E10" w14:textId="77777777" w:rsidR="00EC7DFD" w:rsidRPr="00EC7DFD" w:rsidRDefault="00EC7DFD" w:rsidP="00DA3535">
      <w:pPr>
        <w:jc w:val="center"/>
        <w:rPr>
          <w:rFonts w:ascii="Verdana" w:hAnsi="Verdana"/>
          <w:sz w:val="22"/>
          <w:szCs w:val="22"/>
        </w:rPr>
      </w:pPr>
      <w:r w:rsidRPr="00EC7DFD">
        <w:rPr>
          <w:rFonts w:ascii="Verdana" w:hAnsi="Verdana"/>
          <w:b/>
          <w:bCs/>
          <w:sz w:val="22"/>
          <w:szCs w:val="22"/>
        </w:rPr>
        <w:t>INSTITUTO COLOMBIANO DE BIENESTAR FAMILIAR</w:t>
      </w:r>
    </w:p>
    <w:p w14:paraId="1F38B14E" w14:textId="5CF6B741" w:rsidR="00EB6E30" w:rsidRDefault="00EB6E30" w:rsidP="00EB6E30">
      <w:pPr>
        <w:jc w:val="center"/>
        <w:rPr>
          <w:rFonts w:ascii="Verdana" w:hAnsi="Verdana"/>
          <w:i/>
          <w:iCs/>
          <w:sz w:val="22"/>
          <w:szCs w:val="22"/>
        </w:rPr>
      </w:pPr>
      <w:r w:rsidRPr="00EB6E30">
        <w:rPr>
          <w:rFonts w:ascii="Verdana" w:hAnsi="Verdana"/>
          <w:i/>
          <w:iCs/>
          <w:sz w:val="22"/>
          <w:szCs w:val="22"/>
        </w:rPr>
        <w:t xml:space="preserve">“Por la cual se aprueba el Programa Anual de Caja del Instituto Colombiano de Bienestar Familiar - Cecilia de la Fuente De Lleras, para la vigencia fiscal del año 2024, financiado con recursos propios” </w:t>
      </w:r>
    </w:p>
    <w:p w14:paraId="02818858" w14:textId="40BE532F" w:rsidR="00EC7DFD" w:rsidRPr="00EC7DFD" w:rsidRDefault="00EC7DFD" w:rsidP="00EB6E30">
      <w:pPr>
        <w:jc w:val="center"/>
        <w:rPr>
          <w:rFonts w:ascii="Verdana" w:hAnsi="Verdana"/>
          <w:sz w:val="22"/>
          <w:szCs w:val="22"/>
        </w:rPr>
      </w:pPr>
      <w:r w:rsidRPr="00EC7DFD">
        <w:rPr>
          <w:rFonts w:ascii="Verdana" w:hAnsi="Verdana"/>
          <w:b/>
          <w:bCs/>
          <w:sz w:val="22"/>
          <w:szCs w:val="22"/>
        </w:rPr>
        <w:t xml:space="preserve">LA DIRECTORA GENERAL </w:t>
      </w:r>
      <w:r w:rsidR="00EB6E30">
        <w:rPr>
          <w:rFonts w:ascii="Verdana" w:hAnsi="Verdana"/>
          <w:b/>
          <w:bCs/>
          <w:sz w:val="22"/>
          <w:szCs w:val="22"/>
        </w:rPr>
        <w:t xml:space="preserve">ENCARGADO </w:t>
      </w:r>
      <w:r w:rsidRPr="00EC7DFD">
        <w:rPr>
          <w:rFonts w:ascii="Verdana" w:hAnsi="Verdana"/>
          <w:b/>
          <w:bCs/>
          <w:sz w:val="22"/>
          <w:szCs w:val="22"/>
        </w:rPr>
        <w:t>DEL INSTITUTO COLOMBIANO DE BIENESTAR FAMILIAR -CECILIA DE LA FUENTE DE LLERAS</w:t>
      </w:r>
      <w:r w:rsidR="00EB6E30">
        <w:rPr>
          <w:rFonts w:ascii="Verdana" w:hAnsi="Verdana"/>
          <w:b/>
          <w:bCs/>
          <w:sz w:val="22"/>
          <w:szCs w:val="22"/>
        </w:rPr>
        <w:t xml:space="preserve"> -ICBF</w:t>
      </w:r>
    </w:p>
    <w:p w14:paraId="410D1FEE" w14:textId="77777777" w:rsidR="00EB6E30" w:rsidRDefault="00EB6E30" w:rsidP="00EB6E30">
      <w:pPr>
        <w:jc w:val="center"/>
        <w:rPr>
          <w:rFonts w:ascii="Verdana" w:hAnsi="Verdana"/>
          <w:sz w:val="22"/>
          <w:szCs w:val="22"/>
        </w:rPr>
      </w:pPr>
      <w:r w:rsidRPr="00EB6E30">
        <w:rPr>
          <w:rFonts w:ascii="Verdana" w:hAnsi="Verdana"/>
          <w:sz w:val="22"/>
          <w:szCs w:val="22"/>
        </w:rPr>
        <w:t xml:space="preserve"> En uso de sus facultades legales y estatuarias y, en especial de las conferidas por el artículo 78 de la Ley 489 de 1998, el artículo 2.8.1.7.2.1 del Decreto 1068 de 2015, de la delegación otorgada por el Consejo Directivo en el artículo 1 del Acuerdo No.003 de 2008, la Resolución 94 de 2024 del Ministerio de la Igualdad y Equidad y, </w:t>
      </w:r>
    </w:p>
    <w:p w14:paraId="5EE84857" w14:textId="2F8EB70B" w:rsidR="00EC7DFD" w:rsidRPr="00EC7DFD" w:rsidRDefault="00EC7DFD" w:rsidP="00EB6E30">
      <w:pPr>
        <w:jc w:val="center"/>
        <w:rPr>
          <w:rFonts w:ascii="Verdana" w:hAnsi="Verdana"/>
          <w:sz w:val="22"/>
          <w:szCs w:val="22"/>
        </w:rPr>
      </w:pPr>
      <w:r w:rsidRPr="00EC7DFD">
        <w:rPr>
          <w:rFonts w:ascii="Verdana" w:hAnsi="Verdana"/>
          <w:b/>
          <w:bCs/>
          <w:sz w:val="22"/>
          <w:szCs w:val="22"/>
        </w:rPr>
        <w:t>CONSIDERANDO</w:t>
      </w:r>
      <w:r w:rsidR="00DA3535">
        <w:rPr>
          <w:rFonts w:ascii="Verdana" w:hAnsi="Verdana"/>
          <w:b/>
          <w:bCs/>
          <w:sz w:val="22"/>
          <w:szCs w:val="22"/>
        </w:rPr>
        <w:t>:</w:t>
      </w:r>
    </w:p>
    <w:p w14:paraId="1E7F0482" w14:textId="77777777" w:rsidR="00EB6E30" w:rsidRPr="00EB6E30" w:rsidRDefault="00EB6E30" w:rsidP="00EB6E30">
      <w:pPr>
        <w:rPr>
          <w:rFonts w:ascii="Verdana" w:hAnsi="Verdana"/>
          <w:sz w:val="22"/>
          <w:szCs w:val="22"/>
        </w:rPr>
      </w:pPr>
    </w:p>
    <w:p w14:paraId="09DCB0B8" w14:textId="77777777" w:rsidR="00EB6E30" w:rsidRPr="00EB6E30" w:rsidRDefault="00EB6E30" w:rsidP="00EB6E30">
      <w:pPr>
        <w:rPr>
          <w:rFonts w:ascii="Verdana" w:hAnsi="Verdana"/>
          <w:sz w:val="22"/>
          <w:szCs w:val="22"/>
        </w:rPr>
      </w:pPr>
      <w:r w:rsidRPr="00EB6E30">
        <w:rPr>
          <w:rFonts w:ascii="Verdana" w:hAnsi="Verdana"/>
          <w:sz w:val="22"/>
          <w:szCs w:val="22"/>
        </w:rPr>
        <w:t xml:space="preserve"> Que el artículo 209 de la Constitución Política preceptúa que la función administrativa está al servicio de los intereses generales y se desarrolla con fundamento en los principios de igualdad, moralidad, eficacia, economía, celeridad, imparcialidad y publicidad. </w:t>
      </w:r>
    </w:p>
    <w:p w14:paraId="72742CE0" w14:textId="77777777" w:rsidR="00EB6E30" w:rsidRPr="00EB6E30" w:rsidRDefault="00EB6E30" w:rsidP="00EB6E30">
      <w:pPr>
        <w:rPr>
          <w:rFonts w:ascii="Verdana" w:hAnsi="Verdana"/>
          <w:sz w:val="22"/>
          <w:szCs w:val="22"/>
        </w:rPr>
      </w:pPr>
      <w:r w:rsidRPr="00EB6E30">
        <w:rPr>
          <w:rFonts w:ascii="Verdana" w:hAnsi="Verdana"/>
          <w:sz w:val="22"/>
          <w:szCs w:val="22"/>
        </w:rPr>
        <w:t xml:space="preserve">Que el Instituto Colombiano Bienestar Familiar -ICBF es un establecimiento público descentralizado, con personería jurídica, autonomía administrativa y patrimonio propio, creado mediante la Ley 75 de 1968 y su Decreto Reglamentario 2388 de 1979, adscrito al Ministerio de Igualdad y Equidad mediante el Decreto 1074 de 2023, que tiene por objeto propender y fortalecer la integración y desarrollo armónico de la familia, proteger a los niños, niñas y adolescentes y garantizarles sus derechos. </w:t>
      </w:r>
    </w:p>
    <w:p w14:paraId="6DEA89C1" w14:textId="77777777" w:rsidR="00EB6E30" w:rsidRPr="00EB6E30" w:rsidRDefault="00EB6E30" w:rsidP="00EB6E30">
      <w:pPr>
        <w:rPr>
          <w:rFonts w:ascii="Verdana" w:hAnsi="Verdana"/>
          <w:sz w:val="22"/>
          <w:szCs w:val="22"/>
        </w:rPr>
      </w:pPr>
      <w:r w:rsidRPr="00EB6E30">
        <w:rPr>
          <w:rFonts w:ascii="Verdana" w:hAnsi="Verdana"/>
          <w:sz w:val="22"/>
          <w:szCs w:val="22"/>
        </w:rPr>
        <w:t xml:space="preserve">Que el Consejo Superior de Política Fiscal CONFIS, en su sesión del 22 de diciembre de 2023, autorizó para el ICBF una meta global de pagos para la vigencia fiscal 2024 con recursos propios por la suma de </w:t>
      </w:r>
      <w:r w:rsidRPr="00EB6E30">
        <w:rPr>
          <w:rFonts w:ascii="Verdana" w:hAnsi="Verdana"/>
          <w:b/>
          <w:bCs/>
          <w:sz w:val="22"/>
          <w:szCs w:val="22"/>
        </w:rPr>
        <w:t xml:space="preserve">CUATRO BILLONES QUINIENTOS TREINTA Y UN MIL OCHOCIENTOS NOVENTA Y TRES MILLONES OCHOCIENTOS TREINTA MIL CIENTO VEINTITRÉS PESOS M/CTE ($4.531.893.830.123), </w:t>
      </w:r>
      <w:r w:rsidRPr="00EB6E30">
        <w:rPr>
          <w:rFonts w:ascii="Verdana" w:hAnsi="Verdana"/>
          <w:sz w:val="22"/>
          <w:szCs w:val="22"/>
        </w:rPr>
        <w:t xml:space="preserve">para atender los compromisos y obligaciones </w:t>
      </w:r>
      <w:r w:rsidRPr="00EB6E30">
        <w:rPr>
          <w:rFonts w:ascii="Verdana" w:hAnsi="Verdana"/>
          <w:sz w:val="22"/>
          <w:szCs w:val="22"/>
        </w:rPr>
        <w:lastRenderedPageBreak/>
        <w:t xml:space="preserve">que se deriven de la ejecución del presupuesto de la vigencia fiscal del 2024 y de las reservas presupuestales y cuentas por pagar constituidas con cargo al presupuesto de la vigencia 2023. Asimismo, aprobó adicionar la meta de pagos hasta por el monto de los convenios interadministrativos que se aprueben durante la vigencia. </w:t>
      </w:r>
    </w:p>
    <w:p w14:paraId="59B39F08" w14:textId="77777777" w:rsidR="00EB6E30" w:rsidRPr="00EB6E30" w:rsidRDefault="00EB6E30" w:rsidP="00EB6E30">
      <w:pPr>
        <w:rPr>
          <w:rFonts w:ascii="Verdana" w:hAnsi="Verdana"/>
          <w:sz w:val="22"/>
          <w:szCs w:val="22"/>
        </w:rPr>
      </w:pPr>
      <w:r w:rsidRPr="00EB6E30">
        <w:rPr>
          <w:rFonts w:ascii="Verdana" w:hAnsi="Verdana"/>
          <w:sz w:val="22"/>
          <w:szCs w:val="22"/>
        </w:rPr>
        <w:t>Que el artículo 2.8.1.7.2.1 del Decreto 1068 de 2015 “</w:t>
      </w:r>
      <w:r w:rsidRPr="00EB6E30">
        <w:rPr>
          <w:rFonts w:ascii="Verdana" w:hAnsi="Verdana"/>
          <w:i/>
          <w:iCs/>
          <w:sz w:val="22"/>
          <w:szCs w:val="22"/>
        </w:rPr>
        <w:t xml:space="preserve">Por medio de la cual se expide el Decreto Único Reglamentario del Sector Hacienda y Crédito Público”, </w:t>
      </w:r>
      <w:r w:rsidRPr="00EB6E30">
        <w:rPr>
          <w:rFonts w:ascii="Verdana" w:hAnsi="Verdana"/>
          <w:sz w:val="22"/>
          <w:szCs w:val="22"/>
        </w:rPr>
        <w:t xml:space="preserve">establece que </w:t>
      </w:r>
      <w:r w:rsidRPr="00EB6E30">
        <w:rPr>
          <w:rFonts w:ascii="Verdana" w:hAnsi="Verdana"/>
          <w:i/>
          <w:iCs/>
          <w:sz w:val="22"/>
          <w:szCs w:val="22"/>
        </w:rPr>
        <w:t xml:space="preserve">“En caso de los Establecimientos Públicos con ingresos propios, corresponderá a las Juntas o Consejos Directivos aprobar el PAC y sus modificaciones, con base en las metas globales de pagos aprobados por el CONFIS, o por el Representante Legal en caso de no existir aquellas. Esta facultad se podrá delegar en el Representante Legal de cada entidad”. </w:t>
      </w:r>
    </w:p>
    <w:p w14:paraId="4DB627E9" w14:textId="37B8C150" w:rsidR="00EB6E30" w:rsidRDefault="00EB6E30" w:rsidP="00EB6E30">
      <w:pPr>
        <w:rPr>
          <w:rFonts w:ascii="Verdana" w:hAnsi="Verdana"/>
          <w:sz w:val="22"/>
          <w:szCs w:val="22"/>
        </w:rPr>
      </w:pPr>
      <w:r w:rsidRPr="00EB6E30">
        <w:rPr>
          <w:rFonts w:ascii="Verdana" w:hAnsi="Verdana"/>
          <w:sz w:val="22"/>
          <w:szCs w:val="22"/>
        </w:rPr>
        <w:t>Que mediante Acuerdo No.003 de 2008, el Consejo Directivo del ICBF delegó en el (la) director(a) General la facultad de aprobar y modificar el Programa Anual de Caja de la Entidad, con base en la meta global de pagos autorizada en cada vigencia por el CONFIS.</w:t>
      </w:r>
    </w:p>
    <w:p w14:paraId="7C89D9EC" w14:textId="77777777" w:rsidR="00EB6E30" w:rsidRPr="00EB6E30" w:rsidRDefault="00EB6E30" w:rsidP="00EB6E30">
      <w:pPr>
        <w:rPr>
          <w:rFonts w:ascii="Verdana" w:hAnsi="Verdana"/>
          <w:sz w:val="22"/>
          <w:szCs w:val="22"/>
        </w:rPr>
      </w:pPr>
      <w:r w:rsidRPr="00EB6E30">
        <w:rPr>
          <w:rFonts w:ascii="Verdana" w:hAnsi="Verdana"/>
          <w:sz w:val="22"/>
          <w:szCs w:val="22"/>
        </w:rPr>
        <w:t xml:space="preserve">Que con base en lo anterior se hace necesario aprobar el Programa Anual de Caja del ICBF para la vigencia 2024. </w:t>
      </w:r>
    </w:p>
    <w:p w14:paraId="4F7A24D9" w14:textId="77777777" w:rsidR="00EB6E30" w:rsidRPr="00EB6E30" w:rsidRDefault="00EB6E30" w:rsidP="00EB6E30">
      <w:pPr>
        <w:rPr>
          <w:rFonts w:ascii="Verdana" w:hAnsi="Verdana"/>
          <w:sz w:val="22"/>
          <w:szCs w:val="22"/>
        </w:rPr>
      </w:pPr>
      <w:r w:rsidRPr="00EB6E30">
        <w:rPr>
          <w:rFonts w:ascii="Verdana" w:hAnsi="Verdana"/>
          <w:sz w:val="22"/>
          <w:szCs w:val="22"/>
        </w:rPr>
        <w:t xml:space="preserve">En mérito de lo expuesto, </w:t>
      </w:r>
    </w:p>
    <w:p w14:paraId="1BE48B40" w14:textId="2539DBFA" w:rsidR="00EB6E30" w:rsidRPr="00EB6E30" w:rsidRDefault="00EB6E30" w:rsidP="00EB6E30">
      <w:pPr>
        <w:jc w:val="center"/>
        <w:rPr>
          <w:rFonts w:ascii="Verdana" w:hAnsi="Verdana"/>
          <w:sz w:val="22"/>
          <w:szCs w:val="22"/>
        </w:rPr>
      </w:pPr>
      <w:r w:rsidRPr="00EB6E30">
        <w:rPr>
          <w:rFonts w:ascii="Verdana" w:hAnsi="Verdana"/>
          <w:b/>
          <w:bCs/>
          <w:sz w:val="22"/>
          <w:szCs w:val="22"/>
        </w:rPr>
        <w:t>RESUELVE:</w:t>
      </w:r>
    </w:p>
    <w:p w14:paraId="2AB495F8" w14:textId="29BED7BD" w:rsidR="00EB6E30" w:rsidRDefault="00EB6E30" w:rsidP="00EB6E30">
      <w:pPr>
        <w:rPr>
          <w:rFonts w:ascii="Verdana" w:hAnsi="Verdana"/>
          <w:sz w:val="22"/>
          <w:szCs w:val="22"/>
        </w:rPr>
      </w:pPr>
      <w:r w:rsidRPr="00EB6E30">
        <w:rPr>
          <w:rFonts w:ascii="Verdana" w:hAnsi="Verdana"/>
          <w:b/>
          <w:bCs/>
          <w:sz w:val="22"/>
          <w:szCs w:val="22"/>
        </w:rPr>
        <w:t xml:space="preserve">ARTÍCULO PRIMERO: </w:t>
      </w:r>
      <w:r w:rsidRPr="00EB6E30">
        <w:rPr>
          <w:rFonts w:ascii="Verdana" w:hAnsi="Verdana"/>
          <w:sz w:val="22"/>
          <w:szCs w:val="22"/>
        </w:rPr>
        <w:t xml:space="preserve">Aprobar el Programa Anual de Caja del Instituto Colombiano de Bienestar Familiar para la vigencia 2024 con recursos propios, por la suma de </w:t>
      </w:r>
      <w:r w:rsidRPr="00EB6E30">
        <w:rPr>
          <w:rFonts w:ascii="Verdana" w:hAnsi="Verdana"/>
          <w:b/>
          <w:bCs/>
          <w:sz w:val="22"/>
          <w:szCs w:val="22"/>
        </w:rPr>
        <w:t xml:space="preserve">CUATRO BILLONES QUINIENTOS TREINTA Y UN MIL OCHOCIENTOS NOVENTA Y TRES MILLONES OCHOCIENTOS TREINTA MIL CIENTO VEINTITRÉS PESOS M/CTE ($4.531.893.830.123), </w:t>
      </w:r>
      <w:r w:rsidRPr="00EB6E30">
        <w:rPr>
          <w:rFonts w:ascii="Verdana" w:hAnsi="Verdana"/>
          <w:sz w:val="22"/>
          <w:szCs w:val="22"/>
        </w:rPr>
        <w:t>valor que corresponde a la meta global de pagos autorizada por el Consejo Superior de Política Fiscal CONFIS para la mencionada vigencia, para atender los compromisos y obligaciones de las reservas presupuestales y cuentas por pagar constituidas con cargo al presupuesto de la vigencia 2023 y los que se deriven de la ejecución del presupuesto de la vigencia fiscal del 2024, la cual se distribuye de la siguiente manera:</w:t>
      </w:r>
    </w:p>
    <w:p w14:paraId="46201E60" w14:textId="7320EF23" w:rsidR="00EB6E30" w:rsidRDefault="00EB6E30" w:rsidP="00EB6E30">
      <w:pPr>
        <w:rPr>
          <w:rFonts w:ascii="Verdana" w:hAnsi="Verdana"/>
          <w:sz w:val="22"/>
          <w:szCs w:val="22"/>
        </w:rPr>
      </w:pPr>
      <w:r w:rsidRPr="00EB6E30">
        <w:rPr>
          <w:rFonts w:ascii="Verdana" w:hAnsi="Verdana"/>
          <w:sz w:val="22"/>
          <w:szCs w:val="22"/>
        </w:rPr>
        <w:drawing>
          <wp:inline distT="0" distB="0" distL="0" distR="0" wp14:anchorId="518305A1" wp14:editId="12B41A47">
            <wp:extent cx="5612130" cy="1307465"/>
            <wp:effectExtent l="0" t="0" r="7620" b="6985"/>
            <wp:docPr id="13691736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73654" name=""/>
                    <pic:cNvPicPr/>
                  </pic:nvPicPr>
                  <pic:blipFill>
                    <a:blip r:embed="rId5"/>
                    <a:stretch>
                      <a:fillRect/>
                    </a:stretch>
                  </pic:blipFill>
                  <pic:spPr>
                    <a:xfrm>
                      <a:off x="0" y="0"/>
                      <a:ext cx="5612130" cy="1307465"/>
                    </a:xfrm>
                    <a:prstGeom prst="rect">
                      <a:avLst/>
                    </a:prstGeom>
                  </pic:spPr>
                </pic:pic>
              </a:graphicData>
            </a:graphic>
          </wp:inline>
        </w:drawing>
      </w:r>
    </w:p>
    <w:p w14:paraId="38A826DF" w14:textId="77777777" w:rsidR="00EB6E30" w:rsidRPr="00EB6E30" w:rsidRDefault="00EB6E30" w:rsidP="00EB6E30">
      <w:pPr>
        <w:rPr>
          <w:rFonts w:ascii="Verdana" w:hAnsi="Verdana"/>
          <w:sz w:val="22"/>
          <w:szCs w:val="22"/>
        </w:rPr>
      </w:pPr>
      <w:r w:rsidRPr="00EB6E30">
        <w:rPr>
          <w:rFonts w:ascii="Verdana" w:hAnsi="Verdana"/>
          <w:b/>
          <w:bCs/>
          <w:sz w:val="22"/>
          <w:szCs w:val="22"/>
        </w:rPr>
        <w:t xml:space="preserve">ARTÍCULO SEGUNDO. </w:t>
      </w:r>
      <w:r w:rsidRPr="00EB6E30">
        <w:rPr>
          <w:rFonts w:ascii="Verdana" w:hAnsi="Verdana"/>
          <w:sz w:val="22"/>
          <w:szCs w:val="22"/>
        </w:rPr>
        <w:t xml:space="preserve">La presente Resolución rige a partir de la fecha de su expedición. </w:t>
      </w:r>
    </w:p>
    <w:p w14:paraId="25E814F3" w14:textId="40B06674" w:rsidR="00EB6E30" w:rsidRPr="00EB6E30" w:rsidRDefault="00EB6E30" w:rsidP="00EB6E30">
      <w:pPr>
        <w:jc w:val="center"/>
        <w:rPr>
          <w:rFonts w:ascii="Verdana" w:hAnsi="Verdana"/>
          <w:sz w:val="22"/>
          <w:szCs w:val="22"/>
        </w:rPr>
      </w:pPr>
      <w:r w:rsidRPr="00EB6E30">
        <w:rPr>
          <w:rFonts w:ascii="Verdana" w:hAnsi="Verdana"/>
          <w:b/>
          <w:bCs/>
          <w:sz w:val="22"/>
          <w:szCs w:val="22"/>
        </w:rPr>
        <w:t>COMUNÍQUESE Y CÚMPLASE</w:t>
      </w:r>
    </w:p>
    <w:p w14:paraId="5378833F" w14:textId="4A574D93" w:rsidR="00EB6E30" w:rsidRPr="00EB6E30" w:rsidRDefault="00EB6E30" w:rsidP="00EB6E30">
      <w:pPr>
        <w:jc w:val="center"/>
        <w:rPr>
          <w:rFonts w:ascii="Verdana" w:hAnsi="Verdana"/>
          <w:sz w:val="22"/>
          <w:szCs w:val="22"/>
        </w:rPr>
      </w:pPr>
      <w:r w:rsidRPr="00EB6E30">
        <w:rPr>
          <w:rFonts w:ascii="Verdana" w:hAnsi="Verdana"/>
          <w:sz w:val="22"/>
          <w:szCs w:val="22"/>
        </w:rPr>
        <w:lastRenderedPageBreak/>
        <w:t>Dada en Bogotá D.C. a los</w:t>
      </w:r>
    </w:p>
    <w:p w14:paraId="514FE0FA" w14:textId="1247EDA7" w:rsidR="00EB6E30" w:rsidRPr="00EB6E30" w:rsidRDefault="00EB6E30" w:rsidP="00EB6E30">
      <w:pPr>
        <w:jc w:val="center"/>
        <w:rPr>
          <w:rFonts w:ascii="Verdana" w:hAnsi="Verdana"/>
          <w:sz w:val="22"/>
          <w:szCs w:val="22"/>
        </w:rPr>
      </w:pPr>
      <w:r w:rsidRPr="00EB6E30">
        <w:rPr>
          <w:rFonts w:ascii="Verdana" w:hAnsi="Verdana"/>
          <w:b/>
          <w:bCs/>
          <w:sz w:val="22"/>
          <w:szCs w:val="22"/>
        </w:rPr>
        <w:t>MILTON FABIÁN FORERO MELO</w:t>
      </w:r>
    </w:p>
    <w:p w14:paraId="1ECFFF6B" w14:textId="0076AF8A" w:rsidR="00A724C4" w:rsidRPr="00EB6E30" w:rsidRDefault="00EB6E30" w:rsidP="00EB6E30">
      <w:pPr>
        <w:jc w:val="center"/>
        <w:rPr>
          <w:rFonts w:ascii="Verdana" w:hAnsi="Verdana"/>
          <w:sz w:val="22"/>
          <w:szCs w:val="22"/>
        </w:rPr>
      </w:pPr>
      <w:r w:rsidRPr="00EB6E30">
        <w:rPr>
          <w:rFonts w:ascii="Verdana" w:hAnsi="Verdana"/>
          <w:sz w:val="22"/>
          <w:szCs w:val="22"/>
        </w:rPr>
        <w:t>Director General Encargado</w:t>
      </w:r>
    </w:p>
    <w:sectPr w:rsidR="00A724C4" w:rsidRPr="00EB6E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FC400CD"/>
    <w:multiLevelType w:val="hybridMultilevel"/>
    <w:tmpl w:val="E63E62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BDE34C7"/>
    <w:multiLevelType w:val="hybridMultilevel"/>
    <w:tmpl w:val="00B80B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0"/>
  </w:num>
  <w:num w:numId="2" w16cid:durableId="779953320">
    <w:abstractNumId w:val="2"/>
  </w:num>
  <w:num w:numId="3" w16cid:durableId="1626043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657673"/>
    <w:rsid w:val="006D1939"/>
    <w:rsid w:val="006D5ECF"/>
    <w:rsid w:val="00863A26"/>
    <w:rsid w:val="008D6411"/>
    <w:rsid w:val="00933C0C"/>
    <w:rsid w:val="00A724C4"/>
    <w:rsid w:val="00AD4C15"/>
    <w:rsid w:val="00C07F46"/>
    <w:rsid w:val="00DA3535"/>
    <w:rsid w:val="00EB6E30"/>
    <w:rsid w:val="00EC7D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1FC1A8-F265-44BA-92F5-CD78BFA2FAE3}"/>
</file>

<file path=customXml/itemProps2.xml><?xml version="1.0" encoding="utf-8"?>
<ds:datastoreItem xmlns:ds="http://schemas.openxmlformats.org/officeDocument/2006/customXml" ds:itemID="{BA6D576E-805E-4343-8F1A-61805C5667CA}"/>
</file>

<file path=customXml/itemProps3.xml><?xml version="1.0" encoding="utf-8"?>
<ds:datastoreItem xmlns:ds="http://schemas.openxmlformats.org/officeDocument/2006/customXml" ds:itemID="{979FA441-AFA8-475B-AFA1-BB48F773CF6B}"/>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664</Words>
  <Characters>3655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2026-03-14T14:47:00Z</dcterms:created>
  <dcterms:modified xsi:type="dcterms:W3CDTF">2026-03-14T14:47:00Z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