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0D7A" w:rsidR="00B3115A" w:rsidP="00B3115A" w:rsidRDefault="00B3115A" w14:paraId="3A81AD3F" w14:textId="6FDCFC1F">
      <w:pPr>
        <w:jc w:val="center"/>
        <w:rPr>
          <w:rFonts w:ascii="Verdana" w:hAnsi="Verdana"/>
        </w:rPr>
      </w:pPr>
      <w:r w:rsidRPr="001343F8">
        <w:rPr>
          <w:rFonts w:ascii="Verdana" w:hAnsi="Verdana"/>
          <w:b/>
          <w:bCs/>
        </w:rPr>
        <w:t xml:space="preserve">RESOLUCIÓN </w:t>
      </w:r>
      <w:r w:rsidR="00DC0DA7">
        <w:rPr>
          <w:rFonts w:ascii="Verdana" w:hAnsi="Verdana"/>
          <w:b/>
          <w:bCs/>
        </w:rPr>
        <w:t>4949</w:t>
      </w:r>
      <w:r w:rsidRPr="001343F8">
        <w:rPr>
          <w:rFonts w:ascii="Verdana" w:hAnsi="Verdana"/>
          <w:b/>
          <w:bCs/>
        </w:rPr>
        <w:t xml:space="preserve"> DE </w:t>
      </w:r>
      <w:r>
        <w:rPr>
          <w:rFonts w:ascii="Verdana" w:hAnsi="Verdana"/>
          <w:b/>
          <w:bCs/>
        </w:rPr>
        <w:t>202</w:t>
      </w:r>
      <w:r w:rsidR="00F72A21">
        <w:rPr>
          <w:rFonts w:ascii="Verdana" w:hAnsi="Verdana"/>
          <w:b/>
          <w:bCs/>
        </w:rPr>
        <w:t>5</w:t>
      </w:r>
    </w:p>
    <w:p w:rsidRPr="00781004" w:rsidR="00B3115A" w:rsidP="00781004" w:rsidRDefault="00B3115A" w14:paraId="1BE024A1" w14:textId="3B082466">
      <w:pPr>
        <w:pStyle w:val="Sinespaciado1"/>
        <w:rPr>
          <w:rFonts w:ascii="Verdana" w:hAnsi="Verdana"/>
          <w:sz w:val="20"/>
          <w:szCs w:val="20"/>
        </w:rPr>
      </w:pPr>
      <w:r w:rsidRPr="00781004">
        <w:rPr>
          <w:rFonts w:ascii="Verdana" w:hAnsi="Verdana"/>
          <w:sz w:val="20"/>
          <w:szCs w:val="20"/>
        </w:rPr>
        <w:t xml:space="preserve">Fecha de Expedición: </w:t>
      </w:r>
      <w:r w:rsidR="00DC0DA7">
        <w:rPr>
          <w:rFonts w:ascii="Verdana" w:hAnsi="Verdana"/>
          <w:sz w:val="20"/>
          <w:szCs w:val="20"/>
        </w:rPr>
        <w:t xml:space="preserve">1 de septiembre de </w:t>
      </w:r>
      <w:r w:rsidR="00F72A21">
        <w:rPr>
          <w:rFonts w:ascii="Verdana" w:hAnsi="Verdana"/>
          <w:sz w:val="20"/>
          <w:szCs w:val="20"/>
        </w:rPr>
        <w:t>2025</w:t>
      </w:r>
    </w:p>
    <w:p w:rsidR="00DC0DA7" w:rsidP="00781004" w:rsidRDefault="00B3115A" w14:paraId="61201625" w14:textId="77777777">
      <w:pPr>
        <w:pStyle w:val="Sinespaciado1"/>
        <w:rPr>
          <w:rFonts w:ascii="Verdana" w:hAnsi="Verdana"/>
          <w:sz w:val="20"/>
          <w:szCs w:val="20"/>
        </w:rPr>
      </w:pPr>
      <w:r w:rsidRPr="00781004">
        <w:rPr>
          <w:rFonts w:ascii="Verdana" w:hAnsi="Verdana"/>
          <w:sz w:val="20"/>
          <w:szCs w:val="20"/>
        </w:rPr>
        <w:t xml:space="preserve">Fecha de </w:t>
      </w:r>
      <w:proofErr w:type="gramStart"/>
      <w:r w:rsidRPr="00781004">
        <w:rPr>
          <w:rFonts w:ascii="Verdana" w:hAnsi="Verdana"/>
          <w:sz w:val="20"/>
          <w:szCs w:val="20"/>
        </w:rPr>
        <w:t>entrada en vigencia</w:t>
      </w:r>
      <w:proofErr w:type="gramEnd"/>
      <w:r w:rsidRPr="00781004">
        <w:rPr>
          <w:rFonts w:ascii="Verdana" w:hAnsi="Verdana"/>
          <w:sz w:val="20"/>
          <w:szCs w:val="20"/>
        </w:rPr>
        <w:t xml:space="preserve">: </w:t>
      </w:r>
      <w:r w:rsidR="00DC0DA7">
        <w:rPr>
          <w:rFonts w:ascii="Verdana" w:hAnsi="Verdana"/>
          <w:sz w:val="20"/>
          <w:szCs w:val="20"/>
        </w:rPr>
        <w:t>1 de septiembre de 2025</w:t>
      </w:r>
    </w:p>
    <w:p w:rsidRPr="00781004" w:rsidR="00B3115A" w:rsidP="00781004" w:rsidRDefault="00B3115A" w14:paraId="2843E29A" w14:textId="320ABDCC">
      <w:pPr>
        <w:pStyle w:val="Sinespaciado1"/>
        <w:rPr>
          <w:rFonts w:ascii="Verdana" w:hAnsi="Verdana"/>
          <w:sz w:val="20"/>
          <w:szCs w:val="20"/>
        </w:rPr>
      </w:pPr>
      <w:r w:rsidRPr="00781004">
        <w:rPr>
          <w:rFonts w:ascii="Verdana" w:hAnsi="Verdana"/>
          <w:sz w:val="20"/>
          <w:szCs w:val="20"/>
        </w:rPr>
        <w:t>Estado de la vigencia: Vigente</w:t>
      </w:r>
    </w:p>
    <w:p w:rsidRPr="00781004" w:rsidR="00B3115A" w:rsidP="00781004" w:rsidRDefault="00B3115A" w14:paraId="4F5900AB" w14:textId="77777777">
      <w:pPr>
        <w:pStyle w:val="Sinespaciado1"/>
        <w:rPr>
          <w:rFonts w:ascii="Verdana" w:hAnsi="Verdana"/>
          <w:sz w:val="20"/>
          <w:szCs w:val="20"/>
        </w:rPr>
      </w:pPr>
    </w:p>
    <w:p w:rsidRPr="00781004" w:rsidR="00B3115A" w:rsidP="00781004" w:rsidRDefault="00B3115A" w14:paraId="247B737B" w14:textId="730AEEF1">
      <w:pPr>
        <w:pStyle w:val="Sinespaciado1"/>
        <w:rPr>
          <w:rFonts w:ascii="Verdana" w:hAnsi="Verdana"/>
          <w:sz w:val="20"/>
          <w:szCs w:val="20"/>
        </w:rPr>
      </w:pPr>
      <w:r w:rsidRPr="00781004">
        <w:rPr>
          <w:rFonts w:ascii="Verdana" w:hAnsi="Verdana"/>
          <w:sz w:val="20"/>
          <w:szCs w:val="20"/>
        </w:rPr>
        <w:t xml:space="preserve">Fecha de publicación en Diario Oficial: </w:t>
      </w:r>
      <w:r w:rsidR="00F72A21">
        <w:rPr>
          <w:rFonts w:ascii="Verdana" w:hAnsi="Verdana"/>
          <w:sz w:val="20"/>
          <w:szCs w:val="20"/>
        </w:rPr>
        <w:t>N/A</w:t>
      </w:r>
    </w:p>
    <w:p w:rsidR="00B3115A" w:rsidP="00781004" w:rsidRDefault="00B3115A" w14:paraId="2F09FF44" w14:textId="510BAACD">
      <w:pPr>
        <w:pStyle w:val="Sinespaciado1"/>
        <w:rPr>
          <w:rFonts w:ascii="Verdana" w:hAnsi="Verdana"/>
          <w:sz w:val="20"/>
          <w:szCs w:val="20"/>
        </w:rPr>
      </w:pPr>
      <w:r w:rsidRPr="00781004">
        <w:rPr>
          <w:rFonts w:ascii="Verdana" w:hAnsi="Verdana"/>
          <w:sz w:val="20"/>
          <w:szCs w:val="20"/>
        </w:rPr>
        <w:t xml:space="preserve">Número del Diario Oficial: </w:t>
      </w:r>
      <w:r w:rsidR="00F72A21">
        <w:rPr>
          <w:rFonts w:ascii="Verdana" w:hAnsi="Verdana"/>
          <w:sz w:val="20"/>
          <w:szCs w:val="20"/>
        </w:rPr>
        <w:t>N/A</w:t>
      </w:r>
    </w:p>
    <w:p w:rsidRPr="00781004" w:rsidR="00781004" w:rsidP="00781004" w:rsidRDefault="00781004" w14:paraId="4697ADA0" w14:textId="77777777">
      <w:pPr>
        <w:pStyle w:val="Sinespaciado1"/>
        <w:rPr>
          <w:rFonts w:ascii="Verdana" w:hAnsi="Verdana"/>
          <w:sz w:val="20"/>
          <w:szCs w:val="20"/>
        </w:rPr>
      </w:pPr>
    </w:p>
    <w:p w:rsidRPr="00D00D7A" w:rsidR="00F72A21" w:rsidP="00F72A21" w:rsidRDefault="00F72A21" w14:paraId="0A080FA9" w14:textId="6438B035">
      <w:pPr>
        <w:jc w:val="center"/>
        <w:rPr>
          <w:rFonts w:ascii="Verdana" w:hAnsi="Verdana"/>
        </w:rPr>
      </w:pPr>
      <w:r w:rsidRPr="001343F8">
        <w:rPr>
          <w:rFonts w:ascii="Verdana" w:hAnsi="Verdana"/>
          <w:b/>
          <w:bCs/>
        </w:rPr>
        <w:t xml:space="preserve">RESOLUCIÓN </w:t>
      </w:r>
      <w:r w:rsidR="00DC0DA7">
        <w:rPr>
          <w:rFonts w:ascii="Verdana" w:hAnsi="Verdana"/>
          <w:b/>
          <w:bCs/>
        </w:rPr>
        <w:t>4949</w:t>
      </w:r>
      <w:r w:rsidRPr="001343F8">
        <w:rPr>
          <w:rFonts w:ascii="Verdana" w:hAnsi="Verdana"/>
          <w:b/>
          <w:bCs/>
        </w:rPr>
        <w:t xml:space="preserve"> DE </w:t>
      </w:r>
      <w:r>
        <w:rPr>
          <w:rFonts w:ascii="Verdana" w:hAnsi="Verdana"/>
          <w:b/>
          <w:bCs/>
        </w:rPr>
        <w:t>2025</w:t>
      </w:r>
    </w:p>
    <w:p w:rsidRPr="003729BB" w:rsidR="003729BB" w:rsidP="00B3115A" w:rsidRDefault="003729BB" w14:paraId="61BEDCA8" w14:textId="2E1AC483">
      <w:pPr>
        <w:jc w:val="center"/>
        <w:rPr>
          <w:rFonts w:ascii="Verdana" w:hAnsi="Verdana"/>
        </w:rPr>
      </w:pPr>
      <w:r w:rsidRPr="003729BB">
        <w:rPr>
          <w:rFonts w:ascii="Verdana" w:hAnsi="Verdana"/>
        </w:rPr>
        <w:t>(</w:t>
      </w:r>
      <w:r w:rsidR="00DC0DA7">
        <w:rPr>
          <w:rFonts w:ascii="Verdana" w:hAnsi="Verdana"/>
        </w:rPr>
        <w:t>1 de septiembre</w:t>
      </w:r>
      <w:r w:rsidRPr="003729BB">
        <w:rPr>
          <w:rFonts w:ascii="Verdana" w:hAnsi="Verdana"/>
        </w:rPr>
        <w:t>)</w:t>
      </w:r>
    </w:p>
    <w:p w:rsidRPr="00DC0DA7" w:rsidR="00DC0DA7" w:rsidP="00DC0DA7" w:rsidRDefault="00DC0DA7" w14:paraId="502E5603" w14:textId="77777777">
      <w:pPr>
        <w:pStyle w:val="Sinespaciado"/>
        <w:ind w:right="49"/>
        <w:jc w:val="center"/>
        <w:rPr>
          <w:rFonts w:ascii="Arial" w:hAnsi="Arial" w:cs="Arial"/>
          <w:sz w:val="23"/>
          <w:szCs w:val="23"/>
        </w:rPr>
      </w:pPr>
      <w:r w:rsidRPr="00DC0DA7">
        <w:rPr>
          <w:rFonts w:ascii="Arial" w:hAnsi="Arial" w:cs="Arial"/>
          <w:sz w:val="23"/>
          <w:szCs w:val="23"/>
        </w:rPr>
        <w:t xml:space="preserve">“Por la cual se delega la asistencia, participación y representación de la Directora </w:t>
      </w:r>
    </w:p>
    <w:p w:rsidRPr="00DC0DA7" w:rsidR="00DC0DA7" w:rsidP="00DC0DA7" w:rsidRDefault="00DC0DA7" w14:paraId="1CA69EF0" w14:textId="77777777">
      <w:pPr>
        <w:pStyle w:val="Sinespaciado"/>
        <w:ind w:right="49"/>
        <w:jc w:val="center"/>
        <w:rPr>
          <w:rFonts w:ascii="Arial" w:hAnsi="Arial" w:cs="Arial"/>
          <w:sz w:val="23"/>
          <w:szCs w:val="23"/>
        </w:rPr>
      </w:pPr>
      <w:r w:rsidRPr="00DC0DA7">
        <w:rPr>
          <w:rFonts w:ascii="Arial" w:hAnsi="Arial" w:cs="Arial"/>
          <w:sz w:val="23"/>
          <w:szCs w:val="23"/>
        </w:rPr>
        <w:t xml:space="preserve">General de Instituto Colombiano de Bienestar Familiar – ICBF ante el Comité </w:t>
      </w:r>
    </w:p>
    <w:p w:rsidR="003729BB" w:rsidP="00DC0DA7" w:rsidRDefault="00DC0DA7" w14:paraId="63E95FED" w14:textId="3F2C1B9A">
      <w:pPr>
        <w:pStyle w:val="Sinespaciado"/>
        <w:ind w:right="49"/>
        <w:jc w:val="center"/>
        <w:rPr>
          <w:rFonts w:ascii="Arial" w:hAnsi="Arial" w:cs="Arial"/>
          <w:sz w:val="23"/>
          <w:szCs w:val="23"/>
        </w:rPr>
      </w:pPr>
      <w:r w:rsidRPr="00DC0DA7">
        <w:rPr>
          <w:rFonts w:ascii="Arial" w:hAnsi="Arial" w:cs="Arial"/>
          <w:sz w:val="23"/>
          <w:szCs w:val="23"/>
        </w:rPr>
        <w:t>Técnico del Consejo Superior de Política Criminal y se dictan otras disposiciones”</w:t>
      </w:r>
    </w:p>
    <w:p w:rsidR="00DC0DA7" w:rsidP="00DC0DA7" w:rsidRDefault="00DC0DA7" w14:paraId="1CB98864" w14:textId="77777777">
      <w:pPr>
        <w:pStyle w:val="Sinespaciado"/>
        <w:ind w:right="49"/>
        <w:jc w:val="center"/>
        <w:rPr>
          <w:rFonts w:ascii="Arial" w:hAnsi="Arial" w:cs="Arial"/>
          <w:b/>
          <w:bCs/>
          <w:sz w:val="23"/>
          <w:szCs w:val="23"/>
        </w:rPr>
      </w:pPr>
    </w:p>
    <w:p w:rsidR="003729BB" w:rsidP="00DC0DA7" w:rsidRDefault="00DC0DA7" w14:paraId="4D1F2D1C" w14:textId="1DCD212C">
      <w:pPr>
        <w:pStyle w:val="Sinespaciado"/>
        <w:ind w:right="49"/>
        <w:jc w:val="center"/>
        <w:rPr>
          <w:rFonts w:ascii="Arial" w:hAnsi="Arial" w:cs="Arial"/>
          <w:b/>
          <w:bCs/>
          <w:sz w:val="23"/>
          <w:szCs w:val="23"/>
        </w:rPr>
      </w:pPr>
      <w:r w:rsidRPr="00DC0DA7">
        <w:rPr>
          <w:rFonts w:ascii="Arial" w:hAnsi="Arial" w:cs="Arial"/>
          <w:b/>
          <w:bCs/>
          <w:sz w:val="23"/>
          <w:szCs w:val="23"/>
        </w:rPr>
        <w:t>LA DIRECTORA GENERAL DEL INSTITUTO COLOMBIANO DE BIENESTAR FAMILIAR CECILIA DE LA FUENTE DE LLERAS – ICBF</w:t>
      </w:r>
    </w:p>
    <w:p w:rsidRPr="009D39C4" w:rsidR="00DC0DA7" w:rsidP="00DC0DA7" w:rsidRDefault="00DC0DA7" w14:paraId="3A565A25" w14:textId="77777777">
      <w:pPr>
        <w:pStyle w:val="Sinespaciado"/>
        <w:ind w:right="49"/>
        <w:jc w:val="both"/>
        <w:rPr>
          <w:rFonts w:ascii="Arial" w:hAnsi="Arial" w:cs="Arial"/>
          <w:sz w:val="23"/>
          <w:szCs w:val="23"/>
        </w:rPr>
      </w:pPr>
    </w:p>
    <w:p w:rsidRPr="00DC0DA7" w:rsidR="00DC0DA7" w:rsidP="00DC0DA7" w:rsidRDefault="00DC0DA7" w14:paraId="0C72FCA6" w14:textId="77777777">
      <w:pPr>
        <w:pStyle w:val="Sinespaciado"/>
        <w:ind w:right="49"/>
        <w:jc w:val="center"/>
        <w:rPr>
          <w:rFonts w:ascii="Arial" w:hAnsi="Arial" w:cs="Arial"/>
          <w:sz w:val="23"/>
          <w:szCs w:val="23"/>
        </w:rPr>
      </w:pPr>
      <w:r w:rsidRPr="00DC0DA7">
        <w:rPr>
          <w:rFonts w:ascii="Arial" w:hAnsi="Arial" w:cs="Arial"/>
          <w:sz w:val="23"/>
          <w:szCs w:val="23"/>
        </w:rPr>
        <w:t>En uso de sus facultades legales y estatutarias y, en particular de las conferidas</w:t>
      </w:r>
    </w:p>
    <w:p w:rsidRPr="00DC0DA7" w:rsidR="00DC0DA7" w:rsidP="00DC0DA7" w:rsidRDefault="00DC0DA7" w14:paraId="325316F1" w14:textId="77777777">
      <w:pPr>
        <w:pStyle w:val="Sinespaciado"/>
        <w:ind w:right="49"/>
        <w:jc w:val="center"/>
        <w:rPr>
          <w:rFonts w:ascii="Arial" w:hAnsi="Arial" w:cs="Arial"/>
          <w:sz w:val="23"/>
          <w:szCs w:val="23"/>
        </w:rPr>
      </w:pPr>
      <w:r w:rsidRPr="00DC0DA7">
        <w:rPr>
          <w:rFonts w:ascii="Arial" w:hAnsi="Arial" w:cs="Arial"/>
          <w:sz w:val="23"/>
          <w:szCs w:val="23"/>
        </w:rPr>
        <w:t xml:space="preserve">en la Ley 7 de 1979, en los artículos 9, 10 y 78 de la Ley 489 de 1998, en el literal </w:t>
      </w:r>
    </w:p>
    <w:p w:rsidRPr="00DC0DA7" w:rsidR="00DC0DA7" w:rsidP="00DC0DA7" w:rsidRDefault="00DC0DA7" w14:paraId="38A3DC97" w14:textId="77777777">
      <w:pPr>
        <w:pStyle w:val="Sinespaciado"/>
        <w:ind w:right="49"/>
        <w:jc w:val="center"/>
        <w:rPr>
          <w:rFonts w:ascii="Arial" w:hAnsi="Arial" w:cs="Arial"/>
          <w:sz w:val="23"/>
          <w:szCs w:val="23"/>
        </w:rPr>
      </w:pPr>
      <w:r w:rsidRPr="00DC0DA7">
        <w:rPr>
          <w:rFonts w:ascii="Arial" w:hAnsi="Arial" w:cs="Arial"/>
          <w:sz w:val="23"/>
          <w:szCs w:val="23"/>
        </w:rPr>
        <w:t xml:space="preserve">a) del artículo 28 del Acuerdo 102 de 1979, aprobado por el Decreto 334 de 1980 </w:t>
      </w:r>
    </w:p>
    <w:p w:rsidR="003729BB" w:rsidP="00DC0DA7" w:rsidRDefault="00DC0DA7" w14:paraId="1ECADDF8" w14:textId="015259D0">
      <w:pPr>
        <w:pStyle w:val="Sinespaciado"/>
        <w:ind w:right="49"/>
        <w:jc w:val="center"/>
        <w:rPr>
          <w:rFonts w:ascii="Arial" w:hAnsi="Arial" w:cs="Arial"/>
          <w:sz w:val="23"/>
          <w:szCs w:val="23"/>
        </w:rPr>
      </w:pPr>
      <w:r w:rsidRPr="00DC0DA7">
        <w:rPr>
          <w:rFonts w:ascii="Arial" w:hAnsi="Arial" w:cs="Arial"/>
          <w:sz w:val="23"/>
          <w:szCs w:val="23"/>
        </w:rPr>
        <w:t>y las demás normas concordantes y complementarias y,</w:t>
      </w:r>
    </w:p>
    <w:p w:rsidRPr="009D39C4" w:rsidR="00F72A21" w:rsidP="00F72A21" w:rsidRDefault="00F72A21" w14:paraId="37B13D1C" w14:textId="77777777">
      <w:pPr>
        <w:pStyle w:val="Sinespaciado"/>
        <w:ind w:right="49"/>
        <w:jc w:val="both"/>
        <w:rPr>
          <w:rFonts w:ascii="Arial" w:hAnsi="Arial" w:cs="Arial"/>
          <w:sz w:val="23"/>
          <w:szCs w:val="23"/>
        </w:rPr>
      </w:pPr>
    </w:p>
    <w:p w:rsidRPr="009D39C4" w:rsidR="003729BB" w:rsidP="003729BB" w:rsidRDefault="003729BB" w14:paraId="67B22F1C" w14:textId="77777777">
      <w:pPr>
        <w:pStyle w:val="Sinespaciado"/>
        <w:ind w:right="49"/>
        <w:jc w:val="center"/>
        <w:rPr>
          <w:rFonts w:ascii="Arial" w:hAnsi="Arial" w:cs="Arial"/>
          <w:b/>
          <w:bCs/>
          <w:sz w:val="23"/>
          <w:szCs w:val="23"/>
        </w:rPr>
      </w:pPr>
      <w:r w:rsidRPr="009D39C4">
        <w:rPr>
          <w:rFonts w:ascii="Arial" w:hAnsi="Arial" w:cs="Arial"/>
          <w:b/>
          <w:bCs/>
          <w:sz w:val="23"/>
          <w:szCs w:val="23"/>
        </w:rPr>
        <w:t>CONSIDERANDO:</w:t>
      </w:r>
    </w:p>
    <w:p w:rsidRPr="009D39C4" w:rsidR="003729BB" w:rsidP="003729BB" w:rsidRDefault="003729BB" w14:paraId="39C631F8" w14:textId="77777777">
      <w:pPr>
        <w:pStyle w:val="Sinespaciado"/>
        <w:ind w:right="49"/>
        <w:jc w:val="both"/>
        <w:rPr>
          <w:rFonts w:ascii="Arial" w:hAnsi="Arial" w:cs="Arial"/>
          <w:sz w:val="23"/>
          <w:szCs w:val="23"/>
        </w:rPr>
      </w:pPr>
    </w:p>
    <w:p w:rsidR="00DC0DA7" w:rsidP="00F72A21" w:rsidRDefault="00DC0DA7" w14:paraId="36D77371" w14:textId="77777777">
      <w:pPr>
        <w:pStyle w:val="Sinespaciado"/>
        <w:ind w:right="49"/>
        <w:jc w:val="both"/>
        <w:rPr>
          <w:rFonts w:ascii="Arial" w:hAnsi="Arial" w:cs="Arial"/>
          <w:sz w:val="23"/>
          <w:szCs w:val="23"/>
        </w:rPr>
      </w:pPr>
    </w:p>
    <w:p w:rsidRPr="00DC0DA7" w:rsidR="00DC0DA7" w:rsidP="00DC0DA7" w:rsidRDefault="00DC0DA7" w14:paraId="3F2CA395" w14:textId="178D335E">
      <w:pPr>
        <w:pStyle w:val="Sinespaciado"/>
        <w:ind w:right="49"/>
        <w:jc w:val="both"/>
        <w:rPr>
          <w:rFonts w:ascii="Arial" w:hAnsi="Arial" w:cs="Arial"/>
          <w:sz w:val="23"/>
          <w:szCs w:val="23"/>
        </w:rPr>
      </w:pPr>
      <w:r w:rsidRPr="00DC0DA7">
        <w:rPr>
          <w:rFonts w:ascii="Arial" w:hAnsi="Arial" w:cs="Arial"/>
          <w:sz w:val="23"/>
          <w:szCs w:val="23"/>
        </w:rPr>
        <w:t>Que de conformidad con lo preceptuado en el artículo 209 de la Constitución Política, la función administrativa está al servicio de los intereses generales y se desarrolla con fundamento en los principios de igualdad, moralidad, eficacia, economía, celeridad, imparcialidad y publicidad, a través de figuras como la descentralización, la delegación y la desconcentración de funciones.</w:t>
      </w:r>
    </w:p>
    <w:p w:rsidR="00DC0DA7" w:rsidP="00DC0DA7" w:rsidRDefault="00DC0DA7" w14:paraId="00AD7601" w14:textId="77777777">
      <w:pPr>
        <w:pStyle w:val="Sinespaciado"/>
        <w:ind w:right="49"/>
        <w:jc w:val="both"/>
        <w:rPr>
          <w:rFonts w:ascii="Arial" w:hAnsi="Arial" w:cs="Arial"/>
          <w:sz w:val="23"/>
          <w:szCs w:val="23"/>
        </w:rPr>
      </w:pPr>
    </w:p>
    <w:p w:rsidRPr="00DC0DA7" w:rsidR="00DC0DA7" w:rsidP="00DC0DA7" w:rsidRDefault="00DC0DA7" w14:paraId="60B1A811" w14:textId="3B7E2AA7">
      <w:pPr>
        <w:pStyle w:val="Sinespaciado"/>
        <w:ind w:right="49"/>
        <w:jc w:val="both"/>
        <w:rPr>
          <w:rFonts w:ascii="Arial" w:hAnsi="Arial" w:cs="Arial"/>
          <w:sz w:val="23"/>
          <w:szCs w:val="23"/>
        </w:rPr>
      </w:pPr>
      <w:r w:rsidRPr="00DC0DA7">
        <w:rPr>
          <w:rFonts w:ascii="Arial" w:hAnsi="Arial" w:cs="Arial"/>
          <w:sz w:val="23"/>
          <w:szCs w:val="23"/>
        </w:rPr>
        <w:t>Que el artículo 211 de la Constitución Política, señala que la ley fijará las condiciones para que las autoridades administrativas puedan delegar funciones en sus subalternos o en otras autoridades, así como determina los efectos de la delegación.</w:t>
      </w:r>
    </w:p>
    <w:p w:rsidR="00DC0DA7" w:rsidP="00DC0DA7" w:rsidRDefault="00DC0DA7" w14:paraId="7B828C13" w14:textId="77777777">
      <w:pPr>
        <w:pStyle w:val="Sinespaciado"/>
        <w:ind w:right="49"/>
        <w:jc w:val="both"/>
        <w:rPr>
          <w:rFonts w:ascii="Arial" w:hAnsi="Arial" w:cs="Arial"/>
          <w:sz w:val="23"/>
          <w:szCs w:val="23"/>
        </w:rPr>
      </w:pPr>
    </w:p>
    <w:p w:rsidRPr="00DC0DA7" w:rsidR="00DC0DA7" w:rsidP="00DC0DA7" w:rsidRDefault="00DC0DA7" w14:paraId="31CB7B6E" w14:textId="7DC19439">
      <w:pPr>
        <w:pStyle w:val="Sinespaciado"/>
        <w:ind w:right="49"/>
        <w:jc w:val="both"/>
        <w:rPr>
          <w:rFonts w:ascii="Arial" w:hAnsi="Arial" w:cs="Arial"/>
          <w:sz w:val="23"/>
          <w:szCs w:val="23"/>
        </w:rPr>
      </w:pPr>
      <w:r w:rsidRPr="00DC0DA7">
        <w:rPr>
          <w:rFonts w:ascii="Arial" w:hAnsi="Arial" w:cs="Arial"/>
          <w:sz w:val="23"/>
          <w:szCs w:val="23"/>
        </w:rPr>
        <w:t>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delegación debe recaer en empleados públicos de los niveles directivo o asesor, vinculados al organismo correspondiente, con los requisitos y condiciones establecidos en los estatutos.</w:t>
      </w:r>
    </w:p>
    <w:p w:rsidR="00DC0DA7" w:rsidP="00DC0DA7" w:rsidRDefault="00DC0DA7" w14:paraId="1792DDB7" w14:textId="77777777">
      <w:pPr>
        <w:pStyle w:val="Sinespaciado"/>
        <w:ind w:right="49"/>
        <w:jc w:val="both"/>
        <w:rPr>
          <w:rFonts w:ascii="Arial" w:hAnsi="Arial" w:cs="Arial"/>
          <w:sz w:val="23"/>
          <w:szCs w:val="23"/>
        </w:rPr>
      </w:pPr>
    </w:p>
    <w:p w:rsidR="00DC0DA7" w:rsidP="00DC0DA7" w:rsidRDefault="00DC0DA7" w14:paraId="48D2DCC4" w14:textId="520FFFBC">
      <w:pPr>
        <w:pStyle w:val="Sinespaciado"/>
        <w:ind w:right="49"/>
        <w:jc w:val="both"/>
        <w:rPr>
          <w:rFonts w:ascii="Arial" w:hAnsi="Arial" w:cs="Arial"/>
          <w:sz w:val="23"/>
          <w:szCs w:val="23"/>
        </w:rPr>
      </w:pPr>
      <w:r w:rsidRPr="00DC0DA7">
        <w:rPr>
          <w:rFonts w:ascii="Arial" w:hAnsi="Arial" w:cs="Arial"/>
          <w:sz w:val="23"/>
          <w:szCs w:val="23"/>
        </w:rPr>
        <w:t>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rsidR="00DC0DA7" w:rsidP="00F72A21" w:rsidRDefault="00DC0DA7" w14:paraId="39749B17" w14:textId="77777777">
      <w:pPr>
        <w:pStyle w:val="Sinespaciado"/>
        <w:ind w:right="49"/>
        <w:jc w:val="both"/>
        <w:rPr>
          <w:rFonts w:ascii="Arial" w:hAnsi="Arial" w:cs="Arial"/>
          <w:sz w:val="23"/>
          <w:szCs w:val="23"/>
        </w:rPr>
      </w:pPr>
    </w:p>
    <w:p w:rsidR="00DC0DA7" w:rsidP="00DC0DA7" w:rsidRDefault="00DC0DA7" w14:paraId="654FB7E8" w14:textId="77777777">
      <w:pPr>
        <w:pStyle w:val="Sinespaciado"/>
        <w:ind w:right="49"/>
        <w:jc w:val="both"/>
        <w:rPr>
          <w:rFonts w:ascii="Arial" w:hAnsi="Arial" w:cs="Arial"/>
          <w:sz w:val="23"/>
          <w:szCs w:val="23"/>
        </w:rPr>
      </w:pPr>
      <w:r w:rsidRPr="00DC0DA7">
        <w:rPr>
          <w:rFonts w:ascii="Arial" w:hAnsi="Arial" w:cs="Arial"/>
          <w:sz w:val="23"/>
          <w:szCs w:val="23"/>
        </w:rPr>
        <w:t>Que el artículo 11 de la Ley Ibidem indica que:</w:t>
      </w:r>
    </w:p>
    <w:p w:rsidRPr="00DC0DA7" w:rsidR="00DC0DA7" w:rsidP="00DC0DA7" w:rsidRDefault="00DC0DA7" w14:paraId="0DAFA0E6" w14:textId="77777777">
      <w:pPr>
        <w:pStyle w:val="Sinespaciado"/>
        <w:ind w:right="49"/>
        <w:jc w:val="both"/>
        <w:rPr>
          <w:rFonts w:ascii="Arial" w:hAnsi="Arial" w:cs="Arial"/>
          <w:sz w:val="23"/>
          <w:szCs w:val="23"/>
        </w:rPr>
      </w:pPr>
    </w:p>
    <w:p w:rsidR="00DC0DA7" w:rsidP="00DC0DA7" w:rsidRDefault="00DC0DA7" w14:paraId="29A27CB2" w14:textId="03D4FBBD">
      <w:pPr>
        <w:pStyle w:val="Sinespaciado"/>
        <w:ind w:right="49"/>
        <w:jc w:val="both"/>
        <w:rPr>
          <w:rFonts w:ascii="Arial" w:hAnsi="Arial" w:cs="Arial"/>
          <w:sz w:val="23"/>
          <w:szCs w:val="23"/>
        </w:rPr>
      </w:pPr>
      <w:r w:rsidRPr="00DC0DA7">
        <w:rPr>
          <w:rFonts w:ascii="Arial" w:hAnsi="Arial" w:cs="Arial"/>
          <w:sz w:val="23"/>
          <w:szCs w:val="23"/>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rsidRPr="00DC0DA7" w:rsidR="00DC0DA7" w:rsidP="00DC0DA7" w:rsidRDefault="00DC0DA7" w14:paraId="1376BC20" w14:textId="77777777">
      <w:pPr>
        <w:pStyle w:val="Sinespaciado"/>
        <w:ind w:right="49"/>
        <w:jc w:val="both"/>
        <w:rPr>
          <w:rFonts w:ascii="Arial" w:hAnsi="Arial" w:cs="Arial"/>
          <w:sz w:val="23"/>
          <w:szCs w:val="23"/>
        </w:rPr>
      </w:pPr>
    </w:p>
    <w:p w:rsidR="00DC0DA7" w:rsidP="00DC0DA7" w:rsidRDefault="00DC0DA7" w14:paraId="43DF423F" w14:textId="4D1BC76E">
      <w:pPr>
        <w:pStyle w:val="Sinespaciado"/>
        <w:ind w:right="49"/>
        <w:jc w:val="both"/>
        <w:rPr>
          <w:rFonts w:ascii="Arial" w:hAnsi="Arial" w:cs="Arial"/>
          <w:sz w:val="23"/>
          <w:szCs w:val="23"/>
        </w:rPr>
      </w:pPr>
      <w:r w:rsidRPr="00DC0DA7">
        <w:rPr>
          <w:rFonts w:ascii="Arial" w:hAnsi="Arial" w:cs="Arial"/>
          <w:sz w:val="23"/>
          <w:szCs w:val="23"/>
        </w:rPr>
        <w:t>Que frente al particular, el Consejo de Estado en Sentencia 00314 de 2016 C.P. Dr. Guillermo Vargas Ayala, señaló lo siguiente:</w:t>
      </w:r>
    </w:p>
    <w:p w:rsidR="00DC0DA7" w:rsidP="00DC0DA7" w:rsidRDefault="00DC0DA7" w14:paraId="6F3B5754" w14:textId="77777777">
      <w:pPr>
        <w:pStyle w:val="Sinespaciado"/>
        <w:ind w:right="49"/>
        <w:jc w:val="both"/>
        <w:rPr>
          <w:rFonts w:ascii="Arial" w:hAnsi="Arial" w:cs="Arial"/>
          <w:sz w:val="23"/>
          <w:szCs w:val="23"/>
        </w:rPr>
      </w:pPr>
    </w:p>
    <w:p w:rsidR="00DC0DA7" w:rsidP="00DC0DA7" w:rsidRDefault="00DC0DA7" w14:paraId="0DE65A87" w14:textId="4FD6ACF2">
      <w:pPr>
        <w:pStyle w:val="Sinespaciado"/>
        <w:ind w:right="49"/>
        <w:jc w:val="both"/>
        <w:rPr>
          <w:rFonts w:ascii="Arial" w:hAnsi="Arial" w:cs="Arial"/>
          <w:sz w:val="23"/>
          <w:szCs w:val="23"/>
        </w:rPr>
      </w:pPr>
      <w:r w:rsidRPr="00DC0DA7">
        <w:rPr>
          <w:rFonts w:ascii="Arial" w:hAnsi="Arial" w:cs="Arial"/>
          <w:sz w:val="23"/>
          <w:szCs w:val="23"/>
        </w:rPr>
        <w:lastRenderedPageBreak/>
        <w:t xml:space="preserve">“(…)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 </w:t>
      </w:r>
    </w:p>
    <w:p w:rsidRPr="00DC0DA7" w:rsidR="00DC0DA7" w:rsidP="00DC0DA7" w:rsidRDefault="00DC0DA7" w14:paraId="5484F1A5" w14:textId="77777777">
      <w:pPr>
        <w:pStyle w:val="Sinespaciado"/>
        <w:ind w:right="49"/>
        <w:jc w:val="both"/>
        <w:rPr>
          <w:rFonts w:ascii="Arial" w:hAnsi="Arial" w:cs="Arial"/>
          <w:sz w:val="23"/>
          <w:szCs w:val="23"/>
        </w:rPr>
      </w:pPr>
    </w:p>
    <w:p w:rsidRPr="00DC0DA7" w:rsidR="00DC0DA7" w:rsidP="00DC0DA7" w:rsidRDefault="00DC0DA7" w14:paraId="592BA829" w14:textId="77777777">
      <w:pPr>
        <w:pStyle w:val="Sinespaciado"/>
        <w:ind w:right="49"/>
        <w:jc w:val="both"/>
        <w:rPr>
          <w:rFonts w:ascii="Arial" w:hAnsi="Arial" w:cs="Arial"/>
          <w:sz w:val="23"/>
          <w:szCs w:val="23"/>
        </w:rPr>
      </w:pPr>
      <w:r w:rsidRPr="00DC0DA7">
        <w:rPr>
          <w:rFonts w:ascii="Arial" w:hAnsi="Arial" w:cs="Arial"/>
          <w:sz w:val="23"/>
          <w:szCs w:val="23"/>
        </w:rPr>
        <w:t xml:space="preserve">Que la Corte Constitucional, mediante Sentencia C-372 de 2002 M. P. Dr. Jaime </w:t>
      </w:r>
    </w:p>
    <w:p w:rsidR="00DC0DA7" w:rsidP="00DC0DA7" w:rsidRDefault="00DC0DA7" w14:paraId="7ADF1E4C" w14:textId="77777777">
      <w:pPr>
        <w:pStyle w:val="Sinespaciado"/>
        <w:ind w:right="49"/>
        <w:jc w:val="both"/>
        <w:rPr>
          <w:rFonts w:ascii="Arial" w:hAnsi="Arial" w:cs="Arial"/>
          <w:sz w:val="23"/>
          <w:szCs w:val="23"/>
        </w:rPr>
      </w:pPr>
      <w:r w:rsidRPr="00DC0DA7">
        <w:rPr>
          <w:rFonts w:ascii="Arial" w:hAnsi="Arial" w:cs="Arial"/>
          <w:sz w:val="23"/>
          <w:szCs w:val="23"/>
        </w:rPr>
        <w:t xml:space="preserve">Córdoba Triviño, precisó que: </w:t>
      </w:r>
    </w:p>
    <w:p w:rsidRPr="00DC0DA7" w:rsidR="00DC0DA7" w:rsidP="00DC0DA7" w:rsidRDefault="00DC0DA7" w14:paraId="5E335BD8" w14:textId="77777777">
      <w:pPr>
        <w:pStyle w:val="Sinespaciado"/>
        <w:ind w:right="49"/>
        <w:jc w:val="both"/>
        <w:rPr>
          <w:rFonts w:ascii="Arial" w:hAnsi="Arial" w:cs="Arial"/>
          <w:sz w:val="23"/>
          <w:szCs w:val="23"/>
        </w:rPr>
      </w:pPr>
    </w:p>
    <w:p w:rsidRPr="00DC0DA7" w:rsidR="00DC0DA7" w:rsidP="00DC0DA7" w:rsidRDefault="00DC0DA7" w14:paraId="2A30B075" w14:textId="3197A526">
      <w:pPr>
        <w:pStyle w:val="Sinespaciado"/>
        <w:ind w:right="49"/>
        <w:jc w:val="both"/>
        <w:rPr>
          <w:rFonts w:ascii="Arial" w:hAnsi="Arial" w:cs="Arial"/>
          <w:sz w:val="23"/>
          <w:szCs w:val="23"/>
        </w:rPr>
      </w:pPr>
      <w:r w:rsidRPr="00DC0DA7">
        <w:rPr>
          <w:rFonts w:ascii="Arial" w:hAnsi="Arial" w:cs="Arial"/>
          <w:sz w:val="23"/>
          <w:szCs w:val="23"/>
        </w:rPr>
        <w:t xml:space="preserv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rsidR="00DC0DA7" w:rsidP="00DC0DA7" w:rsidRDefault="00DC0DA7" w14:paraId="48DDBB82" w14:textId="77777777">
      <w:pPr>
        <w:pStyle w:val="Sinespaciado"/>
        <w:ind w:right="49"/>
        <w:jc w:val="both"/>
        <w:rPr>
          <w:rFonts w:ascii="Arial" w:hAnsi="Arial" w:cs="Arial"/>
          <w:sz w:val="23"/>
          <w:szCs w:val="23"/>
        </w:rPr>
      </w:pPr>
    </w:p>
    <w:p w:rsidR="00DC0DA7" w:rsidP="00DC0DA7" w:rsidRDefault="00DC0DA7" w14:paraId="5BEAE2ED" w14:textId="476F881E">
      <w:pPr>
        <w:pStyle w:val="Sinespaciado"/>
        <w:ind w:right="49"/>
        <w:jc w:val="both"/>
        <w:rPr>
          <w:rFonts w:ascii="Arial" w:hAnsi="Arial" w:cs="Arial"/>
          <w:sz w:val="23"/>
          <w:szCs w:val="23"/>
        </w:rPr>
      </w:pPr>
      <w:r w:rsidRPr="00DC0DA7">
        <w:rPr>
          <w:rFonts w:ascii="Arial" w:hAnsi="Arial" w:cs="Arial"/>
          <w:sz w:val="23"/>
          <w:szCs w:val="23"/>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tiene como objeto propender y fortalecer la integración y el desarrollo armónico de la familia, proteger al menor de edad y garantizarle sus derechos. </w:t>
      </w:r>
    </w:p>
    <w:p w:rsidRPr="00DC0DA7" w:rsidR="00DC0DA7" w:rsidP="00DC0DA7" w:rsidRDefault="00DC0DA7" w14:paraId="6B295131" w14:textId="77777777">
      <w:pPr>
        <w:pStyle w:val="Sinespaciado"/>
        <w:ind w:right="49"/>
        <w:jc w:val="both"/>
        <w:rPr>
          <w:rFonts w:ascii="Arial" w:hAnsi="Arial" w:cs="Arial"/>
          <w:sz w:val="23"/>
          <w:szCs w:val="23"/>
        </w:rPr>
      </w:pPr>
    </w:p>
    <w:p w:rsidR="00DC0DA7" w:rsidP="00DC0DA7" w:rsidRDefault="00DC0DA7" w14:paraId="3446E3A1" w14:textId="00D54806">
      <w:pPr>
        <w:pStyle w:val="Sinespaciado"/>
        <w:ind w:right="49"/>
        <w:jc w:val="both"/>
        <w:rPr>
          <w:rFonts w:ascii="Arial" w:hAnsi="Arial" w:cs="Arial"/>
          <w:sz w:val="23"/>
          <w:szCs w:val="23"/>
        </w:rPr>
      </w:pPr>
      <w:r w:rsidRPr="00DC0DA7">
        <w:rPr>
          <w:rFonts w:ascii="Arial" w:hAnsi="Arial" w:cs="Arial"/>
          <w:sz w:val="23"/>
          <w:szCs w:val="23"/>
        </w:rPr>
        <w:t xml:space="preserve">Que el literal c) del artículo 28 del Decreto 334 de 1980, adicionado por el artículo 1 del Decreto 1672 de 1991 dispone que son funciones del Director General, entre otras: </w:t>
      </w:r>
    </w:p>
    <w:p w:rsidRPr="00DC0DA7" w:rsidR="00DC0DA7" w:rsidP="00DC0DA7" w:rsidRDefault="00DC0DA7" w14:paraId="04830561" w14:textId="77777777">
      <w:pPr>
        <w:pStyle w:val="Sinespaciado"/>
        <w:ind w:right="49"/>
        <w:jc w:val="both"/>
        <w:rPr>
          <w:rFonts w:ascii="Arial" w:hAnsi="Arial" w:cs="Arial"/>
          <w:sz w:val="23"/>
          <w:szCs w:val="23"/>
        </w:rPr>
      </w:pPr>
    </w:p>
    <w:p w:rsidRPr="00DC0DA7" w:rsidR="00DC0DA7" w:rsidP="00DC0DA7" w:rsidRDefault="00DC0DA7" w14:paraId="78F8D099" w14:textId="7EE0EF77">
      <w:pPr>
        <w:pStyle w:val="Sinespaciado"/>
        <w:ind w:right="49"/>
        <w:jc w:val="both"/>
        <w:rPr>
          <w:rFonts w:ascii="Arial" w:hAnsi="Arial" w:cs="Arial"/>
          <w:sz w:val="23"/>
          <w:szCs w:val="23"/>
        </w:rPr>
      </w:pPr>
      <w:r w:rsidRPr="00DC0DA7">
        <w:rPr>
          <w:rFonts w:ascii="Arial" w:hAnsi="Arial" w:cs="Arial"/>
          <w:sz w:val="23"/>
          <w:szCs w:val="23"/>
        </w:rPr>
        <w:t xml:space="preserve">“Delegar internamente funciones en los subalternos hasta el nivel de Jefe de Sección, en especial las funciones de los literales f), h), j), n), ñ), o la ordenación del gasto y las demás que considere conveniente para la mejor prestación del servicio (…)”. [Énfasis fuera del texto original]. </w:t>
      </w:r>
    </w:p>
    <w:p w:rsidR="00DC0DA7" w:rsidP="00DC0DA7" w:rsidRDefault="00DC0DA7" w14:paraId="4BD41FE6" w14:textId="77777777">
      <w:pPr>
        <w:pStyle w:val="Sinespaciado"/>
        <w:ind w:right="49"/>
        <w:jc w:val="both"/>
        <w:rPr>
          <w:rFonts w:ascii="Arial" w:hAnsi="Arial" w:cs="Arial"/>
          <w:sz w:val="23"/>
          <w:szCs w:val="23"/>
        </w:rPr>
      </w:pPr>
    </w:p>
    <w:p w:rsidR="00DC0DA7" w:rsidP="00DC0DA7" w:rsidRDefault="00DC0DA7" w14:paraId="497100DE" w14:textId="7385D51B">
      <w:pPr>
        <w:pStyle w:val="Sinespaciado"/>
        <w:ind w:right="49"/>
        <w:jc w:val="both"/>
        <w:rPr>
          <w:rFonts w:ascii="Arial" w:hAnsi="Arial" w:cs="Arial"/>
          <w:sz w:val="23"/>
          <w:szCs w:val="23"/>
        </w:rPr>
      </w:pPr>
      <w:r w:rsidRPr="00DC0DA7">
        <w:rPr>
          <w:rFonts w:ascii="Arial" w:hAnsi="Arial" w:cs="Arial"/>
          <w:sz w:val="23"/>
          <w:szCs w:val="23"/>
        </w:rPr>
        <w:t>Que mediante el artículo 91 de la Ley 1709 de 2014 se modificó el artículo 167 de la Ley 65 de 1993, en el que se establece la naturaleza, objeto y composición del Consejo Superior de Política Criminal como organismo asesor del Gobierno Nacional en la implementación de la política criminal.</w:t>
      </w:r>
    </w:p>
    <w:p w:rsidR="00DC0DA7" w:rsidP="00DC0DA7" w:rsidRDefault="00DC0DA7" w14:paraId="6E905D88" w14:textId="77777777">
      <w:pPr>
        <w:pStyle w:val="Sinespaciado"/>
        <w:ind w:right="49"/>
        <w:jc w:val="both"/>
        <w:rPr>
          <w:rFonts w:ascii="Arial" w:hAnsi="Arial" w:cs="Arial"/>
          <w:sz w:val="23"/>
          <w:szCs w:val="23"/>
        </w:rPr>
      </w:pPr>
    </w:p>
    <w:p w:rsidR="00DC0DA7" w:rsidP="00DC0DA7" w:rsidRDefault="00DC0DA7" w14:paraId="2F3410DF" w14:textId="63FD2D9D">
      <w:pPr>
        <w:pStyle w:val="Sinespaciado"/>
        <w:ind w:right="49"/>
        <w:jc w:val="both"/>
        <w:rPr>
          <w:rFonts w:ascii="Arial" w:hAnsi="Arial" w:cs="Arial"/>
          <w:sz w:val="23"/>
          <w:szCs w:val="23"/>
        </w:rPr>
      </w:pPr>
      <w:r w:rsidRPr="00DC0DA7">
        <w:rPr>
          <w:rFonts w:ascii="Arial" w:hAnsi="Arial" w:cs="Arial"/>
          <w:sz w:val="23"/>
          <w:szCs w:val="23"/>
        </w:rPr>
        <w:t>Que mediante el Decreto 2055 de 2014 se reglamentó el funcionamiento del Consejo Superior de Política Criminal, sus instancias técnicas y demás asuntos necesarios para su adecuado desarrollo.</w:t>
      </w:r>
    </w:p>
    <w:p w:rsidR="00DC0DA7" w:rsidP="00DC0DA7" w:rsidRDefault="00DC0DA7" w14:paraId="2727C3CA" w14:textId="77777777">
      <w:pPr>
        <w:pStyle w:val="Sinespaciado"/>
        <w:ind w:right="49"/>
        <w:jc w:val="both"/>
        <w:rPr>
          <w:rFonts w:ascii="Arial" w:hAnsi="Arial" w:cs="Arial"/>
          <w:sz w:val="23"/>
          <w:szCs w:val="23"/>
        </w:rPr>
      </w:pPr>
    </w:p>
    <w:p w:rsidR="00DC0DA7" w:rsidP="00DC0DA7" w:rsidRDefault="00DC0DA7" w14:paraId="6ACD0884" w14:textId="5E3EC5AE">
      <w:pPr>
        <w:pStyle w:val="Sinespaciado"/>
        <w:ind w:right="49"/>
        <w:jc w:val="both"/>
        <w:rPr>
          <w:rFonts w:ascii="Arial" w:hAnsi="Arial" w:cs="Arial"/>
          <w:sz w:val="23"/>
          <w:szCs w:val="23"/>
        </w:rPr>
      </w:pPr>
      <w:r w:rsidRPr="00DC0DA7">
        <w:rPr>
          <w:rFonts w:ascii="Arial" w:hAnsi="Arial" w:cs="Arial"/>
          <w:sz w:val="23"/>
          <w:szCs w:val="23"/>
        </w:rPr>
        <w:t>Que de conformidad con el artículo 8 numeral 12 del Decreto Ibidem, el Consejo Superior de Política Criminal señala expresamente que está integrado, entre otros, por “el Director del Instituto Colombiano de Bienestar Familiar (ICBF)".</w:t>
      </w:r>
    </w:p>
    <w:p w:rsidRPr="00DC0DA7" w:rsidR="00DC0DA7" w:rsidP="00DC0DA7" w:rsidRDefault="00DC0DA7" w14:paraId="155370C6" w14:textId="77777777">
      <w:pPr>
        <w:pStyle w:val="Sinespaciado"/>
        <w:ind w:right="49"/>
        <w:jc w:val="both"/>
        <w:rPr>
          <w:rFonts w:ascii="Arial" w:hAnsi="Arial" w:cs="Arial"/>
          <w:sz w:val="23"/>
          <w:szCs w:val="23"/>
        </w:rPr>
      </w:pPr>
    </w:p>
    <w:p w:rsidR="00DC0DA7" w:rsidP="00DC0DA7" w:rsidRDefault="00DC0DA7" w14:paraId="5896BE24" w14:textId="77777777">
      <w:pPr>
        <w:pStyle w:val="Sinespaciado"/>
        <w:ind w:right="49"/>
        <w:jc w:val="both"/>
        <w:rPr>
          <w:rFonts w:ascii="Arial" w:hAnsi="Arial" w:cs="Arial"/>
          <w:sz w:val="23"/>
          <w:szCs w:val="23"/>
        </w:rPr>
      </w:pPr>
      <w:r w:rsidRPr="00DC0DA7">
        <w:rPr>
          <w:rFonts w:ascii="Arial" w:hAnsi="Arial" w:cs="Arial"/>
          <w:sz w:val="23"/>
          <w:szCs w:val="23"/>
        </w:rPr>
        <w:t>Que el artículo 9 del Decreto ibídem establece que la participación en el Consejo Superior de Política Criminal es de carácter obligatorio e indelegable.</w:t>
      </w:r>
    </w:p>
    <w:p w:rsidR="00DC0DA7" w:rsidP="00DC0DA7" w:rsidRDefault="00DC0DA7" w14:paraId="4462F1FA" w14:textId="77777777">
      <w:pPr>
        <w:pStyle w:val="Sinespaciado"/>
        <w:ind w:right="49"/>
        <w:jc w:val="both"/>
        <w:rPr>
          <w:rFonts w:ascii="Arial" w:hAnsi="Arial" w:cs="Arial"/>
          <w:sz w:val="23"/>
          <w:szCs w:val="23"/>
        </w:rPr>
      </w:pPr>
    </w:p>
    <w:p w:rsidR="00DC0DA7" w:rsidP="00DC0DA7" w:rsidRDefault="00DC0DA7" w14:paraId="70DD5043" w14:textId="5ADECD3E">
      <w:pPr>
        <w:pStyle w:val="Sinespaciado"/>
        <w:ind w:right="49"/>
        <w:jc w:val="both"/>
        <w:rPr>
          <w:rFonts w:ascii="Arial" w:hAnsi="Arial" w:cs="Arial"/>
          <w:sz w:val="23"/>
          <w:szCs w:val="23"/>
        </w:rPr>
      </w:pPr>
      <w:r w:rsidRPr="00DC0DA7">
        <w:rPr>
          <w:rFonts w:ascii="Arial" w:hAnsi="Arial" w:cs="Arial"/>
          <w:sz w:val="23"/>
          <w:szCs w:val="23"/>
        </w:rPr>
        <w:t>Que de conformidad con el inciso 4 del artículo 16 del Decreto ibídem, el Comité Técnico del Consejo Superior de Política Criminal es una instancia de apoyo para el funcionamiento y las labores técnicas del Consejo, conformada por delegados de las entidades representadas, lo que permite al ICBF designar un delegado para su asistencia, participación y representación ante dicho Comité.Que en consecuencia, corresponde al ICBF a través de la Dirección General determinar la dependencia que ejercerá la asistencia, participación y representación ante el Comité Técnico del Consejo Superior de Política Criminal, conforme a la estructura organizacional vigente establecida en la Decreto No. 879 de 2020;garantizando así la continuidad en la participación y el cumplimiento a las funciones establecidas en el artículo 18 del Decreto 2055 del 2014.</w:t>
      </w:r>
    </w:p>
    <w:p w:rsidRPr="00DC0DA7" w:rsidR="00DC0DA7" w:rsidP="00DC0DA7" w:rsidRDefault="00DC0DA7" w14:paraId="06413964" w14:textId="77777777">
      <w:pPr>
        <w:pStyle w:val="Sinespaciado"/>
        <w:ind w:right="49"/>
        <w:jc w:val="both"/>
        <w:rPr>
          <w:rFonts w:ascii="Arial" w:hAnsi="Arial" w:cs="Arial"/>
          <w:sz w:val="23"/>
          <w:szCs w:val="23"/>
        </w:rPr>
      </w:pPr>
    </w:p>
    <w:p w:rsidR="00DC0DA7" w:rsidP="00DC0DA7" w:rsidRDefault="00DC0DA7" w14:paraId="5463B13A" w14:textId="77777777">
      <w:pPr>
        <w:pStyle w:val="Sinespaciado"/>
        <w:ind w:right="49"/>
        <w:jc w:val="both"/>
        <w:rPr>
          <w:rFonts w:ascii="Arial" w:hAnsi="Arial" w:cs="Arial"/>
          <w:sz w:val="23"/>
          <w:szCs w:val="23"/>
        </w:rPr>
      </w:pPr>
    </w:p>
    <w:p w:rsidR="00DC0DA7" w:rsidP="00DC0DA7" w:rsidRDefault="00DC0DA7" w14:paraId="717574D5" w14:textId="17A5F2E3">
      <w:pPr>
        <w:pStyle w:val="Sinespaciado"/>
        <w:ind w:right="49"/>
        <w:jc w:val="both"/>
        <w:rPr>
          <w:rFonts w:ascii="Arial" w:hAnsi="Arial" w:cs="Arial"/>
          <w:sz w:val="23"/>
          <w:szCs w:val="23"/>
        </w:rPr>
      </w:pPr>
      <w:r w:rsidRPr="00DC0DA7">
        <w:rPr>
          <w:rFonts w:ascii="Arial" w:hAnsi="Arial" w:cs="Arial"/>
          <w:sz w:val="23"/>
          <w:szCs w:val="23"/>
        </w:rPr>
        <w:lastRenderedPageBreak/>
        <w:t>Que virtud de lo anterior, y con los siguientes objetivos: [i] distribuir la carga de trabajo, mejorar la eficiencia y la productividad de las múltiples funciones a cargo de la Dirección General del ICBF y [ii] asegurar la representación del ICBF ante el Comité Técnico del Consejo Superior de Política Criminal; se hace necesario expedir un acto administrativo a través del cual se delegue la asistencia, participación y representación de la Directora General del ICBF ante dicho Comité.</w:t>
      </w:r>
    </w:p>
    <w:p w:rsidR="00DC0DA7" w:rsidP="003729BB" w:rsidRDefault="00DC0DA7" w14:paraId="1FB5090D" w14:textId="77777777">
      <w:pPr>
        <w:pStyle w:val="Sinespaciado"/>
        <w:ind w:right="49"/>
        <w:jc w:val="both"/>
        <w:rPr>
          <w:rFonts w:ascii="Arial" w:hAnsi="Arial" w:cs="Arial"/>
          <w:sz w:val="23"/>
          <w:szCs w:val="23"/>
        </w:rPr>
      </w:pPr>
    </w:p>
    <w:p w:rsidRPr="009D39C4" w:rsidR="003729BB" w:rsidP="003729BB" w:rsidRDefault="003729BB" w14:paraId="6091951B" w14:textId="66FD550F">
      <w:pPr>
        <w:pStyle w:val="Sinespaciado"/>
        <w:ind w:right="49"/>
        <w:jc w:val="both"/>
        <w:rPr>
          <w:rStyle w:val="baj"/>
          <w:rFonts w:ascii="Arial" w:hAnsi="Arial" w:cs="Arial"/>
          <w:b/>
          <w:bCs/>
          <w:sz w:val="23"/>
          <w:szCs w:val="23"/>
        </w:rPr>
      </w:pPr>
      <w:r w:rsidRPr="009D39C4">
        <w:rPr>
          <w:rFonts w:ascii="Arial" w:hAnsi="Arial" w:cs="Arial"/>
          <w:sz w:val="23"/>
          <w:szCs w:val="23"/>
        </w:rPr>
        <w:t>En mérito de lo expuesto,</w:t>
      </w:r>
    </w:p>
    <w:p w:rsidR="003729BB" w:rsidP="003729BB" w:rsidRDefault="003729BB" w14:paraId="4C122332" w14:textId="77777777">
      <w:pPr>
        <w:pStyle w:val="centrado"/>
        <w:spacing w:before="0" w:beforeAutospacing="0" w:after="0" w:afterAutospacing="0"/>
        <w:ind w:right="49"/>
        <w:jc w:val="center"/>
        <w:rPr>
          <w:rStyle w:val="baj"/>
          <w:rFonts w:ascii="Arial" w:hAnsi="Arial" w:cs="Arial"/>
          <w:b/>
          <w:bCs/>
          <w:sz w:val="23"/>
          <w:szCs w:val="23"/>
        </w:rPr>
      </w:pPr>
    </w:p>
    <w:p w:rsidRPr="009D39C4" w:rsidR="003729BB" w:rsidP="003729BB" w:rsidRDefault="003729BB" w14:paraId="6EDD0EB3" w14:textId="77777777">
      <w:pPr>
        <w:pStyle w:val="centrado"/>
        <w:spacing w:before="0" w:beforeAutospacing="0" w:after="0" w:afterAutospacing="0"/>
        <w:ind w:right="49"/>
        <w:jc w:val="center"/>
        <w:rPr>
          <w:rStyle w:val="baj"/>
          <w:rFonts w:ascii="Arial" w:hAnsi="Arial" w:cs="Arial"/>
          <w:b/>
          <w:bCs/>
          <w:sz w:val="23"/>
          <w:szCs w:val="23"/>
        </w:rPr>
      </w:pPr>
      <w:r w:rsidRPr="009D39C4">
        <w:rPr>
          <w:rStyle w:val="baj"/>
          <w:rFonts w:ascii="Arial" w:hAnsi="Arial" w:cs="Arial"/>
          <w:b/>
          <w:bCs/>
          <w:sz w:val="23"/>
          <w:szCs w:val="23"/>
        </w:rPr>
        <w:t>RESUELVE:</w:t>
      </w:r>
    </w:p>
    <w:p w:rsidRPr="009D39C4" w:rsidR="003729BB" w:rsidP="003729BB" w:rsidRDefault="003729BB" w14:paraId="3189EB8E" w14:textId="77777777">
      <w:pPr>
        <w:pStyle w:val="centrado"/>
        <w:spacing w:before="0" w:beforeAutospacing="0" w:after="0" w:afterAutospacing="0"/>
        <w:ind w:right="49"/>
        <w:rPr>
          <w:rStyle w:val="baj"/>
          <w:rFonts w:ascii="Arial" w:hAnsi="Arial" w:cs="Arial"/>
          <w:b/>
          <w:bCs/>
          <w:sz w:val="23"/>
          <w:szCs w:val="23"/>
        </w:rPr>
      </w:pPr>
    </w:p>
    <w:p w:rsidR="00DC0DA7" w:rsidP="00DC0DA7" w:rsidRDefault="00DC0DA7" w14:paraId="26337EBF" w14:textId="4989C778">
      <w:pPr>
        <w:pStyle w:val="Sinespaciado"/>
        <w:ind w:right="49"/>
        <w:jc w:val="both"/>
        <w:rPr>
          <w:rFonts w:ascii="Arial" w:hAnsi="Arial" w:cs="Arial"/>
          <w:sz w:val="23"/>
          <w:szCs w:val="23"/>
        </w:rPr>
      </w:pPr>
      <w:r w:rsidRPr="00DC0DA7">
        <w:rPr>
          <w:rFonts w:ascii="Arial" w:hAnsi="Arial" w:cs="Arial"/>
          <w:b/>
          <w:bCs/>
          <w:sz w:val="23"/>
          <w:szCs w:val="23"/>
        </w:rPr>
        <w:t>ARTÍCULO 1°. DELEGAR</w:t>
      </w:r>
      <w:r w:rsidRPr="00DC0DA7">
        <w:rPr>
          <w:rFonts w:ascii="Arial" w:hAnsi="Arial" w:cs="Arial"/>
          <w:sz w:val="23"/>
          <w:szCs w:val="23"/>
        </w:rPr>
        <w:t xml:space="preserve"> en el servidor(a) público(a) que ejerza el cargo de Jefe</w:t>
      </w:r>
      <w:r>
        <w:rPr>
          <w:rFonts w:ascii="Arial" w:hAnsi="Arial" w:cs="Arial"/>
          <w:sz w:val="23"/>
          <w:szCs w:val="23"/>
        </w:rPr>
        <w:t xml:space="preserve"> </w:t>
      </w:r>
      <w:r w:rsidRPr="00DC0DA7">
        <w:rPr>
          <w:rFonts w:ascii="Arial" w:hAnsi="Arial" w:cs="Arial"/>
          <w:sz w:val="23"/>
          <w:szCs w:val="23"/>
        </w:rPr>
        <w:t>de Oficina Jurídica del Instituto Colombiano de Bienestar Familiar (ICBF), la asistencia, participación y representación de la Directora General del ICBF ante el Comité Técnico del Consejo Superior de Política Criminal.</w:t>
      </w:r>
    </w:p>
    <w:p w:rsidRPr="00DC0DA7" w:rsidR="00DC0DA7" w:rsidP="00DC0DA7" w:rsidRDefault="00DC0DA7" w14:paraId="798DD6E5" w14:textId="77777777">
      <w:pPr>
        <w:pStyle w:val="Sinespaciado"/>
        <w:ind w:right="49"/>
        <w:jc w:val="both"/>
        <w:rPr>
          <w:rFonts w:ascii="Arial" w:hAnsi="Arial" w:cs="Arial"/>
          <w:sz w:val="23"/>
          <w:szCs w:val="23"/>
        </w:rPr>
      </w:pPr>
    </w:p>
    <w:p w:rsidR="00DC0DA7" w:rsidP="00DC0DA7" w:rsidRDefault="00DC0DA7" w14:paraId="6D5D3ED9" w14:textId="51A2138A">
      <w:pPr>
        <w:pStyle w:val="Sinespaciado"/>
        <w:ind w:right="49"/>
        <w:jc w:val="both"/>
        <w:rPr>
          <w:rFonts w:ascii="Arial" w:hAnsi="Arial" w:cs="Arial"/>
          <w:sz w:val="23"/>
          <w:szCs w:val="23"/>
        </w:rPr>
      </w:pPr>
      <w:r w:rsidRPr="00DC0DA7">
        <w:rPr>
          <w:rFonts w:ascii="Arial" w:hAnsi="Arial" w:cs="Arial"/>
          <w:b/>
          <w:bCs/>
          <w:sz w:val="23"/>
          <w:szCs w:val="23"/>
        </w:rPr>
        <w:t>PARÁGRAFO 1°.</w:t>
      </w:r>
      <w:r w:rsidRPr="00DC0DA7">
        <w:rPr>
          <w:rFonts w:ascii="Arial" w:hAnsi="Arial" w:cs="Arial"/>
          <w:sz w:val="23"/>
          <w:szCs w:val="23"/>
        </w:rPr>
        <w:t xml:space="preserve"> La delegación realizada en esta resolución comprende todas las facultades y obligaciones que la Constitución, la Ley o el respectivo reglamento, otorguen o impongan al ICBF. </w:t>
      </w:r>
    </w:p>
    <w:p w:rsidRPr="00DC0DA7" w:rsidR="00DC0DA7" w:rsidP="00DC0DA7" w:rsidRDefault="00DC0DA7" w14:paraId="5FA9217F" w14:textId="77777777">
      <w:pPr>
        <w:pStyle w:val="Sinespaciado"/>
        <w:ind w:right="49"/>
        <w:jc w:val="both"/>
        <w:rPr>
          <w:rFonts w:ascii="Arial" w:hAnsi="Arial" w:cs="Arial"/>
          <w:sz w:val="23"/>
          <w:szCs w:val="23"/>
        </w:rPr>
      </w:pPr>
    </w:p>
    <w:p w:rsidR="00DC0DA7" w:rsidP="00DC0DA7" w:rsidRDefault="00DC0DA7" w14:paraId="752A4442" w14:textId="22FC50A2">
      <w:pPr>
        <w:pStyle w:val="Sinespaciado"/>
        <w:ind w:right="49"/>
        <w:jc w:val="both"/>
        <w:rPr>
          <w:rFonts w:ascii="Arial" w:hAnsi="Arial" w:cs="Arial"/>
          <w:sz w:val="23"/>
          <w:szCs w:val="23"/>
        </w:rPr>
      </w:pPr>
      <w:r w:rsidRPr="00DC0DA7">
        <w:rPr>
          <w:rFonts w:ascii="Arial" w:hAnsi="Arial" w:cs="Arial"/>
          <w:b/>
          <w:bCs/>
          <w:sz w:val="23"/>
          <w:szCs w:val="23"/>
        </w:rPr>
        <w:t>PARÁGRAFO 2°.</w:t>
      </w:r>
      <w:r w:rsidRPr="00DC0DA7">
        <w:rPr>
          <w:rFonts w:ascii="Arial" w:hAnsi="Arial" w:cs="Arial"/>
          <w:sz w:val="23"/>
          <w:szCs w:val="23"/>
        </w:rPr>
        <w:t xml:space="preserve"> Dentro de los siete (7) días siguientes a cada sesión del Comité, el delegatario(a) deberá presentar el informe sobre su gestión ante la Dirección General, quien debe dar cuenta de las acciones desplegadas en cada sesión ante el Comité Técnico del Consejo Superior de Política Criminal.</w:t>
      </w:r>
    </w:p>
    <w:p w:rsidRPr="00DC0DA7" w:rsidR="00DC0DA7" w:rsidP="00DC0DA7" w:rsidRDefault="00DC0DA7" w14:paraId="688EF37B" w14:textId="77777777">
      <w:pPr>
        <w:pStyle w:val="Sinespaciado"/>
        <w:ind w:right="49"/>
        <w:jc w:val="both"/>
        <w:rPr>
          <w:rFonts w:ascii="Arial" w:hAnsi="Arial" w:cs="Arial"/>
          <w:sz w:val="23"/>
          <w:szCs w:val="23"/>
        </w:rPr>
      </w:pPr>
    </w:p>
    <w:p w:rsidR="00405F3C" w:rsidP="00DC0DA7" w:rsidRDefault="00DC0DA7" w14:paraId="4BC1B764" w14:textId="0BF99504">
      <w:pPr>
        <w:pStyle w:val="Sinespaciado"/>
        <w:ind w:right="49"/>
        <w:jc w:val="both"/>
        <w:rPr>
          <w:rFonts w:ascii="Arial" w:hAnsi="Arial" w:cs="Arial"/>
          <w:sz w:val="23"/>
          <w:szCs w:val="23"/>
        </w:rPr>
      </w:pPr>
      <w:r w:rsidRPr="00DC0DA7">
        <w:rPr>
          <w:rFonts w:ascii="Arial" w:hAnsi="Arial" w:cs="Arial"/>
          <w:b/>
          <w:bCs/>
          <w:sz w:val="23"/>
          <w:szCs w:val="23"/>
        </w:rPr>
        <w:t>ARTÍCULO 2°. COMUNICAR</w:t>
      </w:r>
      <w:r w:rsidRPr="00DC0DA7">
        <w:rPr>
          <w:rFonts w:ascii="Arial" w:hAnsi="Arial" w:cs="Arial"/>
          <w:sz w:val="23"/>
          <w:szCs w:val="23"/>
        </w:rPr>
        <w:t xml:space="preserve"> al delegatario(a) el contenido del presente acto administrativo</w:t>
      </w:r>
      <w:r>
        <w:rPr>
          <w:rFonts w:ascii="Arial" w:hAnsi="Arial" w:cs="Arial"/>
          <w:sz w:val="23"/>
          <w:szCs w:val="23"/>
        </w:rPr>
        <w:t>.</w:t>
      </w:r>
    </w:p>
    <w:p w:rsidR="00DC0DA7" w:rsidP="00DC0DA7" w:rsidRDefault="00DC0DA7" w14:paraId="3C21C232" w14:textId="77777777">
      <w:pPr>
        <w:pStyle w:val="Sinespaciado"/>
        <w:ind w:right="49"/>
        <w:jc w:val="both"/>
        <w:rPr>
          <w:rFonts w:ascii="Arial" w:hAnsi="Arial" w:cs="Arial"/>
          <w:sz w:val="23"/>
          <w:szCs w:val="23"/>
        </w:rPr>
      </w:pPr>
    </w:p>
    <w:p w:rsidR="00DC0DA7" w:rsidP="00DC0DA7" w:rsidRDefault="00DC0DA7" w14:paraId="6875589D" w14:textId="66C1A341">
      <w:pPr>
        <w:pStyle w:val="Sinespaciado"/>
        <w:ind w:right="49"/>
        <w:jc w:val="both"/>
        <w:rPr>
          <w:rFonts w:ascii="Arial" w:hAnsi="Arial" w:cs="Arial"/>
          <w:sz w:val="23"/>
          <w:szCs w:val="23"/>
        </w:rPr>
      </w:pPr>
      <w:r w:rsidRPr="00DC0DA7">
        <w:rPr>
          <w:rFonts w:ascii="Arial" w:hAnsi="Arial" w:cs="Arial"/>
          <w:b/>
          <w:bCs/>
          <w:sz w:val="23"/>
          <w:szCs w:val="23"/>
        </w:rPr>
        <w:t>ARTÍCULO 3°.</w:t>
      </w:r>
      <w:r w:rsidRPr="00DC0DA7">
        <w:rPr>
          <w:rFonts w:ascii="Arial" w:hAnsi="Arial" w:cs="Arial"/>
          <w:sz w:val="23"/>
          <w:szCs w:val="23"/>
        </w:rPr>
        <w:t xml:space="preserve"> A través de la Oficina Asesora de Comunicaciones, PUBLÍQUESE la presente Resolución en la página web del ICBF. </w:t>
      </w:r>
    </w:p>
    <w:p w:rsidRPr="00DC0DA7" w:rsidR="00DC0DA7" w:rsidP="00DC0DA7" w:rsidRDefault="00DC0DA7" w14:paraId="10BAA02C" w14:textId="77777777">
      <w:pPr>
        <w:pStyle w:val="Sinespaciado"/>
        <w:ind w:right="49"/>
        <w:jc w:val="both"/>
        <w:rPr>
          <w:rFonts w:ascii="Arial" w:hAnsi="Arial" w:cs="Arial"/>
          <w:sz w:val="23"/>
          <w:szCs w:val="23"/>
        </w:rPr>
      </w:pPr>
    </w:p>
    <w:p w:rsidR="00DC0DA7" w:rsidP="00DC0DA7" w:rsidRDefault="00DC0DA7" w14:paraId="2F099528" w14:textId="629F7ABE">
      <w:pPr>
        <w:pStyle w:val="Sinespaciado"/>
        <w:ind w:right="49"/>
        <w:jc w:val="both"/>
        <w:rPr>
          <w:rFonts w:ascii="Arial" w:hAnsi="Arial" w:cs="Arial"/>
          <w:sz w:val="23"/>
          <w:szCs w:val="23"/>
        </w:rPr>
      </w:pPr>
      <w:r w:rsidRPr="00DC0DA7">
        <w:rPr>
          <w:rFonts w:ascii="Arial" w:hAnsi="Arial" w:cs="Arial"/>
          <w:b/>
          <w:bCs/>
          <w:sz w:val="23"/>
          <w:szCs w:val="23"/>
        </w:rPr>
        <w:t>ARTÍCULO 4°.</w:t>
      </w:r>
      <w:r w:rsidRPr="00DC0DA7">
        <w:rPr>
          <w:rFonts w:ascii="Arial" w:hAnsi="Arial" w:cs="Arial"/>
          <w:sz w:val="23"/>
          <w:szCs w:val="23"/>
        </w:rPr>
        <w:t xml:space="preserve"> La presente Resolución rige a partir de la fecha de su expedición y deroga las demás disposiciones que le sean contrarias. </w:t>
      </w:r>
    </w:p>
    <w:p w:rsidRPr="00DC0DA7" w:rsidR="00DC0DA7" w:rsidP="00DC0DA7" w:rsidRDefault="00DC0DA7" w14:paraId="527C6C37" w14:textId="77777777">
      <w:pPr>
        <w:pStyle w:val="Sinespaciado"/>
        <w:ind w:right="49"/>
        <w:jc w:val="both"/>
        <w:rPr>
          <w:rFonts w:ascii="Arial" w:hAnsi="Arial" w:cs="Arial"/>
          <w:sz w:val="23"/>
          <w:szCs w:val="23"/>
        </w:rPr>
      </w:pPr>
    </w:p>
    <w:p w:rsidRPr="009D39C4" w:rsidR="00DC0DA7" w:rsidP="003729BB" w:rsidRDefault="00DC0DA7" w14:paraId="1FDFC84B" w14:textId="77777777">
      <w:pPr>
        <w:pStyle w:val="Sinespaciado"/>
        <w:ind w:right="49"/>
        <w:jc w:val="both"/>
        <w:rPr>
          <w:rFonts w:ascii="Arial" w:hAnsi="Arial" w:cs="Arial"/>
          <w:b/>
          <w:bCs/>
          <w:i/>
          <w:iCs/>
          <w:sz w:val="23"/>
          <w:szCs w:val="23"/>
        </w:rPr>
      </w:pPr>
    </w:p>
    <w:p w:rsidR="003729BB" w:rsidP="003729BB" w:rsidRDefault="003729BB" w14:paraId="3C765ACE" w14:textId="4C5EDA5E">
      <w:pPr>
        <w:pStyle w:val="Sinespaciado"/>
        <w:ind w:right="49"/>
        <w:jc w:val="center"/>
        <w:rPr>
          <w:rFonts w:ascii="Arial" w:hAnsi="Arial" w:cs="Arial"/>
          <w:b/>
          <w:bCs/>
          <w:sz w:val="23"/>
          <w:szCs w:val="23"/>
        </w:rPr>
      </w:pPr>
      <w:r w:rsidRPr="009D39C4">
        <w:rPr>
          <w:rFonts w:ascii="Arial" w:hAnsi="Arial" w:cs="Arial"/>
          <w:b/>
          <w:bCs/>
          <w:sz w:val="23"/>
          <w:szCs w:val="23"/>
        </w:rPr>
        <w:t>COMUNÍQUESE Y CÚMPLASE</w:t>
      </w:r>
    </w:p>
    <w:p w:rsidRPr="00405F3C" w:rsidR="003729BB" w:rsidP="003729BB" w:rsidRDefault="003729BB" w14:paraId="73C062A9" w14:textId="44A51CCA">
      <w:pPr>
        <w:pStyle w:val="Sinespaciado"/>
        <w:ind w:right="49"/>
        <w:jc w:val="center"/>
        <w:rPr>
          <w:rFonts w:ascii="Arial" w:hAnsi="Arial" w:cs="Arial"/>
          <w:sz w:val="23"/>
          <w:szCs w:val="23"/>
        </w:rPr>
      </w:pPr>
      <w:r w:rsidRPr="00405F3C">
        <w:rPr>
          <w:rFonts w:ascii="Arial" w:hAnsi="Arial" w:cs="Arial"/>
          <w:sz w:val="23"/>
          <w:szCs w:val="23"/>
        </w:rPr>
        <w:t>Dado en Bogotá D.C. a los</w:t>
      </w:r>
      <w:r w:rsidR="00405F3C">
        <w:rPr>
          <w:rFonts w:ascii="Arial" w:hAnsi="Arial" w:cs="Arial"/>
          <w:sz w:val="23"/>
          <w:szCs w:val="23"/>
        </w:rPr>
        <w:t xml:space="preserve"> </w:t>
      </w:r>
      <w:r w:rsidR="00DC0DA7">
        <w:rPr>
          <w:rFonts w:ascii="Arial" w:hAnsi="Arial" w:cs="Arial"/>
          <w:sz w:val="23"/>
          <w:szCs w:val="23"/>
        </w:rPr>
        <w:t>1 de septiembre</w:t>
      </w:r>
      <w:r w:rsidR="00405F3C">
        <w:rPr>
          <w:rFonts w:ascii="Arial" w:hAnsi="Arial" w:cs="Arial"/>
          <w:sz w:val="23"/>
          <w:szCs w:val="23"/>
        </w:rPr>
        <w:t xml:space="preserve"> de 2025</w:t>
      </w:r>
    </w:p>
    <w:p w:rsidRPr="009D39C4" w:rsidR="003729BB" w:rsidP="003729BB" w:rsidRDefault="003729BB" w14:paraId="3695D492" w14:textId="77777777">
      <w:pPr>
        <w:pStyle w:val="Sinespaciado"/>
        <w:ind w:right="49"/>
        <w:rPr>
          <w:rFonts w:ascii="Arial" w:hAnsi="Arial" w:cs="Arial"/>
          <w:b/>
          <w:bCs/>
          <w:sz w:val="23"/>
          <w:szCs w:val="23"/>
        </w:rPr>
      </w:pPr>
    </w:p>
    <w:p w:rsidRPr="009D39C4" w:rsidR="003729BB" w:rsidP="003729BB" w:rsidRDefault="003729BB" w14:paraId="2D08C386" w14:textId="77777777">
      <w:pPr>
        <w:pStyle w:val="Sinespaciado"/>
        <w:ind w:right="49"/>
        <w:jc w:val="center"/>
        <w:rPr>
          <w:rFonts w:ascii="Arial" w:hAnsi="Arial" w:cs="Arial"/>
          <w:b/>
          <w:bCs/>
          <w:sz w:val="23"/>
          <w:szCs w:val="23"/>
        </w:rPr>
      </w:pPr>
    </w:p>
    <w:p w:rsidRPr="009D39C4" w:rsidR="003729BB" w:rsidP="003729BB" w:rsidRDefault="003729BB" w14:paraId="4441C764" w14:textId="77777777">
      <w:pPr>
        <w:pStyle w:val="Sinespaciado"/>
        <w:ind w:right="49"/>
        <w:jc w:val="center"/>
        <w:rPr>
          <w:rFonts w:ascii="Arial" w:hAnsi="Arial" w:cs="Arial"/>
          <w:b/>
          <w:bCs/>
          <w:sz w:val="23"/>
          <w:szCs w:val="23"/>
        </w:rPr>
      </w:pPr>
      <w:r w:rsidRPr="009D39C4">
        <w:rPr>
          <w:rFonts w:ascii="Arial" w:hAnsi="Arial" w:cs="Arial"/>
          <w:b/>
          <w:bCs/>
          <w:sz w:val="23"/>
          <w:szCs w:val="23"/>
        </w:rPr>
        <w:t>ASTRID ELIANA CÁCERES CÁRDENAS</w:t>
      </w:r>
    </w:p>
    <w:p w:rsidRPr="009D39C4" w:rsidR="003729BB" w:rsidP="003729BB" w:rsidRDefault="003729BB" w14:paraId="2A8B2DC2" w14:textId="77777777">
      <w:pPr>
        <w:pStyle w:val="Sinespaciado"/>
        <w:ind w:right="49"/>
        <w:jc w:val="center"/>
        <w:rPr>
          <w:rFonts w:ascii="Arial" w:hAnsi="Arial" w:cs="Arial"/>
          <w:sz w:val="23"/>
          <w:szCs w:val="23"/>
        </w:rPr>
      </w:pPr>
      <w:r w:rsidRPr="009D39C4">
        <w:rPr>
          <w:rFonts w:ascii="Arial" w:hAnsi="Arial" w:cs="Arial"/>
          <w:sz w:val="23"/>
          <w:szCs w:val="23"/>
        </w:rPr>
        <w:t>Directora General</w:t>
      </w:r>
    </w:p>
    <w:p w:rsidRPr="003729BB" w:rsidR="00B3115A" w:rsidP="00D85E56" w:rsidRDefault="00B3115A" w14:paraId="628807D0" w14:textId="77777777">
      <w:pPr>
        <w:pStyle w:val="Ttulo1"/>
        <w:spacing w:before="95"/>
        <w:ind w:right="51"/>
        <w:jc w:val="center"/>
        <w:rPr>
          <w:rFonts w:ascii="Verdana" w:hAnsi="Verdana" w:cs="Arial"/>
          <w:b w:val="0"/>
          <w:bCs w:val="0"/>
          <w:sz w:val="22"/>
          <w:szCs w:val="22"/>
        </w:rPr>
      </w:pPr>
    </w:p>
    <w:sectPr w:rsidRPr="003729BB" w:rsidR="00B3115A" w:rsidSect="00B3115A">
      <w:footerReference w:type="default" r:id="rId8"/>
      <w:pgSz w:w="12240" w:h="20160" w:orient="portrait"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F85" w:rsidP="00B92FB1" w:rsidRDefault="00232F85" w14:paraId="2F515D06" w14:textId="77777777">
      <w:pPr>
        <w:spacing w:after="0" w:line="240" w:lineRule="auto"/>
      </w:pPr>
      <w:r>
        <w:separator/>
      </w:r>
    </w:p>
  </w:endnote>
  <w:endnote w:type="continuationSeparator" w:id="0">
    <w:p w:rsidR="00232F85" w:rsidP="00B92FB1" w:rsidRDefault="00232F85" w14:paraId="1317AD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FB1" w:rsidP="00B92FB1" w:rsidRDefault="00B92FB1" w14:paraId="666AA5E3" w14:textId="6150445E">
    <w:pPr>
      <w:spacing w:after="0" w:line="240" w:lineRule="auto"/>
    </w:pPr>
    <w:r>
      <w:t xml:space="preserve">                                                </w:t>
    </w:r>
  </w:p>
  <w:p w:rsidR="00B92FB1" w:rsidRDefault="00B92FB1" w14:paraId="246AF2BF" w14:textId="5A9AA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F85" w:rsidP="00B92FB1" w:rsidRDefault="00232F85" w14:paraId="34AD7193" w14:textId="77777777">
      <w:pPr>
        <w:spacing w:after="0" w:line="240" w:lineRule="auto"/>
      </w:pPr>
      <w:r>
        <w:separator/>
      </w:r>
    </w:p>
  </w:footnote>
  <w:footnote w:type="continuationSeparator" w:id="0">
    <w:p w:rsidR="00232F85" w:rsidP="00B92FB1" w:rsidRDefault="00232F85" w14:paraId="58CBB45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0D07"/>
    <w:rsid w:val="001119CD"/>
    <w:rsid w:val="00113361"/>
    <w:rsid w:val="001614AD"/>
    <w:rsid w:val="001B292E"/>
    <w:rsid w:val="001C242B"/>
    <w:rsid w:val="001C5706"/>
    <w:rsid w:val="001D4B44"/>
    <w:rsid w:val="001E029C"/>
    <w:rsid w:val="001E60B1"/>
    <w:rsid w:val="00216415"/>
    <w:rsid w:val="00220CE1"/>
    <w:rsid w:val="00232F85"/>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729BB"/>
    <w:rsid w:val="00383B97"/>
    <w:rsid w:val="003911F3"/>
    <w:rsid w:val="00397C60"/>
    <w:rsid w:val="003B10D4"/>
    <w:rsid w:val="003C2977"/>
    <w:rsid w:val="003C2C40"/>
    <w:rsid w:val="003D5BC8"/>
    <w:rsid w:val="003F3F37"/>
    <w:rsid w:val="00404F59"/>
    <w:rsid w:val="00405F3C"/>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038F6"/>
    <w:rsid w:val="00621E1D"/>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0DA7"/>
    <w:rsid w:val="00DC3468"/>
    <w:rsid w:val="00DC379E"/>
    <w:rsid w:val="00DD7023"/>
    <w:rsid w:val="00DF4184"/>
    <w:rsid w:val="00DF5AEA"/>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72A21"/>
    <w:rsid w:val="00F86276"/>
    <w:rsid w:val="00F94D2B"/>
    <w:rsid w:val="00F976E4"/>
    <w:rsid w:val="00FA187E"/>
    <w:rsid w:val="00FA223C"/>
    <w:rsid w:val="00FB758C"/>
    <w:rsid w:val="00FC01D6"/>
    <w:rsid w:val="00FC35BD"/>
    <w:rsid w:val="00FC5B81"/>
    <w:rsid w:val="00FD2DC9"/>
    <w:rsid w:val="00FD7349"/>
    <w:rsid w:val="7B372F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hAnsi="Calibri Light" w:eastAsia="Times New Roman"/>
      <w:b/>
      <w:bCs/>
      <w:kern w:val="32"/>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styleId="EncabezadoCar" w:customStyle="1">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styleId="PiedepginaCar" w:customStyle="1">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ipervnculo">
    <w:name w:val="Hyperlink"/>
    <w:uiPriority w:val="99"/>
    <w:unhideWhenUsed/>
    <w:rsid w:val="00B62898"/>
    <w:rPr>
      <w:color w:val="0000FF"/>
      <w:u w:val="single"/>
    </w:rPr>
  </w:style>
  <w:style w:type="character" w:styleId="Ttulo1Car" w:customStyle="1">
    <w:name w:val="Título 1 Car"/>
    <w:basedOn w:val="Fuentedeprrafopredeter"/>
    <w:link w:val="Ttulo1"/>
    <w:uiPriority w:val="9"/>
    <w:rsid w:val="002504A5"/>
    <w:rPr>
      <w:rFonts w:ascii="Calibri Light" w:hAnsi="Calibri Light" w:eastAsia="Times New Roman"/>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hAnsi="Times New Roman" w:eastAsia="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styleId="Sinespaciado1" w:customStyle="1">
    <w:name w:val="Sin espaciado1"/>
    <w:qFormat/>
    <w:rsid w:val="002504A5"/>
    <w:rPr>
      <w:rFonts w:eastAsia="Times New Roman" w:cs="Calibri"/>
      <w:sz w:val="22"/>
      <w:szCs w:val="22"/>
      <w:lang w:val="es-ES" w:eastAsia="en-US"/>
    </w:rPr>
  </w:style>
  <w:style w:type="character" w:styleId="SinespaciadoCar" w:customStyle="1">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hAnsi="Times New Roman" w:eastAsia="Times New Roman"/>
      <w:sz w:val="20"/>
      <w:szCs w:val="20"/>
      <w:lang w:eastAsia="es-ES_tradnl"/>
    </w:rPr>
  </w:style>
  <w:style w:type="character" w:styleId="TextocomentarioCar" w:customStyle="1">
    <w:name w:val="Texto comentario Car"/>
    <w:basedOn w:val="Fuentedeprrafopredeter"/>
    <w:link w:val="Textocomentario"/>
    <w:uiPriority w:val="99"/>
    <w:rsid w:val="002504A5"/>
    <w:rPr>
      <w:rFonts w:ascii="Times New Roman" w:hAnsi="Times New Roman" w:eastAsia="Times New Roman"/>
      <w:lang w:val="es-ES" w:eastAsia="es-ES_tradnl"/>
    </w:rPr>
  </w:style>
  <w:style w:type="character" w:styleId="PrrafodelistaCar" w:customStyle="1">
    <w:name w:val="Párrafo de lista Car"/>
    <w:link w:val="Prrafodelista"/>
    <w:uiPriority w:val="34"/>
    <w:qFormat/>
    <w:locked/>
    <w:rsid w:val="002504A5"/>
    <w:rPr>
      <w:rFonts w:ascii="Times New Roman" w:hAnsi="Times New Roman" w:eastAsia="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hAnsi="Calibri" w:eastAsia="Calibri"/>
      <w:b/>
      <w:bCs/>
      <w:lang w:eastAsia="en-US"/>
    </w:rPr>
  </w:style>
  <w:style w:type="character" w:styleId="AsuntodelcomentarioCar" w:customStyle="1">
    <w:name w:val="Asunto del comentario Car"/>
    <w:basedOn w:val="TextocomentarioCar"/>
    <w:link w:val="Asuntodelcomentario"/>
    <w:uiPriority w:val="99"/>
    <w:semiHidden/>
    <w:rsid w:val="00BF0FB7"/>
    <w:rPr>
      <w:rFonts w:ascii="Times New Roman" w:hAnsi="Times New Roman" w:eastAsia="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729BB"/>
    <w:rPr>
      <w:sz w:val="20"/>
      <w:szCs w:val="20"/>
    </w:rPr>
  </w:style>
  <w:style w:type="character" w:styleId="TextonotapieCar" w:customStyle="1">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729BB"/>
    <w:rPr>
      <w:lang w:val="es-ES" w:eastAsia="en-US"/>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729BB"/>
    <w:rPr>
      <w:vertAlign w:val="superscript"/>
    </w:rPr>
  </w:style>
  <w:style w:type="paragraph" w:styleId="centrado" w:customStyle="1">
    <w:name w:val="centrado"/>
    <w:basedOn w:val="Normal"/>
    <w:rsid w:val="003729BB"/>
    <w:pPr>
      <w:spacing w:before="100" w:beforeAutospacing="1" w:after="100" w:afterAutospacing="1" w:line="240" w:lineRule="auto"/>
    </w:pPr>
    <w:rPr>
      <w:rFonts w:ascii="Times New Roman" w:hAnsi="Times New Roman" w:eastAsia="Times New Roman"/>
      <w:sz w:val="24"/>
      <w:szCs w:val="24"/>
      <w:lang w:val="es-CO" w:eastAsia="es-MX"/>
    </w:rPr>
  </w:style>
  <w:style w:type="character" w:styleId="baj" w:customStyle="1">
    <w:name w:val="b_aj"/>
    <w:basedOn w:val="Fuentedeprrafopredeter"/>
    <w:rsid w:val="003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408E6C15-E36D-42C6-B1B7-820C6A201B3E}"/>
</file>

<file path=customXml/itemProps3.xml><?xml version="1.0" encoding="utf-8"?>
<ds:datastoreItem xmlns:ds="http://schemas.openxmlformats.org/officeDocument/2006/customXml" ds:itemID="{9B50E1F3-BD10-4B81-801E-9249D18B6B82}"/>
</file>

<file path=customXml/itemProps4.xml><?xml version="1.0" encoding="utf-8"?>
<ds:datastoreItem xmlns:ds="http://schemas.openxmlformats.org/officeDocument/2006/customXml" ds:itemID="{DCDBF179-32CF-4814-BABA-75DA49E1FA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2026-03-14T18:59:00Z</dcterms:created>
  <dcterms:modified xsi:type="dcterms:W3CDTF">2026-06-12T16:43:05Z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