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EB16" w14:textId="4CD6A30D" w:rsidR="000B4793" w:rsidRDefault="00B00EB0" w:rsidP="00B00EB0">
      <w:pPr>
        <w:jc w:val="center"/>
        <w:rPr>
          <w:rFonts w:ascii="Verdana" w:hAnsi="Verdana"/>
          <w:b/>
          <w:bCs/>
        </w:rPr>
      </w:pPr>
      <w:r w:rsidRPr="00B00EB0">
        <w:rPr>
          <w:rFonts w:ascii="Verdana" w:hAnsi="Verdana"/>
          <w:b/>
          <w:bCs/>
        </w:rPr>
        <w:t>RESOLUCIÓN 4874 DE 2024</w:t>
      </w:r>
    </w:p>
    <w:p w14:paraId="7449F50A" w14:textId="7B4D1268" w:rsidR="00B00EB0" w:rsidRPr="00B00EB0" w:rsidRDefault="00B00EB0" w:rsidP="00B00EB0">
      <w:pPr>
        <w:rPr>
          <w:rFonts w:ascii="Verdana" w:hAnsi="Verdana"/>
          <w:sz w:val="20"/>
          <w:szCs w:val="20"/>
        </w:rPr>
      </w:pPr>
      <w:r w:rsidRPr="00B00EB0">
        <w:rPr>
          <w:rFonts w:ascii="Verdana" w:hAnsi="Verdana"/>
          <w:sz w:val="20"/>
          <w:szCs w:val="20"/>
        </w:rPr>
        <w:t xml:space="preserve">Fecha de Expedición: </w:t>
      </w:r>
      <w:r w:rsidR="005D523F">
        <w:rPr>
          <w:rFonts w:ascii="Verdana" w:hAnsi="Verdana"/>
          <w:sz w:val="20"/>
          <w:szCs w:val="20"/>
        </w:rPr>
        <w:t>18</w:t>
      </w:r>
      <w:r w:rsidRPr="00B00EB0">
        <w:rPr>
          <w:rFonts w:ascii="Verdana" w:hAnsi="Verdana"/>
          <w:sz w:val="20"/>
          <w:szCs w:val="20"/>
        </w:rPr>
        <w:t xml:space="preserve"> de octubre de 2024</w:t>
      </w:r>
    </w:p>
    <w:p w14:paraId="544A84A8" w14:textId="7BA6AF32" w:rsidR="00B00EB0" w:rsidRPr="00B00EB0" w:rsidRDefault="00B00EB0" w:rsidP="00B00EB0">
      <w:pPr>
        <w:rPr>
          <w:rFonts w:ascii="Verdana" w:hAnsi="Verdana"/>
          <w:sz w:val="20"/>
          <w:szCs w:val="20"/>
        </w:rPr>
      </w:pPr>
      <w:r w:rsidRPr="00B00EB0">
        <w:rPr>
          <w:rFonts w:ascii="Verdana" w:hAnsi="Verdana"/>
          <w:sz w:val="20"/>
          <w:szCs w:val="20"/>
        </w:rPr>
        <w:t xml:space="preserve">Fecha de entrada en vigencia: </w:t>
      </w:r>
      <w:r w:rsidR="005D523F">
        <w:rPr>
          <w:rFonts w:ascii="Verdana" w:hAnsi="Verdana"/>
          <w:sz w:val="20"/>
          <w:szCs w:val="20"/>
        </w:rPr>
        <w:t>18</w:t>
      </w:r>
      <w:r w:rsidRPr="00B00EB0">
        <w:rPr>
          <w:rFonts w:ascii="Verdana" w:hAnsi="Verdana"/>
          <w:sz w:val="20"/>
          <w:szCs w:val="20"/>
        </w:rPr>
        <w:t xml:space="preserve"> de octubre de 2024</w:t>
      </w:r>
    </w:p>
    <w:p w14:paraId="49CFFCF8" w14:textId="2F3B74B5" w:rsidR="00B00EB0" w:rsidRPr="00B00EB0" w:rsidRDefault="00B00EB0" w:rsidP="00B00EB0">
      <w:pPr>
        <w:rPr>
          <w:rFonts w:ascii="Verdana" w:hAnsi="Verdana"/>
          <w:sz w:val="20"/>
          <w:szCs w:val="20"/>
        </w:rPr>
      </w:pPr>
      <w:r w:rsidRPr="00B00EB0">
        <w:rPr>
          <w:rFonts w:ascii="Verdana" w:hAnsi="Verdana"/>
          <w:sz w:val="20"/>
          <w:szCs w:val="20"/>
        </w:rPr>
        <w:t xml:space="preserve">Estado de la vigencia: </w:t>
      </w:r>
      <w:r w:rsidR="00FC274F">
        <w:rPr>
          <w:rFonts w:ascii="Verdana" w:hAnsi="Verdana"/>
          <w:sz w:val="20"/>
          <w:szCs w:val="20"/>
        </w:rPr>
        <w:t>Vigente.</w:t>
      </w:r>
    </w:p>
    <w:p w14:paraId="4B288B10" w14:textId="77777777" w:rsidR="00B00EB0" w:rsidRPr="00B00EB0" w:rsidRDefault="00B00EB0" w:rsidP="00B00EB0">
      <w:pPr>
        <w:rPr>
          <w:rFonts w:ascii="Verdana" w:hAnsi="Verdana"/>
          <w:sz w:val="20"/>
          <w:szCs w:val="20"/>
        </w:rPr>
      </w:pPr>
      <w:r w:rsidRPr="00B00EB0">
        <w:rPr>
          <w:rFonts w:ascii="Verdana" w:hAnsi="Verdana"/>
          <w:sz w:val="20"/>
          <w:szCs w:val="20"/>
        </w:rPr>
        <w:t xml:space="preserve"> </w:t>
      </w:r>
    </w:p>
    <w:p w14:paraId="6D6BBDE6" w14:textId="77777777" w:rsidR="00B00EB0" w:rsidRPr="00B00EB0" w:rsidRDefault="00B00EB0" w:rsidP="00B00EB0">
      <w:pPr>
        <w:rPr>
          <w:rFonts w:ascii="Verdana" w:hAnsi="Verdana"/>
          <w:sz w:val="20"/>
          <w:szCs w:val="20"/>
        </w:rPr>
      </w:pPr>
      <w:r w:rsidRPr="00B00EB0">
        <w:rPr>
          <w:rFonts w:ascii="Verdana" w:hAnsi="Verdana"/>
          <w:sz w:val="20"/>
          <w:szCs w:val="20"/>
        </w:rPr>
        <w:t>Fecha de publicación en Diario Oficial: N/A</w:t>
      </w:r>
    </w:p>
    <w:p w14:paraId="613A0090" w14:textId="7E076616" w:rsidR="00B00EB0" w:rsidRDefault="00B00EB0" w:rsidP="00B00EB0">
      <w:pPr>
        <w:rPr>
          <w:rFonts w:ascii="Verdana" w:hAnsi="Verdana"/>
          <w:sz w:val="20"/>
          <w:szCs w:val="20"/>
        </w:rPr>
      </w:pPr>
      <w:r w:rsidRPr="00B00EB0">
        <w:rPr>
          <w:rFonts w:ascii="Verdana" w:hAnsi="Verdana"/>
          <w:sz w:val="20"/>
          <w:szCs w:val="20"/>
        </w:rPr>
        <w:t>Número del Diario Oficial: N/A</w:t>
      </w:r>
    </w:p>
    <w:p w14:paraId="7CE44AD5" w14:textId="08E6FC5B" w:rsidR="00B00EB0" w:rsidRDefault="00B00EB0" w:rsidP="00B00EB0">
      <w:pPr>
        <w:jc w:val="center"/>
        <w:rPr>
          <w:rFonts w:ascii="Verdana" w:hAnsi="Verdana"/>
          <w:b/>
          <w:bCs/>
        </w:rPr>
      </w:pPr>
      <w:r w:rsidRPr="00B00EB0">
        <w:rPr>
          <w:rFonts w:ascii="Verdana" w:hAnsi="Verdana"/>
          <w:b/>
          <w:bCs/>
        </w:rPr>
        <w:t>RESOLUCIÓN 4874 DE 2024</w:t>
      </w:r>
    </w:p>
    <w:p w14:paraId="57E294FA" w14:textId="0E8C7D1B" w:rsidR="00482961" w:rsidRDefault="00482961" w:rsidP="00B00EB0">
      <w:pPr>
        <w:jc w:val="center"/>
        <w:rPr>
          <w:rFonts w:ascii="Verdana" w:hAnsi="Verdana"/>
          <w:b/>
          <w:bCs/>
        </w:rPr>
      </w:pPr>
      <w:r>
        <w:rPr>
          <w:rFonts w:ascii="Verdana" w:hAnsi="Verdana"/>
          <w:b/>
          <w:bCs/>
        </w:rPr>
        <w:t>(18 de octubre)</w:t>
      </w:r>
    </w:p>
    <w:p w14:paraId="206BD19A" w14:textId="13869D80" w:rsidR="00B00EB0" w:rsidRDefault="00B00EB0" w:rsidP="00B00EB0">
      <w:pPr>
        <w:jc w:val="center"/>
        <w:rPr>
          <w:rFonts w:ascii="Verdana" w:hAnsi="Verdana"/>
        </w:rPr>
      </w:pPr>
      <w:r w:rsidRPr="00B00EB0">
        <w:rPr>
          <w:rFonts w:ascii="Verdana" w:hAnsi="Verdana"/>
        </w:rPr>
        <w:t>"Por la cual se modifica parcialmente la Resolución 4708 del 07 de octubre de 2024"</w:t>
      </w:r>
    </w:p>
    <w:p w14:paraId="192A5114" w14:textId="105E29F2" w:rsidR="00B00EB0" w:rsidRPr="00B00EB0" w:rsidRDefault="00B00EB0" w:rsidP="00B00EB0">
      <w:pPr>
        <w:jc w:val="center"/>
        <w:rPr>
          <w:rFonts w:ascii="Verdana" w:hAnsi="Verdana"/>
          <w:b/>
          <w:bCs/>
        </w:rPr>
      </w:pPr>
      <w:r w:rsidRPr="00B00EB0">
        <w:rPr>
          <w:rFonts w:ascii="Verdana" w:hAnsi="Verdana"/>
          <w:b/>
          <w:bCs/>
        </w:rPr>
        <w:t>LA DIRECTORA GENERAL DEL INSTITUTO COLOMBIANO DE BIENESTAR FAMILIAR (ICBF) - CECILIA DE LA FUENTE DE LLERAS</w:t>
      </w:r>
    </w:p>
    <w:p w14:paraId="350FF985" w14:textId="077BE862" w:rsidR="00B00EB0" w:rsidRPr="00B00EB0" w:rsidRDefault="00B00EB0" w:rsidP="00B00EB0">
      <w:pPr>
        <w:jc w:val="center"/>
        <w:rPr>
          <w:rFonts w:ascii="Verdana" w:hAnsi="Verdana"/>
        </w:rPr>
      </w:pPr>
      <w:r w:rsidRPr="00B00EB0">
        <w:rPr>
          <w:rFonts w:ascii="Verdana" w:hAnsi="Verdana"/>
        </w:rPr>
        <w:t>En uso de sus facultades legales y estatutarias y, en especial, las conferidas en los artículos 28 de la Ley 7 de 1979 y 78 de la Ley 489 de 1998 y,</w:t>
      </w:r>
    </w:p>
    <w:p w14:paraId="2E54EF8C" w14:textId="378EA54F" w:rsidR="00B00EB0" w:rsidRDefault="00B00EB0" w:rsidP="00B00EB0">
      <w:pPr>
        <w:jc w:val="center"/>
        <w:rPr>
          <w:rFonts w:ascii="Verdana" w:hAnsi="Verdana"/>
          <w:b/>
          <w:bCs/>
        </w:rPr>
      </w:pPr>
      <w:r w:rsidRPr="00B00EB0">
        <w:rPr>
          <w:rFonts w:ascii="Verdana" w:hAnsi="Verdana"/>
          <w:b/>
          <w:bCs/>
        </w:rPr>
        <w:t>CONSIDERANDO</w:t>
      </w:r>
    </w:p>
    <w:p w14:paraId="2C8C9428" w14:textId="69960327" w:rsidR="00B00EB0" w:rsidRPr="00B00EB0" w:rsidRDefault="00B00EB0" w:rsidP="00B00EB0">
      <w:pPr>
        <w:jc w:val="both"/>
        <w:rPr>
          <w:rFonts w:ascii="Verdana" w:hAnsi="Verdana"/>
        </w:rPr>
      </w:pPr>
      <w:r w:rsidRPr="00B00EB0">
        <w:rPr>
          <w:rFonts w:ascii="Verdana" w:hAnsi="Verdana"/>
        </w:rPr>
        <w:t>Que el Instituto Colombiano de Bienestar Familiar - ICBF expidió la Resolución 0130 del 19 de enero de 2024 "Por la cual se adoptan los Lineamientos de Programación y Ejecución de Metas Sociales y Financieras - Vigencia 2024 del Instituto Colombiano de Bienestar Famillar - Cecilia De la Fuente de Lleras - ICBF y se deroga la Resolución 002 del 2 de enero de 2024".</w:t>
      </w:r>
    </w:p>
    <w:p w14:paraId="6CBEB926" w14:textId="3B03CC28" w:rsidR="00B00EB0" w:rsidRPr="00B00EB0" w:rsidRDefault="00B00EB0" w:rsidP="00B00EB0">
      <w:pPr>
        <w:jc w:val="both"/>
        <w:rPr>
          <w:rFonts w:ascii="Verdana" w:hAnsi="Verdana"/>
        </w:rPr>
      </w:pPr>
      <w:r w:rsidRPr="00B00EB0">
        <w:rPr>
          <w:rFonts w:ascii="Verdana" w:hAnsi="Verdana"/>
        </w:rPr>
        <w:t>Que el artículo 1 de la citada Resolución adoptó los Lineamientos de Programación y Ejecución de Metas Sociales y Financieras Vigencia 2024 en 79 fichas con sus correspondientes anexos, establecidos por cada dependencia de gasto de funcionamiento e inversión y modalidades de atención (cuando aplique) registrados en el presupuesto de gastos del ICBF, las cuales hacen parte integral del prescrito acto administrativo</w:t>
      </w:r>
    </w:p>
    <w:p w14:paraId="766899E4" w14:textId="08241C61" w:rsidR="00B00EB0" w:rsidRDefault="00B00EB0" w:rsidP="00B00EB0">
      <w:pPr>
        <w:jc w:val="both"/>
        <w:rPr>
          <w:rFonts w:ascii="Verdana" w:hAnsi="Verdana"/>
        </w:rPr>
      </w:pPr>
      <w:r w:rsidRPr="00B00EB0">
        <w:rPr>
          <w:rFonts w:ascii="Verdana" w:hAnsi="Verdana"/>
        </w:rPr>
        <w:t>Que el artículo 3 de la Resolución ibidem establece que cualquier modificación o ajuste a las fichas de Inversión en los Lineamientos de Programación y Ejecución de Metas Sociales y Financieras Vigencia 2024 deberá realizarse mediante acto administrativo, para lo cual, se deberá tener en cuenta: (i) la solicitud y justificación técnica y presupuestal, debidamente soportada y emitida por el responsable del proyecto de inversión o gerente del recurso del rubro; (ii) la ficha de programación que deberá contar con el aval de la Subdirección de Programación de la Dirección de Planeación y Control de Gestión: v (iii) control de legalidad de la Oficina Ase</w:t>
      </w:r>
      <w:r>
        <w:rPr>
          <w:rFonts w:ascii="Verdana" w:hAnsi="Verdana"/>
        </w:rPr>
        <w:t>s</w:t>
      </w:r>
      <w:r w:rsidRPr="00B00EB0">
        <w:rPr>
          <w:rFonts w:ascii="Verdana" w:hAnsi="Verdana"/>
        </w:rPr>
        <w:t>ora</w:t>
      </w:r>
      <w:r>
        <w:rPr>
          <w:rFonts w:ascii="Verdana" w:hAnsi="Verdana"/>
        </w:rPr>
        <w:t xml:space="preserve"> Jurídica.</w:t>
      </w:r>
    </w:p>
    <w:p w14:paraId="548018EF" w14:textId="498C86A9" w:rsidR="00B00EB0" w:rsidRDefault="003A08EB" w:rsidP="00B00EB0">
      <w:pPr>
        <w:jc w:val="both"/>
        <w:rPr>
          <w:rFonts w:ascii="Verdana" w:hAnsi="Verdana"/>
        </w:rPr>
      </w:pPr>
      <w:r w:rsidRPr="003A08EB">
        <w:rPr>
          <w:rFonts w:ascii="Verdana" w:hAnsi="Verdana"/>
        </w:rPr>
        <w:lastRenderedPageBreak/>
        <w:t>Que dentro de las 79 fichas adoptadas en los Lineamientos de Programación y Ejecución de Metas Sociales y Financieras para la vigencia 2024 se encuentra la ficha correspondiente a Funcionamiento, denominada:</w:t>
      </w:r>
    </w:p>
    <w:tbl>
      <w:tblPr>
        <w:tblStyle w:val="Tablaconcuadrcula"/>
        <w:tblW w:w="7240" w:type="dxa"/>
        <w:tblLook w:val="04A0" w:firstRow="1" w:lastRow="0" w:firstColumn="1" w:lastColumn="0" w:noHBand="0" w:noVBand="1"/>
      </w:tblPr>
      <w:tblGrid>
        <w:gridCol w:w="1240"/>
        <w:gridCol w:w="2140"/>
        <w:gridCol w:w="3860"/>
      </w:tblGrid>
      <w:tr w:rsidR="003A08EB" w:rsidRPr="003A08EB" w14:paraId="5C3B2AA8" w14:textId="77777777" w:rsidTr="003A08EB">
        <w:trPr>
          <w:trHeight w:val="864"/>
        </w:trPr>
        <w:tc>
          <w:tcPr>
            <w:tcW w:w="1240" w:type="dxa"/>
            <w:hideMark/>
          </w:tcPr>
          <w:p w14:paraId="02822426" w14:textId="77777777" w:rsidR="003A08EB" w:rsidRPr="003A08EB" w:rsidRDefault="003A08EB" w:rsidP="003A08EB">
            <w:pPr>
              <w:jc w:val="center"/>
              <w:rPr>
                <w:rFonts w:ascii="Calibri" w:eastAsia="Times New Roman" w:hAnsi="Calibri" w:cs="Calibri"/>
                <w:color w:val="000000"/>
                <w:lang w:eastAsia="es-CO"/>
              </w:rPr>
            </w:pPr>
            <w:r w:rsidRPr="003A08EB">
              <w:rPr>
                <w:rFonts w:ascii="Calibri" w:eastAsia="Times New Roman" w:hAnsi="Calibri" w:cs="Calibri"/>
                <w:color w:val="000000"/>
                <w:lang w:eastAsia="es-CO"/>
              </w:rPr>
              <w:t>No.</w:t>
            </w:r>
          </w:p>
        </w:tc>
        <w:tc>
          <w:tcPr>
            <w:tcW w:w="2140" w:type="dxa"/>
            <w:hideMark/>
          </w:tcPr>
          <w:p w14:paraId="55B175AF" w14:textId="77777777" w:rsidR="003A08EB" w:rsidRPr="003A08EB" w:rsidRDefault="003A08EB" w:rsidP="003A08EB">
            <w:pPr>
              <w:jc w:val="center"/>
              <w:rPr>
                <w:rFonts w:ascii="Calibri" w:eastAsia="Times New Roman" w:hAnsi="Calibri" w:cs="Calibri"/>
                <w:color w:val="000000"/>
                <w:lang w:eastAsia="es-CO"/>
              </w:rPr>
            </w:pPr>
            <w:r w:rsidRPr="003A08EB">
              <w:rPr>
                <w:rFonts w:ascii="Calibri" w:eastAsia="Times New Roman" w:hAnsi="Calibri" w:cs="Calibri"/>
                <w:color w:val="000000"/>
                <w:lang w:eastAsia="es-CO"/>
              </w:rPr>
              <w:t>FICHA DE LINEAMIENTOS</w:t>
            </w:r>
          </w:p>
        </w:tc>
        <w:tc>
          <w:tcPr>
            <w:tcW w:w="3860" w:type="dxa"/>
            <w:hideMark/>
          </w:tcPr>
          <w:p w14:paraId="13FC970B" w14:textId="77777777" w:rsidR="003A08EB" w:rsidRPr="003A08EB" w:rsidRDefault="003A08EB" w:rsidP="003A08EB">
            <w:pPr>
              <w:jc w:val="center"/>
              <w:rPr>
                <w:rFonts w:ascii="Calibri" w:eastAsia="Times New Roman" w:hAnsi="Calibri" w:cs="Calibri"/>
                <w:color w:val="000000"/>
                <w:lang w:eastAsia="es-CO"/>
              </w:rPr>
            </w:pPr>
            <w:r w:rsidRPr="003A08EB">
              <w:rPr>
                <w:rFonts w:ascii="Calibri" w:eastAsia="Times New Roman" w:hAnsi="Calibri" w:cs="Calibri"/>
                <w:color w:val="000000"/>
                <w:lang w:eastAsia="es-CO"/>
              </w:rPr>
              <w:t>DESCRIPCIÓN</w:t>
            </w:r>
          </w:p>
        </w:tc>
      </w:tr>
      <w:tr w:rsidR="003A08EB" w:rsidRPr="003A08EB" w14:paraId="7E189F24" w14:textId="77777777" w:rsidTr="003A08EB">
        <w:trPr>
          <w:trHeight w:val="288"/>
        </w:trPr>
        <w:tc>
          <w:tcPr>
            <w:tcW w:w="1240" w:type="dxa"/>
            <w:hideMark/>
          </w:tcPr>
          <w:p w14:paraId="64E04892" w14:textId="77777777" w:rsidR="003A08EB" w:rsidRPr="003A08EB" w:rsidRDefault="003A08EB" w:rsidP="003A08EB">
            <w:pPr>
              <w:jc w:val="center"/>
              <w:rPr>
                <w:rFonts w:ascii="Calibri" w:eastAsia="Times New Roman" w:hAnsi="Calibri" w:cs="Calibri"/>
                <w:color w:val="000000"/>
                <w:lang w:eastAsia="es-CO"/>
              </w:rPr>
            </w:pPr>
            <w:r w:rsidRPr="003A08EB">
              <w:rPr>
                <w:rFonts w:ascii="Calibri" w:eastAsia="Times New Roman" w:hAnsi="Calibri" w:cs="Calibri"/>
                <w:color w:val="000000"/>
                <w:lang w:eastAsia="es-CO"/>
              </w:rPr>
              <w:t>1.</w:t>
            </w:r>
          </w:p>
        </w:tc>
        <w:tc>
          <w:tcPr>
            <w:tcW w:w="2140" w:type="dxa"/>
            <w:hideMark/>
          </w:tcPr>
          <w:p w14:paraId="0B4CE534" w14:textId="77777777" w:rsidR="003A08EB" w:rsidRPr="003A08EB" w:rsidRDefault="003A08EB" w:rsidP="003A08EB">
            <w:pPr>
              <w:jc w:val="center"/>
              <w:rPr>
                <w:rFonts w:ascii="Calibri" w:eastAsia="Times New Roman" w:hAnsi="Calibri" w:cs="Calibri"/>
                <w:color w:val="000000"/>
                <w:lang w:eastAsia="es-CO"/>
              </w:rPr>
            </w:pPr>
            <w:r w:rsidRPr="003A08EB">
              <w:rPr>
                <w:rFonts w:ascii="Calibri" w:eastAsia="Times New Roman" w:hAnsi="Calibri" w:cs="Calibri"/>
                <w:color w:val="000000"/>
                <w:lang w:eastAsia="es-CO"/>
              </w:rPr>
              <w:t>FICHA F-02</w:t>
            </w:r>
          </w:p>
        </w:tc>
        <w:tc>
          <w:tcPr>
            <w:tcW w:w="3860" w:type="dxa"/>
            <w:hideMark/>
          </w:tcPr>
          <w:p w14:paraId="2001BF67" w14:textId="77777777" w:rsidR="003A08EB" w:rsidRPr="003A08EB" w:rsidRDefault="003A08EB" w:rsidP="003A08EB">
            <w:pPr>
              <w:jc w:val="center"/>
              <w:rPr>
                <w:rFonts w:ascii="Calibri" w:eastAsia="Times New Roman" w:hAnsi="Calibri" w:cs="Calibri"/>
                <w:color w:val="000000"/>
                <w:lang w:eastAsia="es-CO"/>
              </w:rPr>
            </w:pPr>
            <w:r w:rsidRPr="003A08EB">
              <w:rPr>
                <w:rFonts w:ascii="Calibri" w:eastAsia="Times New Roman" w:hAnsi="Calibri" w:cs="Calibri"/>
                <w:color w:val="000000"/>
                <w:lang w:eastAsia="es-CO"/>
              </w:rPr>
              <w:t xml:space="preserve">ADQUISICIÓN DE BIENES Y SERVICIÓS </w:t>
            </w:r>
          </w:p>
        </w:tc>
      </w:tr>
    </w:tbl>
    <w:p w14:paraId="2F16D730" w14:textId="37E13167" w:rsidR="003A08EB" w:rsidRDefault="003A08EB" w:rsidP="00B00EB0">
      <w:pPr>
        <w:jc w:val="both"/>
        <w:rPr>
          <w:rFonts w:ascii="Verdana" w:hAnsi="Verdana"/>
          <w:sz w:val="14"/>
          <w:szCs w:val="14"/>
        </w:rPr>
      </w:pPr>
      <w:r w:rsidRPr="003A08EB">
        <w:rPr>
          <w:rFonts w:ascii="Verdana" w:hAnsi="Verdana"/>
          <w:sz w:val="14"/>
          <w:szCs w:val="14"/>
        </w:rPr>
        <w:t>Fuente: Elaboración propia Dirección de Planeación y Control de Gestión De conformidad con la solicitud de la Dirección Financiera y Dirección de Gestión Humana a la Subdirección de Programación.</w:t>
      </w:r>
    </w:p>
    <w:p w14:paraId="55311AE7" w14:textId="4985A04A" w:rsidR="003A08EB" w:rsidRDefault="003A08EB" w:rsidP="00B00EB0">
      <w:pPr>
        <w:jc w:val="both"/>
        <w:rPr>
          <w:rFonts w:ascii="Verdana" w:hAnsi="Verdana"/>
        </w:rPr>
      </w:pPr>
      <w:r w:rsidRPr="003A08EB">
        <w:rPr>
          <w:rFonts w:ascii="Verdana" w:hAnsi="Verdana"/>
        </w:rPr>
        <w:t>Que de conformidad con lo dispuesto en el artículo 13 del Decreto 987 de 2012, corresponde a la Dirección Financiera del ICBF, entre otras, las funciones de "1. Proponer a la Secretaría General políticas y estrategias para el recaudo, administración, gestión, control y registro de los recursos financieros del Instituto (...) 4. Organizar, dirigir y supervisar las operaciones financieras, contables, de tesorería,</w:t>
      </w:r>
    </w:p>
    <w:p w14:paraId="7A08D9DB" w14:textId="72D21396" w:rsidR="003A08EB" w:rsidRPr="003A08EB" w:rsidRDefault="003A08EB" w:rsidP="003A08EB">
      <w:pPr>
        <w:jc w:val="both"/>
        <w:rPr>
          <w:rFonts w:ascii="Verdana" w:hAnsi="Verdana"/>
        </w:rPr>
      </w:pPr>
      <w:r w:rsidRPr="003A08EB">
        <w:rPr>
          <w:rFonts w:ascii="Verdana" w:hAnsi="Verdana"/>
        </w:rPr>
        <w:t>presupuesto y recaudo del Instituto. 5. Evaluar la viabilidad financiera y gestionar los traslados, ajustes y modificaciones al presupuesto, de acuerdo con el concepto técnico suministrado por la Dirección de Planeación y Control de Gestión (...) 8. Realizar el seguimiento financiero a las diferentes instancias del Instituto en coordinación con la Dirección de Planeación y Control de Gestión (...)".</w:t>
      </w:r>
    </w:p>
    <w:p w14:paraId="0966884C" w14:textId="00466525" w:rsidR="003A08EB" w:rsidRPr="003A08EB" w:rsidRDefault="003A08EB" w:rsidP="003A08EB">
      <w:pPr>
        <w:jc w:val="both"/>
        <w:rPr>
          <w:rFonts w:ascii="Verdana" w:hAnsi="Verdana"/>
        </w:rPr>
      </w:pPr>
      <w:r w:rsidRPr="003A08EB">
        <w:rPr>
          <w:rFonts w:ascii="Verdana" w:hAnsi="Verdana"/>
        </w:rPr>
        <w:t>Que con el fin de contar con el rubro en los gastos de funcionamiento que permita la disponibilidad de recursos necesarios para la gestión de la información de ingresos por parafiscal 3%, mediante Resolución 4708 de 2024 se modificó la ficha denominada "F-02 ADQUISICIÓN DE BIENES Y SERVICIOS", en el sentido de Incorporar el rubro presupuestal y asociar los centros de costos 302 y 303 al rubro A-02-02-02-008-003-09, en concordancia con el Catálogo de clasificación Presupuestal del Ministerio de Hacienda y Crédito Público que define el objeto de gasto "Otros servicios profesionales y técnicos N.C.P."</w:t>
      </w:r>
    </w:p>
    <w:p w14:paraId="1009B8DA" w14:textId="27A2F577" w:rsidR="003A08EB" w:rsidRPr="003A08EB" w:rsidRDefault="003A08EB" w:rsidP="003A08EB">
      <w:pPr>
        <w:jc w:val="both"/>
        <w:rPr>
          <w:rFonts w:ascii="Verdana" w:hAnsi="Verdana"/>
        </w:rPr>
      </w:pPr>
      <w:r w:rsidRPr="003A08EB">
        <w:rPr>
          <w:rFonts w:ascii="Verdana" w:hAnsi="Verdana"/>
        </w:rPr>
        <w:t>Que el nivel de desagregación requerido en SIIF Nación es a nivel de Decreto y no de Catálogo de Clasificación Presupuestal (uso presupuestal), y es a ese nível que deben asociarse los centros de costos, por lo que se debe modificar la Resolución 4708 de 2024 en el sentido de corregir el nivel de desagregación, debiendo quedar el rubro en los lineamientos de programación así: "A-02-02-02-008-003-302" y "A-02-02-02-008-003-303".</w:t>
      </w:r>
    </w:p>
    <w:p w14:paraId="437F511D" w14:textId="31AF927A" w:rsidR="003A08EB" w:rsidRPr="003A08EB" w:rsidRDefault="003A08EB" w:rsidP="003A08EB">
      <w:pPr>
        <w:jc w:val="both"/>
        <w:rPr>
          <w:rFonts w:ascii="Verdana" w:hAnsi="Verdana"/>
        </w:rPr>
      </w:pPr>
      <w:r w:rsidRPr="003A08EB">
        <w:rPr>
          <w:rFonts w:ascii="Verdana" w:hAnsi="Verdana"/>
        </w:rPr>
        <w:t>Que mediante memorando con radicado No. 202413100000134463 de fecha 16 de octubre de 2024 la Subdirección de Programación solicitó la corrección anteriormente señalada.</w:t>
      </w:r>
    </w:p>
    <w:p w14:paraId="065797A9" w14:textId="02C4CEEB" w:rsidR="003A08EB" w:rsidRPr="003A08EB" w:rsidRDefault="003A08EB" w:rsidP="003A08EB">
      <w:pPr>
        <w:jc w:val="both"/>
        <w:rPr>
          <w:rFonts w:ascii="Verdana" w:hAnsi="Verdana"/>
        </w:rPr>
      </w:pPr>
      <w:r w:rsidRPr="003A08EB">
        <w:rPr>
          <w:rFonts w:ascii="Verdana" w:hAnsi="Verdana"/>
        </w:rPr>
        <w:t xml:space="preserve">En mérito de </w:t>
      </w:r>
      <w:r>
        <w:rPr>
          <w:rFonts w:ascii="Verdana" w:hAnsi="Verdana"/>
        </w:rPr>
        <w:t>lo</w:t>
      </w:r>
      <w:r w:rsidRPr="003A08EB">
        <w:rPr>
          <w:rFonts w:ascii="Verdana" w:hAnsi="Verdana"/>
        </w:rPr>
        <w:t xml:space="preserve"> expuesto,</w:t>
      </w:r>
    </w:p>
    <w:p w14:paraId="266302A3" w14:textId="5342B6BB" w:rsidR="003A08EB" w:rsidRDefault="003A08EB" w:rsidP="003A08EB">
      <w:pPr>
        <w:jc w:val="center"/>
        <w:rPr>
          <w:rFonts w:ascii="Verdana" w:hAnsi="Verdana"/>
          <w:b/>
          <w:bCs/>
        </w:rPr>
      </w:pPr>
      <w:r w:rsidRPr="003A08EB">
        <w:rPr>
          <w:rFonts w:ascii="Verdana" w:hAnsi="Verdana"/>
          <w:b/>
          <w:bCs/>
        </w:rPr>
        <w:t>RESUELVE:</w:t>
      </w:r>
    </w:p>
    <w:p w14:paraId="39228F37" w14:textId="143FD5E9" w:rsidR="005D523F" w:rsidRPr="005D523F" w:rsidRDefault="005D523F" w:rsidP="005D523F">
      <w:pPr>
        <w:jc w:val="both"/>
        <w:rPr>
          <w:rFonts w:ascii="Verdana" w:hAnsi="Verdana"/>
        </w:rPr>
      </w:pPr>
      <w:r w:rsidRPr="005D523F">
        <w:rPr>
          <w:rFonts w:ascii="Verdana" w:hAnsi="Verdana"/>
          <w:b/>
          <w:bCs/>
        </w:rPr>
        <w:lastRenderedPageBreak/>
        <w:t>ARTÍCULO 1o: MODIFICAR</w:t>
      </w:r>
      <w:r w:rsidRPr="005D523F">
        <w:rPr>
          <w:rFonts w:ascii="Verdana" w:hAnsi="Verdana"/>
        </w:rPr>
        <w:t xml:space="preserve"> parcialmente el artículo 1 de la Resolución 4708 del 7 de octubre de 2024, en el sentido de corregir el rubro presupuestal de la ficha del lineamiento de programación FICHA-F-02 ADQUISICION DE BIENES Y SERVICIOS que compone los Lineamientos de Programación y Ejecución de Metas Sociales y Financieras adoptados para la vigencia 2024</w:t>
      </w:r>
    </w:p>
    <w:p w14:paraId="416907F7" w14:textId="6FFE19F1" w:rsidR="003A08EB" w:rsidRDefault="005D523F" w:rsidP="005D523F">
      <w:pPr>
        <w:jc w:val="both"/>
        <w:rPr>
          <w:rFonts w:ascii="Verdana" w:hAnsi="Verdana"/>
        </w:rPr>
      </w:pPr>
      <w:r w:rsidRPr="005D523F">
        <w:rPr>
          <w:rFonts w:ascii="Verdana" w:hAnsi="Verdana"/>
        </w:rPr>
        <w:t>Conforme con lo expuesto en la parte considerada, se corrige el concepto del Rubro Presupuestal de la ficha FICHA-F-02 ADQUISICIÓN DE BIENES Y SERVICIOS la cual quedará así:</w:t>
      </w:r>
    </w:p>
    <w:tbl>
      <w:tblPr>
        <w:tblStyle w:val="Tablaconcuadrcula"/>
        <w:tblW w:w="8480" w:type="dxa"/>
        <w:tblLook w:val="04A0" w:firstRow="1" w:lastRow="0" w:firstColumn="1" w:lastColumn="0" w:noHBand="0" w:noVBand="1"/>
      </w:tblPr>
      <w:tblGrid>
        <w:gridCol w:w="1171"/>
        <w:gridCol w:w="2083"/>
        <w:gridCol w:w="3636"/>
        <w:gridCol w:w="1590"/>
      </w:tblGrid>
      <w:tr w:rsidR="005D523F" w:rsidRPr="005D523F" w14:paraId="052435CA" w14:textId="77777777" w:rsidTr="005D523F">
        <w:trPr>
          <w:trHeight w:val="864"/>
        </w:trPr>
        <w:tc>
          <w:tcPr>
            <w:tcW w:w="1171" w:type="dxa"/>
            <w:hideMark/>
          </w:tcPr>
          <w:p w14:paraId="42FBB8ED" w14:textId="77777777" w:rsidR="005D523F" w:rsidRPr="005D523F" w:rsidRDefault="005D523F" w:rsidP="005D523F">
            <w:pPr>
              <w:jc w:val="center"/>
              <w:rPr>
                <w:rFonts w:ascii="Calibri" w:eastAsia="Times New Roman" w:hAnsi="Calibri" w:cs="Calibri"/>
                <w:color w:val="000000"/>
                <w:lang w:eastAsia="es-CO"/>
              </w:rPr>
            </w:pPr>
            <w:r w:rsidRPr="005D523F">
              <w:rPr>
                <w:rFonts w:ascii="Calibri" w:eastAsia="Times New Roman" w:hAnsi="Calibri" w:cs="Calibri"/>
                <w:color w:val="000000"/>
                <w:lang w:eastAsia="es-CO"/>
              </w:rPr>
              <w:t>No.</w:t>
            </w:r>
          </w:p>
        </w:tc>
        <w:tc>
          <w:tcPr>
            <w:tcW w:w="2083" w:type="dxa"/>
            <w:hideMark/>
          </w:tcPr>
          <w:p w14:paraId="4DF222E8" w14:textId="77777777" w:rsidR="005D523F" w:rsidRPr="005D523F" w:rsidRDefault="005D523F" w:rsidP="005D523F">
            <w:pPr>
              <w:jc w:val="center"/>
              <w:rPr>
                <w:rFonts w:ascii="Calibri" w:eastAsia="Times New Roman" w:hAnsi="Calibri" w:cs="Calibri"/>
                <w:color w:val="000000"/>
                <w:lang w:eastAsia="es-CO"/>
              </w:rPr>
            </w:pPr>
            <w:r w:rsidRPr="005D523F">
              <w:rPr>
                <w:rFonts w:ascii="Calibri" w:eastAsia="Times New Roman" w:hAnsi="Calibri" w:cs="Calibri"/>
                <w:color w:val="000000"/>
                <w:lang w:eastAsia="es-CO"/>
              </w:rPr>
              <w:t>FICHA DE LINEAMIENTOS</w:t>
            </w:r>
          </w:p>
        </w:tc>
        <w:tc>
          <w:tcPr>
            <w:tcW w:w="3636" w:type="dxa"/>
            <w:hideMark/>
          </w:tcPr>
          <w:p w14:paraId="5D31EAB5" w14:textId="77777777" w:rsidR="005D523F" w:rsidRPr="005D523F" w:rsidRDefault="005D523F" w:rsidP="005D523F">
            <w:pPr>
              <w:jc w:val="center"/>
              <w:rPr>
                <w:rFonts w:ascii="Calibri" w:eastAsia="Times New Roman" w:hAnsi="Calibri" w:cs="Calibri"/>
                <w:color w:val="000000"/>
                <w:lang w:eastAsia="es-CO"/>
              </w:rPr>
            </w:pPr>
            <w:r w:rsidRPr="005D523F">
              <w:rPr>
                <w:rFonts w:ascii="Calibri" w:eastAsia="Times New Roman" w:hAnsi="Calibri" w:cs="Calibri"/>
                <w:color w:val="000000"/>
                <w:lang w:eastAsia="es-CO"/>
              </w:rPr>
              <w:t>DESCRIPCIÓN</w:t>
            </w:r>
          </w:p>
        </w:tc>
        <w:tc>
          <w:tcPr>
            <w:tcW w:w="1590" w:type="dxa"/>
            <w:hideMark/>
          </w:tcPr>
          <w:p w14:paraId="5F060615" w14:textId="77777777" w:rsidR="005D523F" w:rsidRPr="005D523F" w:rsidRDefault="005D523F" w:rsidP="005D523F">
            <w:pPr>
              <w:jc w:val="center"/>
              <w:rPr>
                <w:rFonts w:ascii="Calibri" w:eastAsia="Times New Roman" w:hAnsi="Calibri" w:cs="Calibri"/>
                <w:color w:val="000000"/>
                <w:lang w:eastAsia="es-CO"/>
              </w:rPr>
            </w:pPr>
            <w:r w:rsidRPr="005D523F">
              <w:rPr>
                <w:rFonts w:ascii="Calibri" w:eastAsia="Times New Roman" w:hAnsi="Calibri" w:cs="Calibri"/>
                <w:color w:val="000000"/>
                <w:lang w:eastAsia="es-CO"/>
              </w:rPr>
              <w:t xml:space="preserve">RUBRO PRESUPUESTAL </w:t>
            </w:r>
          </w:p>
        </w:tc>
      </w:tr>
      <w:tr w:rsidR="005D523F" w:rsidRPr="005D523F" w14:paraId="75252FB6" w14:textId="77777777" w:rsidTr="005D523F">
        <w:trPr>
          <w:trHeight w:val="1152"/>
        </w:trPr>
        <w:tc>
          <w:tcPr>
            <w:tcW w:w="1171" w:type="dxa"/>
            <w:hideMark/>
          </w:tcPr>
          <w:p w14:paraId="593037E9" w14:textId="77777777" w:rsidR="005D523F" w:rsidRPr="005D523F" w:rsidRDefault="005D523F" w:rsidP="005D523F">
            <w:pPr>
              <w:jc w:val="center"/>
              <w:rPr>
                <w:rFonts w:ascii="Calibri" w:eastAsia="Times New Roman" w:hAnsi="Calibri" w:cs="Calibri"/>
                <w:color w:val="000000"/>
                <w:lang w:eastAsia="es-CO"/>
              </w:rPr>
            </w:pPr>
            <w:r w:rsidRPr="005D523F">
              <w:rPr>
                <w:rFonts w:ascii="Calibri" w:eastAsia="Times New Roman" w:hAnsi="Calibri" w:cs="Calibri"/>
                <w:color w:val="000000"/>
                <w:lang w:eastAsia="es-CO"/>
              </w:rPr>
              <w:t>1.</w:t>
            </w:r>
          </w:p>
        </w:tc>
        <w:tc>
          <w:tcPr>
            <w:tcW w:w="2083" w:type="dxa"/>
            <w:vMerge w:val="restart"/>
            <w:hideMark/>
          </w:tcPr>
          <w:p w14:paraId="29DDC1F5" w14:textId="77777777" w:rsidR="005D523F" w:rsidRPr="005D523F" w:rsidRDefault="005D523F" w:rsidP="005D523F">
            <w:pPr>
              <w:jc w:val="center"/>
              <w:rPr>
                <w:rFonts w:ascii="Calibri" w:eastAsia="Times New Roman" w:hAnsi="Calibri" w:cs="Calibri"/>
                <w:color w:val="000000"/>
                <w:lang w:eastAsia="es-CO"/>
              </w:rPr>
            </w:pPr>
            <w:r w:rsidRPr="005D523F">
              <w:rPr>
                <w:rFonts w:ascii="Calibri" w:eastAsia="Times New Roman" w:hAnsi="Calibri" w:cs="Calibri"/>
                <w:color w:val="000000"/>
                <w:lang w:eastAsia="es-CO"/>
              </w:rPr>
              <w:t>FICHA F-02</w:t>
            </w:r>
          </w:p>
        </w:tc>
        <w:tc>
          <w:tcPr>
            <w:tcW w:w="3636" w:type="dxa"/>
            <w:vMerge w:val="restart"/>
            <w:hideMark/>
          </w:tcPr>
          <w:p w14:paraId="3B66A574" w14:textId="77777777" w:rsidR="005D523F" w:rsidRPr="005D523F" w:rsidRDefault="005D523F" w:rsidP="005D523F">
            <w:pPr>
              <w:jc w:val="center"/>
              <w:rPr>
                <w:rFonts w:ascii="Calibri" w:eastAsia="Times New Roman" w:hAnsi="Calibri" w:cs="Calibri"/>
                <w:color w:val="000000"/>
                <w:lang w:eastAsia="es-CO"/>
              </w:rPr>
            </w:pPr>
            <w:r w:rsidRPr="005D523F">
              <w:rPr>
                <w:rFonts w:ascii="Calibri" w:eastAsia="Times New Roman" w:hAnsi="Calibri" w:cs="Calibri"/>
                <w:color w:val="000000"/>
                <w:lang w:eastAsia="es-CO"/>
              </w:rPr>
              <w:t xml:space="preserve">ADQUISICIÓN DE BIENES Y SERVICIÓS </w:t>
            </w:r>
          </w:p>
        </w:tc>
        <w:tc>
          <w:tcPr>
            <w:tcW w:w="1590" w:type="dxa"/>
            <w:hideMark/>
          </w:tcPr>
          <w:p w14:paraId="6BE6179F" w14:textId="77777777" w:rsidR="005D523F" w:rsidRPr="005D523F" w:rsidRDefault="005D523F" w:rsidP="005D523F">
            <w:pPr>
              <w:jc w:val="center"/>
              <w:rPr>
                <w:rFonts w:ascii="Calibri" w:eastAsia="Times New Roman" w:hAnsi="Calibri" w:cs="Calibri"/>
                <w:color w:val="000000"/>
                <w:lang w:eastAsia="es-CO"/>
              </w:rPr>
            </w:pPr>
            <w:r w:rsidRPr="005D523F">
              <w:rPr>
                <w:rFonts w:ascii="Calibri" w:eastAsia="Times New Roman" w:hAnsi="Calibri" w:cs="Calibri"/>
                <w:color w:val="000000"/>
                <w:lang w:eastAsia="es-CO"/>
              </w:rPr>
              <w:t>A-02-02-02-008-003-302 A-02-02-02-008-003-303</w:t>
            </w:r>
          </w:p>
        </w:tc>
      </w:tr>
      <w:tr w:rsidR="005D523F" w:rsidRPr="005D523F" w14:paraId="20139850" w14:textId="77777777" w:rsidTr="005D523F">
        <w:trPr>
          <w:trHeight w:val="576"/>
        </w:trPr>
        <w:tc>
          <w:tcPr>
            <w:tcW w:w="1171" w:type="dxa"/>
            <w:hideMark/>
          </w:tcPr>
          <w:p w14:paraId="2EA44A2F" w14:textId="77777777" w:rsidR="005D523F" w:rsidRPr="005D523F" w:rsidRDefault="005D523F" w:rsidP="005D523F">
            <w:pPr>
              <w:jc w:val="center"/>
              <w:rPr>
                <w:rFonts w:ascii="Calibri" w:eastAsia="Times New Roman" w:hAnsi="Calibri" w:cs="Calibri"/>
                <w:color w:val="000000"/>
                <w:lang w:eastAsia="es-CO"/>
              </w:rPr>
            </w:pPr>
            <w:r w:rsidRPr="005D523F">
              <w:rPr>
                <w:rFonts w:ascii="Calibri" w:eastAsia="Times New Roman" w:hAnsi="Calibri" w:cs="Calibri"/>
                <w:color w:val="000000"/>
                <w:lang w:eastAsia="es-CO"/>
              </w:rPr>
              <w:t>2.</w:t>
            </w:r>
          </w:p>
        </w:tc>
        <w:tc>
          <w:tcPr>
            <w:tcW w:w="2083" w:type="dxa"/>
            <w:vMerge/>
            <w:hideMark/>
          </w:tcPr>
          <w:p w14:paraId="6FBECAA8" w14:textId="77777777" w:rsidR="005D523F" w:rsidRPr="005D523F" w:rsidRDefault="005D523F" w:rsidP="005D523F">
            <w:pPr>
              <w:rPr>
                <w:rFonts w:ascii="Calibri" w:eastAsia="Times New Roman" w:hAnsi="Calibri" w:cs="Calibri"/>
                <w:color w:val="000000"/>
                <w:lang w:eastAsia="es-CO"/>
              </w:rPr>
            </w:pPr>
          </w:p>
        </w:tc>
        <w:tc>
          <w:tcPr>
            <w:tcW w:w="3636" w:type="dxa"/>
            <w:vMerge/>
            <w:hideMark/>
          </w:tcPr>
          <w:p w14:paraId="05718A38" w14:textId="77777777" w:rsidR="005D523F" w:rsidRPr="005D523F" w:rsidRDefault="005D523F" w:rsidP="005D523F">
            <w:pPr>
              <w:rPr>
                <w:rFonts w:ascii="Calibri" w:eastAsia="Times New Roman" w:hAnsi="Calibri" w:cs="Calibri"/>
                <w:color w:val="000000"/>
                <w:lang w:eastAsia="es-CO"/>
              </w:rPr>
            </w:pPr>
          </w:p>
        </w:tc>
        <w:tc>
          <w:tcPr>
            <w:tcW w:w="1590" w:type="dxa"/>
            <w:hideMark/>
          </w:tcPr>
          <w:p w14:paraId="6FD02B22" w14:textId="77777777" w:rsidR="005D523F" w:rsidRPr="005D523F" w:rsidRDefault="005D523F" w:rsidP="005D523F">
            <w:pPr>
              <w:jc w:val="center"/>
              <w:rPr>
                <w:rFonts w:ascii="Calibri" w:eastAsia="Times New Roman" w:hAnsi="Calibri" w:cs="Calibri"/>
                <w:color w:val="000000"/>
                <w:lang w:eastAsia="es-CO"/>
              </w:rPr>
            </w:pPr>
            <w:r w:rsidRPr="005D523F">
              <w:rPr>
                <w:rFonts w:ascii="Calibri" w:eastAsia="Times New Roman" w:hAnsi="Calibri" w:cs="Calibri"/>
                <w:color w:val="000000"/>
                <w:lang w:eastAsia="es-CO"/>
              </w:rPr>
              <w:t>A-02-02-02-008-003-301</w:t>
            </w:r>
          </w:p>
        </w:tc>
      </w:tr>
    </w:tbl>
    <w:p w14:paraId="02362BA4" w14:textId="2CC1448F" w:rsidR="005D523F" w:rsidRDefault="005D523F" w:rsidP="005D523F">
      <w:pPr>
        <w:jc w:val="both"/>
        <w:rPr>
          <w:rFonts w:ascii="Verdana" w:hAnsi="Verdana"/>
          <w:sz w:val="14"/>
          <w:szCs w:val="14"/>
        </w:rPr>
      </w:pPr>
      <w:r w:rsidRPr="005D523F">
        <w:rPr>
          <w:rFonts w:ascii="Verdana" w:hAnsi="Verdana"/>
          <w:sz w:val="14"/>
          <w:szCs w:val="14"/>
        </w:rPr>
        <w:t>Fuente: Elaboración propia Dirección de Planeación y Control de Gestión Subdirección de Programación.</w:t>
      </w:r>
    </w:p>
    <w:p w14:paraId="52EF7A2B" w14:textId="2F1A1AD8" w:rsidR="005D523F" w:rsidRPr="005D523F" w:rsidRDefault="005D523F" w:rsidP="005D523F">
      <w:pPr>
        <w:jc w:val="both"/>
        <w:rPr>
          <w:rFonts w:ascii="Verdana" w:hAnsi="Verdana"/>
        </w:rPr>
      </w:pPr>
      <w:r w:rsidRPr="005D523F">
        <w:rPr>
          <w:rFonts w:ascii="Verdana" w:hAnsi="Verdana"/>
          <w:b/>
          <w:bCs/>
        </w:rPr>
        <w:t>ARTÍCULO 2o: VIGENCIAS.</w:t>
      </w:r>
      <w:r w:rsidRPr="005D523F">
        <w:rPr>
          <w:rFonts w:ascii="Verdana" w:hAnsi="Verdana"/>
        </w:rPr>
        <w:t xml:space="preserve"> La presente Resolución rige a partir de la fecha de su expedición. Las demás disposiciones contenidas en la Resolución 4708 de 2024 que no fueron objeto de la presente modificación, permanecen incólumes.</w:t>
      </w:r>
    </w:p>
    <w:p w14:paraId="52B821B9" w14:textId="15C2D320" w:rsidR="005D523F" w:rsidRPr="005D523F" w:rsidRDefault="005D523F" w:rsidP="005D523F">
      <w:pPr>
        <w:jc w:val="center"/>
        <w:rPr>
          <w:rFonts w:ascii="Verdana" w:hAnsi="Verdana"/>
          <w:b/>
          <w:bCs/>
        </w:rPr>
      </w:pPr>
      <w:r w:rsidRPr="005D523F">
        <w:rPr>
          <w:rFonts w:ascii="Verdana" w:hAnsi="Verdana"/>
          <w:b/>
          <w:bCs/>
        </w:rPr>
        <w:t>COMUNÍQUESE Y COMPLACE</w:t>
      </w:r>
    </w:p>
    <w:p w14:paraId="0D6FE3D1" w14:textId="6E2A41E6" w:rsidR="005D523F" w:rsidRDefault="005D523F" w:rsidP="005D523F">
      <w:pPr>
        <w:jc w:val="center"/>
        <w:rPr>
          <w:rFonts w:ascii="Verdana" w:hAnsi="Verdana"/>
        </w:rPr>
      </w:pPr>
      <w:r w:rsidRPr="005D523F">
        <w:rPr>
          <w:rFonts w:ascii="Verdana" w:hAnsi="Verdana"/>
        </w:rPr>
        <w:t>DADA EN BOGOTÁ D.C., A LOS 18 DÍAS DEL MES DE OCTUBRE DE 2024</w:t>
      </w:r>
    </w:p>
    <w:p w14:paraId="662EF523" w14:textId="4C9A5122" w:rsidR="005D523F" w:rsidRDefault="005D523F" w:rsidP="005D523F">
      <w:pPr>
        <w:jc w:val="center"/>
        <w:rPr>
          <w:rFonts w:ascii="Verdana" w:hAnsi="Verdana"/>
          <w:b/>
          <w:bCs/>
        </w:rPr>
      </w:pPr>
      <w:r w:rsidRPr="005D523F">
        <w:rPr>
          <w:rFonts w:ascii="Verdana" w:hAnsi="Verdana"/>
          <w:b/>
          <w:bCs/>
        </w:rPr>
        <w:t>ASTRID ELIANA CÁCERES CARDENAS</w:t>
      </w:r>
    </w:p>
    <w:p w14:paraId="57277239" w14:textId="0014E76D" w:rsidR="005D523F" w:rsidRPr="005D523F" w:rsidRDefault="005D523F" w:rsidP="005D523F">
      <w:pPr>
        <w:jc w:val="center"/>
        <w:rPr>
          <w:rFonts w:ascii="Verdana" w:hAnsi="Verdana"/>
        </w:rPr>
      </w:pPr>
      <w:r w:rsidRPr="005D523F">
        <w:rPr>
          <w:rFonts w:ascii="Verdana" w:hAnsi="Verdana"/>
        </w:rPr>
        <w:t xml:space="preserve">DIRECTORA GENERAL </w:t>
      </w:r>
    </w:p>
    <w:sectPr w:rsidR="005D523F" w:rsidRPr="005D52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B0"/>
    <w:rsid w:val="000B4793"/>
    <w:rsid w:val="003A08EB"/>
    <w:rsid w:val="00482961"/>
    <w:rsid w:val="005D523F"/>
    <w:rsid w:val="009B1957"/>
    <w:rsid w:val="00B00EB0"/>
    <w:rsid w:val="00FC27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452C"/>
  <w15:chartTrackingRefBased/>
  <w15:docId w15:val="{C8675209-3D33-4CE0-B5AE-0B5304A0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A0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942462">
      <w:bodyDiv w:val="1"/>
      <w:marLeft w:val="0"/>
      <w:marRight w:val="0"/>
      <w:marTop w:val="0"/>
      <w:marBottom w:val="0"/>
      <w:divBdr>
        <w:top w:val="none" w:sz="0" w:space="0" w:color="auto"/>
        <w:left w:val="none" w:sz="0" w:space="0" w:color="auto"/>
        <w:bottom w:val="none" w:sz="0" w:space="0" w:color="auto"/>
        <w:right w:val="none" w:sz="0" w:space="0" w:color="auto"/>
      </w:divBdr>
    </w:div>
    <w:div w:id="16397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6BE5B-3CA4-4C2C-B6E5-4C5839401D73}"/>
</file>

<file path=customXml/itemProps2.xml><?xml version="1.0" encoding="utf-8"?>
<ds:datastoreItem xmlns:ds="http://schemas.openxmlformats.org/officeDocument/2006/customXml" ds:itemID="{A5ADC0B1-CE6E-4EA6-86C7-94AFA940734C}"/>
</file>

<file path=customXml/itemProps3.xml><?xml version="1.0" encoding="utf-8"?>
<ds:datastoreItem xmlns:ds="http://schemas.openxmlformats.org/officeDocument/2006/customXml" ds:itemID="{CB98E218-505B-4591-B1E2-D5DC4FE42433}"/>
</file>

<file path=docProps/app.xml><?xml version="1.0" encoding="utf-8"?>
<Properties xmlns="http://schemas.openxmlformats.org/officeDocument/2006/extended-properties" xmlns:vt="http://schemas.openxmlformats.org/officeDocument/2006/docPropsVTypes">
  <Template>Normal</Template>
  <TotalTime>16</TotalTime>
  <Pages>1</Pages>
  <Words>894</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2026-03-17T16:13:00Z</dcterms:created>
  <dcterms:modified xsi:type="dcterms:W3CDTF">2026-03-20T20:53:00Z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