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2920" w14:textId="17928D41" w:rsidR="0001279C" w:rsidRPr="0001279C" w:rsidRDefault="0001279C" w:rsidP="0001279C">
      <w:pPr>
        <w:jc w:val="center"/>
        <w:rPr>
          <w:rFonts w:ascii="Verdana" w:hAnsi="Verdana"/>
          <w:b/>
          <w:bCs/>
        </w:rPr>
      </w:pPr>
      <w:r w:rsidRPr="0001279C">
        <w:rPr>
          <w:rFonts w:ascii="Verdana" w:hAnsi="Verdana"/>
          <w:b/>
          <w:bCs/>
        </w:rPr>
        <w:t>RESOLUCIÓN 4800 DE 2016</w:t>
      </w:r>
    </w:p>
    <w:p w14:paraId="391CBB0A" w14:textId="58D65ECE" w:rsidR="0001279C" w:rsidRPr="0001279C" w:rsidRDefault="0001279C" w:rsidP="0001279C">
      <w:pPr>
        <w:rPr>
          <w:rFonts w:ascii="Verdana" w:hAnsi="Verdana"/>
          <w:sz w:val="20"/>
          <w:szCs w:val="20"/>
        </w:rPr>
      </w:pPr>
      <w:r w:rsidRPr="0001279C">
        <w:rPr>
          <w:rFonts w:ascii="Verdana" w:hAnsi="Verdana"/>
          <w:sz w:val="20"/>
          <w:szCs w:val="20"/>
        </w:rPr>
        <w:t xml:space="preserve">Fecha de Expedición: </w:t>
      </w:r>
      <w:r>
        <w:rPr>
          <w:rFonts w:ascii="Verdana" w:hAnsi="Verdana"/>
          <w:sz w:val="20"/>
          <w:szCs w:val="20"/>
        </w:rPr>
        <w:t>27</w:t>
      </w:r>
      <w:r w:rsidRPr="0001279C">
        <w:rPr>
          <w:rFonts w:ascii="Verdana" w:hAnsi="Verdana"/>
          <w:sz w:val="20"/>
          <w:szCs w:val="20"/>
        </w:rPr>
        <w:t xml:space="preserve"> de mayo de 2016</w:t>
      </w:r>
    </w:p>
    <w:p w14:paraId="1E40470D" w14:textId="5DD85749" w:rsidR="0001279C" w:rsidRPr="0001279C" w:rsidRDefault="0001279C" w:rsidP="0001279C">
      <w:pPr>
        <w:rPr>
          <w:rFonts w:ascii="Verdana" w:hAnsi="Verdana"/>
          <w:sz w:val="20"/>
          <w:szCs w:val="20"/>
        </w:rPr>
      </w:pPr>
      <w:r w:rsidRPr="0001279C">
        <w:rPr>
          <w:rFonts w:ascii="Verdana" w:hAnsi="Verdana"/>
          <w:sz w:val="20"/>
          <w:szCs w:val="20"/>
        </w:rPr>
        <w:t xml:space="preserve">Fecha de entrada en vigencia: </w:t>
      </w:r>
      <w:r>
        <w:rPr>
          <w:rFonts w:ascii="Verdana" w:hAnsi="Verdana"/>
          <w:sz w:val="20"/>
          <w:szCs w:val="20"/>
        </w:rPr>
        <w:t xml:space="preserve">27 </w:t>
      </w:r>
      <w:r w:rsidRPr="0001279C">
        <w:rPr>
          <w:rFonts w:ascii="Verdana" w:hAnsi="Verdana"/>
          <w:sz w:val="20"/>
          <w:szCs w:val="20"/>
        </w:rPr>
        <w:t>de mayo de 2016</w:t>
      </w:r>
    </w:p>
    <w:p w14:paraId="22F27E17" w14:textId="77777777" w:rsidR="0001279C" w:rsidRPr="0001279C" w:rsidRDefault="0001279C" w:rsidP="0001279C">
      <w:pPr>
        <w:rPr>
          <w:rFonts w:ascii="Verdana" w:hAnsi="Verdana"/>
          <w:sz w:val="20"/>
          <w:szCs w:val="20"/>
        </w:rPr>
      </w:pPr>
      <w:r w:rsidRPr="0001279C">
        <w:rPr>
          <w:rFonts w:ascii="Verdana" w:hAnsi="Verdana"/>
          <w:sz w:val="20"/>
          <w:szCs w:val="20"/>
        </w:rPr>
        <w:t xml:space="preserve">Estado de la vigencia: vigente </w:t>
      </w:r>
    </w:p>
    <w:p w14:paraId="4BDBECF4" w14:textId="77777777" w:rsidR="0001279C" w:rsidRPr="0001279C" w:rsidRDefault="0001279C" w:rsidP="0001279C">
      <w:pPr>
        <w:rPr>
          <w:rFonts w:ascii="Verdana" w:hAnsi="Verdana"/>
          <w:sz w:val="20"/>
          <w:szCs w:val="20"/>
        </w:rPr>
      </w:pPr>
      <w:r w:rsidRPr="0001279C">
        <w:rPr>
          <w:rFonts w:ascii="Verdana" w:hAnsi="Verdana"/>
          <w:sz w:val="20"/>
          <w:szCs w:val="20"/>
        </w:rPr>
        <w:t xml:space="preserve"> </w:t>
      </w:r>
    </w:p>
    <w:p w14:paraId="4F1E3A1C" w14:textId="77777777" w:rsidR="0001279C" w:rsidRPr="0001279C" w:rsidRDefault="0001279C" w:rsidP="0001279C">
      <w:pPr>
        <w:rPr>
          <w:rFonts w:ascii="Verdana" w:hAnsi="Verdana"/>
          <w:sz w:val="20"/>
          <w:szCs w:val="20"/>
        </w:rPr>
      </w:pPr>
      <w:r w:rsidRPr="0001279C">
        <w:rPr>
          <w:rFonts w:ascii="Verdana" w:hAnsi="Verdana"/>
          <w:sz w:val="20"/>
          <w:szCs w:val="20"/>
        </w:rPr>
        <w:t>Fecha de publicación en Diario Oficial: N/A</w:t>
      </w:r>
    </w:p>
    <w:p w14:paraId="56B931F3" w14:textId="6C41C104" w:rsidR="000B4793" w:rsidRDefault="0001279C" w:rsidP="0001279C">
      <w:pPr>
        <w:rPr>
          <w:rFonts w:ascii="Verdana" w:hAnsi="Verdana"/>
          <w:sz w:val="20"/>
          <w:szCs w:val="20"/>
        </w:rPr>
      </w:pPr>
      <w:r w:rsidRPr="0001279C">
        <w:rPr>
          <w:rFonts w:ascii="Verdana" w:hAnsi="Verdana"/>
          <w:sz w:val="20"/>
          <w:szCs w:val="20"/>
        </w:rPr>
        <w:t>Número del Diario Oficial: N/A</w:t>
      </w:r>
    </w:p>
    <w:p w14:paraId="09337B8F" w14:textId="0DE8FEEB" w:rsidR="0001279C" w:rsidRPr="0001279C" w:rsidRDefault="0001279C" w:rsidP="0001279C">
      <w:pPr>
        <w:jc w:val="center"/>
        <w:rPr>
          <w:rFonts w:ascii="Verdana" w:hAnsi="Verdana"/>
          <w:b/>
          <w:bCs/>
        </w:rPr>
      </w:pPr>
      <w:r w:rsidRPr="0001279C">
        <w:rPr>
          <w:rFonts w:ascii="Verdana" w:hAnsi="Verdana"/>
          <w:b/>
          <w:bCs/>
        </w:rPr>
        <w:t>RESOLUCIÓN 4800 DE 2016</w:t>
      </w:r>
    </w:p>
    <w:p w14:paraId="31C9A35B" w14:textId="62075DA4" w:rsidR="0001279C" w:rsidRPr="0001279C" w:rsidRDefault="0001279C" w:rsidP="0001279C">
      <w:pPr>
        <w:jc w:val="center"/>
        <w:rPr>
          <w:rFonts w:ascii="Verdana" w:hAnsi="Verdana"/>
        </w:rPr>
      </w:pPr>
      <w:r w:rsidRPr="0001279C">
        <w:rPr>
          <w:rFonts w:ascii="Verdana" w:hAnsi="Verdana"/>
        </w:rPr>
        <w:t>(</w:t>
      </w:r>
      <w:r>
        <w:rPr>
          <w:rFonts w:ascii="Verdana" w:hAnsi="Verdana"/>
        </w:rPr>
        <w:t xml:space="preserve">27 de </w:t>
      </w:r>
      <w:r w:rsidRPr="0001279C">
        <w:rPr>
          <w:rFonts w:ascii="Verdana" w:hAnsi="Verdana"/>
        </w:rPr>
        <w:t>mayo)</w:t>
      </w:r>
    </w:p>
    <w:p w14:paraId="74206D40" w14:textId="4FA0439B" w:rsidR="0001279C" w:rsidRPr="0001279C" w:rsidRDefault="0001279C" w:rsidP="0001279C">
      <w:pPr>
        <w:jc w:val="center"/>
        <w:rPr>
          <w:rFonts w:ascii="Verdana" w:hAnsi="Verdana"/>
          <w:b/>
          <w:bCs/>
        </w:rPr>
      </w:pPr>
      <w:r w:rsidRPr="0001279C">
        <w:rPr>
          <w:rFonts w:ascii="Verdana" w:hAnsi="Verdana"/>
          <w:b/>
          <w:bCs/>
        </w:rPr>
        <w:t>INSTITUTO COLOMBIANO DE BIENESTAR FAMILIAR</w:t>
      </w:r>
    </w:p>
    <w:p w14:paraId="3AE5A3C2" w14:textId="3179D9FF" w:rsidR="0001279C" w:rsidRPr="0001279C" w:rsidRDefault="0001279C" w:rsidP="0001279C">
      <w:pPr>
        <w:jc w:val="center"/>
        <w:rPr>
          <w:rFonts w:ascii="Verdana" w:hAnsi="Verdana"/>
        </w:rPr>
      </w:pPr>
      <w:r>
        <w:rPr>
          <w:rFonts w:ascii="Verdana" w:hAnsi="Verdana"/>
        </w:rPr>
        <w:t>“</w:t>
      </w:r>
      <w:r w:rsidRPr="0001279C">
        <w:rPr>
          <w:rFonts w:ascii="Verdana" w:hAnsi="Verdana"/>
        </w:rPr>
        <w:t>Por la cual se adiciona la Resolución 7707 de 2014 que establece el Manual de Funciones y de Competencias Laborales para la planta de personal de carácter temporal del Instituto Colombiano de Bienestar Familiar “Cecilia De la Fuente de Lleras”</w:t>
      </w:r>
    </w:p>
    <w:p w14:paraId="143F6BC9" w14:textId="2AACE999" w:rsidR="0001279C" w:rsidRPr="0001279C" w:rsidRDefault="0001279C" w:rsidP="0001279C">
      <w:pPr>
        <w:jc w:val="center"/>
        <w:rPr>
          <w:rFonts w:ascii="Verdana" w:hAnsi="Verdana"/>
          <w:b/>
          <w:bCs/>
        </w:rPr>
      </w:pPr>
      <w:r w:rsidRPr="0001279C">
        <w:rPr>
          <w:rFonts w:ascii="Verdana" w:hAnsi="Verdana"/>
          <w:b/>
          <w:bCs/>
        </w:rPr>
        <w:t>LA DIRECTORA GENERAL DEL INSTITUTO COLOMBIANO DE BIENESTAR FAMILIAR CECILIA DE LA FUENTE DE LLERAS</w:t>
      </w:r>
    </w:p>
    <w:p w14:paraId="63677281" w14:textId="468A63E1" w:rsidR="0001279C" w:rsidRPr="0001279C" w:rsidRDefault="0001279C" w:rsidP="0001279C">
      <w:pPr>
        <w:jc w:val="center"/>
        <w:rPr>
          <w:rFonts w:ascii="Verdana" w:hAnsi="Verdana"/>
        </w:rPr>
      </w:pPr>
      <w:r w:rsidRPr="0001279C">
        <w:rPr>
          <w:rFonts w:ascii="Verdana" w:hAnsi="Verdana"/>
        </w:rPr>
        <w:t>En uso de las facultades constitucionales y legales, en especial las conferidas por el artículo 78 de la Ley 489 de 1998, el artículo 2.2.2.6.1 del Decreto 1083 de 2015 y</w:t>
      </w:r>
    </w:p>
    <w:p w14:paraId="36C41AEA" w14:textId="46268BA6" w:rsidR="0001279C" w:rsidRPr="0001279C" w:rsidRDefault="0001279C" w:rsidP="0001279C">
      <w:pPr>
        <w:jc w:val="center"/>
        <w:rPr>
          <w:rFonts w:ascii="Verdana" w:hAnsi="Verdana"/>
          <w:b/>
          <w:bCs/>
        </w:rPr>
      </w:pPr>
      <w:r w:rsidRPr="0001279C">
        <w:rPr>
          <w:rFonts w:ascii="Verdana" w:hAnsi="Verdana"/>
          <w:b/>
          <w:bCs/>
        </w:rPr>
        <w:t>CONSIDERANDO:</w:t>
      </w:r>
    </w:p>
    <w:p w14:paraId="46C093E4" w14:textId="4F99844E" w:rsidR="0001279C" w:rsidRPr="0001279C" w:rsidRDefault="0001279C" w:rsidP="0001279C">
      <w:pPr>
        <w:jc w:val="both"/>
        <w:rPr>
          <w:rFonts w:ascii="Verdana" w:hAnsi="Verdana"/>
        </w:rPr>
      </w:pPr>
      <w:r w:rsidRPr="0001279C">
        <w:rPr>
          <w:rFonts w:ascii="Verdana" w:hAnsi="Verdana"/>
        </w:rPr>
        <w:t>Que mediante Decreto 2717 del 26 de diciembre de 2014 se aprobó la creación de una planta de personal de carácter temporal en el Instituto Colombiano de Bienestar Familiar “Cecilia de la Fuente de Lleras”, compuesta por 2.000 empleos, la cual fue prorrogada hasta el 31 de diciembre de 2016, mediante Decreto 2539 del 29 de diciembre de 2015.</w:t>
      </w:r>
    </w:p>
    <w:p w14:paraId="31969E74" w14:textId="4F758DAF" w:rsidR="0001279C" w:rsidRDefault="0001279C" w:rsidP="0001279C">
      <w:pPr>
        <w:jc w:val="both"/>
        <w:rPr>
          <w:rFonts w:ascii="Verdana" w:hAnsi="Verdana"/>
        </w:rPr>
      </w:pPr>
      <w:r w:rsidRPr="0001279C">
        <w:rPr>
          <w:rFonts w:ascii="Verdana" w:hAnsi="Verdana"/>
        </w:rPr>
        <w:t>Que de los 260 empleos de la planta temporal que son financiados por el rubro de Asistencia para el Fortalecimiento del SNBF para la Prestación del Servicio Público de Bienestar Familiar, existen 172 empleos del nivel profesional, que se relacionan a continuación, que desarrollan las funciones siguiendo las directrices de la Dirección Financiera en temas propios de esa área, tanto en la Dirección General como en las Regionales del ICBF.</w:t>
      </w:r>
    </w:p>
    <w:tbl>
      <w:tblPr>
        <w:tblStyle w:val="Tablaconcuadrcula"/>
        <w:tblW w:w="5050" w:type="pct"/>
        <w:tblLook w:val="04A0" w:firstRow="1" w:lastRow="0" w:firstColumn="1" w:lastColumn="0" w:noHBand="0" w:noVBand="1"/>
      </w:tblPr>
      <w:tblGrid>
        <w:gridCol w:w="2346"/>
        <w:gridCol w:w="3506"/>
        <w:gridCol w:w="1868"/>
        <w:gridCol w:w="725"/>
        <w:gridCol w:w="471"/>
      </w:tblGrid>
      <w:tr w:rsidR="0001279C" w:rsidRPr="0001279C" w14:paraId="5ECA7A3C" w14:textId="77777777" w:rsidTr="0001279C">
        <w:tc>
          <w:tcPr>
            <w:tcW w:w="1600" w:type="pct"/>
            <w:hideMark/>
          </w:tcPr>
          <w:p w14:paraId="3450B798" w14:textId="77777777" w:rsidR="0001279C" w:rsidRPr="0001279C" w:rsidRDefault="0001279C" w:rsidP="0001279C">
            <w:pPr>
              <w:spacing w:after="160" w:line="259" w:lineRule="auto"/>
              <w:rPr>
                <w:rFonts w:ascii="Verdana" w:hAnsi="Verdana"/>
                <w:sz w:val="20"/>
                <w:szCs w:val="20"/>
              </w:rPr>
            </w:pPr>
            <w:r w:rsidRPr="0001279C">
              <w:rPr>
                <w:rFonts w:ascii="Verdana" w:hAnsi="Verdana"/>
                <w:b/>
                <w:bCs/>
                <w:sz w:val="20"/>
                <w:szCs w:val="20"/>
              </w:rPr>
              <w:t>NÚMERO DE CARGOS</w:t>
            </w:r>
          </w:p>
        </w:tc>
        <w:tc>
          <w:tcPr>
            <w:tcW w:w="2250" w:type="pct"/>
            <w:hideMark/>
          </w:tcPr>
          <w:p w14:paraId="17A01FE2" w14:textId="77777777" w:rsidR="0001279C" w:rsidRPr="0001279C" w:rsidRDefault="0001279C" w:rsidP="0001279C">
            <w:pPr>
              <w:spacing w:after="160" w:line="259" w:lineRule="auto"/>
              <w:rPr>
                <w:rFonts w:ascii="Verdana" w:hAnsi="Verdana"/>
                <w:sz w:val="20"/>
                <w:szCs w:val="20"/>
              </w:rPr>
            </w:pPr>
            <w:r w:rsidRPr="0001279C">
              <w:rPr>
                <w:rFonts w:ascii="Verdana" w:hAnsi="Verdana"/>
                <w:b/>
                <w:bCs/>
                <w:sz w:val="20"/>
                <w:szCs w:val="20"/>
              </w:rPr>
              <w:t>DENOMINACIÓN</w:t>
            </w:r>
          </w:p>
        </w:tc>
        <w:tc>
          <w:tcPr>
            <w:tcW w:w="600" w:type="pct"/>
            <w:hideMark/>
          </w:tcPr>
          <w:p w14:paraId="74F3D686" w14:textId="77777777" w:rsidR="0001279C" w:rsidRPr="0001279C" w:rsidRDefault="0001279C" w:rsidP="0001279C">
            <w:pPr>
              <w:spacing w:after="160" w:line="259" w:lineRule="auto"/>
              <w:rPr>
                <w:rFonts w:ascii="Verdana" w:hAnsi="Verdana"/>
                <w:sz w:val="20"/>
                <w:szCs w:val="20"/>
              </w:rPr>
            </w:pPr>
            <w:r w:rsidRPr="0001279C">
              <w:rPr>
                <w:rFonts w:ascii="Verdana" w:hAnsi="Verdana"/>
                <w:b/>
                <w:bCs/>
                <w:sz w:val="20"/>
                <w:szCs w:val="20"/>
              </w:rPr>
              <w:t>CÓDIGO</w:t>
            </w:r>
          </w:p>
        </w:tc>
        <w:tc>
          <w:tcPr>
            <w:tcW w:w="550" w:type="pct"/>
            <w:gridSpan w:val="2"/>
            <w:hideMark/>
          </w:tcPr>
          <w:p w14:paraId="4979C013" w14:textId="77777777" w:rsidR="0001279C" w:rsidRPr="0001279C" w:rsidRDefault="0001279C" w:rsidP="0001279C">
            <w:pPr>
              <w:spacing w:after="160" w:line="259" w:lineRule="auto"/>
              <w:rPr>
                <w:rFonts w:ascii="Verdana" w:hAnsi="Verdana"/>
                <w:sz w:val="20"/>
                <w:szCs w:val="20"/>
              </w:rPr>
            </w:pPr>
            <w:r w:rsidRPr="0001279C">
              <w:rPr>
                <w:rFonts w:ascii="Verdana" w:hAnsi="Verdana"/>
                <w:b/>
                <w:bCs/>
                <w:sz w:val="20"/>
                <w:szCs w:val="20"/>
              </w:rPr>
              <w:t>GRADO</w:t>
            </w:r>
          </w:p>
        </w:tc>
      </w:tr>
      <w:tr w:rsidR="0001279C" w:rsidRPr="0001279C" w14:paraId="03A3AC40" w14:textId="77777777" w:rsidTr="0001279C">
        <w:tc>
          <w:tcPr>
            <w:tcW w:w="550" w:type="pct"/>
            <w:hideMark/>
          </w:tcPr>
          <w:p w14:paraId="18C027C4"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12</w:t>
            </w:r>
          </w:p>
        </w:tc>
        <w:tc>
          <w:tcPr>
            <w:tcW w:w="1000" w:type="pct"/>
            <w:hideMark/>
          </w:tcPr>
          <w:p w14:paraId="1EC2471F"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DOCE</w:t>
            </w:r>
          </w:p>
        </w:tc>
        <w:tc>
          <w:tcPr>
            <w:tcW w:w="2250" w:type="pct"/>
            <w:hideMark/>
          </w:tcPr>
          <w:p w14:paraId="1E2F3D97"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PROFESIONAL ESPECIALIZADO</w:t>
            </w:r>
          </w:p>
        </w:tc>
        <w:tc>
          <w:tcPr>
            <w:tcW w:w="600" w:type="pct"/>
            <w:hideMark/>
          </w:tcPr>
          <w:p w14:paraId="155A8EB8"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2028</w:t>
            </w:r>
          </w:p>
        </w:tc>
        <w:tc>
          <w:tcPr>
            <w:tcW w:w="550" w:type="pct"/>
            <w:hideMark/>
          </w:tcPr>
          <w:p w14:paraId="4E21D98C"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15</w:t>
            </w:r>
          </w:p>
        </w:tc>
      </w:tr>
      <w:tr w:rsidR="0001279C" w:rsidRPr="0001279C" w14:paraId="27736FDA" w14:textId="77777777" w:rsidTr="0001279C">
        <w:tc>
          <w:tcPr>
            <w:tcW w:w="550" w:type="pct"/>
            <w:hideMark/>
          </w:tcPr>
          <w:p w14:paraId="3913C54E"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lastRenderedPageBreak/>
              <w:t>7</w:t>
            </w:r>
          </w:p>
        </w:tc>
        <w:tc>
          <w:tcPr>
            <w:tcW w:w="1000" w:type="pct"/>
            <w:hideMark/>
          </w:tcPr>
          <w:p w14:paraId="468501B3"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SIETE</w:t>
            </w:r>
          </w:p>
        </w:tc>
        <w:tc>
          <w:tcPr>
            <w:tcW w:w="2250" w:type="pct"/>
            <w:hideMark/>
          </w:tcPr>
          <w:p w14:paraId="779F0AFD"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PROFESIONAL ESPECIALIZADO</w:t>
            </w:r>
          </w:p>
        </w:tc>
        <w:tc>
          <w:tcPr>
            <w:tcW w:w="600" w:type="pct"/>
            <w:hideMark/>
          </w:tcPr>
          <w:p w14:paraId="2B757962"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2028</w:t>
            </w:r>
          </w:p>
        </w:tc>
        <w:tc>
          <w:tcPr>
            <w:tcW w:w="550" w:type="pct"/>
            <w:hideMark/>
          </w:tcPr>
          <w:p w14:paraId="54BE669D"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13</w:t>
            </w:r>
          </w:p>
        </w:tc>
      </w:tr>
      <w:tr w:rsidR="0001279C" w:rsidRPr="0001279C" w14:paraId="2A9C9E21" w14:textId="77777777" w:rsidTr="0001279C">
        <w:tc>
          <w:tcPr>
            <w:tcW w:w="550" w:type="pct"/>
            <w:hideMark/>
          </w:tcPr>
          <w:p w14:paraId="1296B75E"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10</w:t>
            </w:r>
          </w:p>
        </w:tc>
        <w:tc>
          <w:tcPr>
            <w:tcW w:w="1000" w:type="pct"/>
            <w:hideMark/>
          </w:tcPr>
          <w:p w14:paraId="3B055B54"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DIEZ</w:t>
            </w:r>
          </w:p>
        </w:tc>
        <w:tc>
          <w:tcPr>
            <w:tcW w:w="2250" w:type="pct"/>
            <w:hideMark/>
          </w:tcPr>
          <w:p w14:paraId="578D789C"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PROFESIONAL UNIVERSITARIO</w:t>
            </w:r>
          </w:p>
        </w:tc>
        <w:tc>
          <w:tcPr>
            <w:tcW w:w="600" w:type="pct"/>
            <w:hideMark/>
          </w:tcPr>
          <w:p w14:paraId="6958E35E"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2044</w:t>
            </w:r>
          </w:p>
        </w:tc>
        <w:tc>
          <w:tcPr>
            <w:tcW w:w="550" w:type="pct"/>
            <w:hideMark/>
          </w:tcPr>
          <w:p w14:paraId="1217802B"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11</w:t>
            </w:r>
          </w:p>
        </w:tc>
      </w:tr>
      <w:tr w:rsidR="0001279C" w:rsidRPr="0001279C" w14:paraId="16B6A953" w14:textId="77777777" w:rsidTr="0001279C">
        <w:tc>
          <w:tcPr>
            <w:tcW w:w="550" w:type="pct"/>
            <w:hideMark/>
          </w:tcPr>
          <w:p w14:paraId="556B2DC8"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13</w:t>
            </w:r>
          </w:p>
        </w:tc>
        <w:tc>
          <w:tcPr>
            <w:tcW w:w="1000" w:type="pct"/>
            <w:hideMark/>
          </w:tcPr>
          <w:p w14:paraId="0BC82AAD"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TRECE</w:t>
            </w:r>
          </w:p>
        </w:tc>
        <w:tc>
          <w:tcPr>
            <w:tcW w:w="2250" w:type="pct"/>
            <w:hideMark/>
          </w:tcPr>
          <w:p w14:paraId="1919DA3C"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PROFESIONAL UNIVERSITARIO</w:t>
            </w:r>
          </w:p>
        </w:tc>
        <w:tc>
          <w:tcPr>
            <w:tcW w:w="600" w:type="pct"/>
            <w:hideMark/>
          </w:tcPr>
          <w:p w14:paraId="0FD5E9CB"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2044</w:t>
            </w:r>
          </w:p>
        </w:tc>
        <w:tc>
          <w:tcPr>
            <w:tcW w:w="550" w:type="pct"/>
            <w:hideMark/>
          </w:tcPr>
          <w:p w14:paraId="1C76DADA"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9</w:t>
            </w:r>
          </w:p>
        </w:tc>
      </w:tr>
      <w:tr w:rsidR="0001279C" w:rsidRPr="0001279C" w14:paraId="151BC607" w14:textId="77777777" w:rsidTr="0001279C">
        <w:tc>
          <w:tcPr>
            <w:tcW w:w="550" w:type="pct"/>
            <w:hideMark/>
          </w:tcPr>
          <w:p w14:paraId="788A9D9B"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8</w:t>
            </w:r>
          </w:p>
        </w:tc>
        <w:tc>
          <w:tcPr>
            <w:tcW w:w="1000" w:type="pct"/>
            <w:hideMark/>
          </w:tcPr>
          <w:p w14:paraId="78CD35F2"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OCHO</w:t>
            </w:r>
          </w:p>
        </w:tc>
        <w:tc>
          <w:tcPr>
            <w:tcW w:w="2250" w:type="pct"/>
            <w:hideMark/>
          </w:tcPr>
          <w:p w14:paraId="739B81D1"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PROFESIONAL UNIVERSITARIO</w:t>
            </w:r>
          </w:p>
        </w:tc>
        <w:tc>
          <w:tcPr>
            <w:tcW w:w="600" w:type="pct"/>
            <w:hideMark/>
          </w:tcPr>
          <w:p w14:paraId="2FD02756"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2044</w:t>
            </w:r>
          </w:p>
        </w:tc>
        <w:tc>
          <w:tcPr>
            <w:tcW w:w="550" w:type="pct"/>
            <w:hideMark/>
          </w:tcPr>
          <w:p w14:paraId="5F81E42F"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8</w:t>
            </w:r>
          </w:p>
        </w:tc>
      </w:tr>
      <w:tr w:rsidR="0001279C" w:rsidRPr="0001279C" w14:paraId="6E879220" w14:textId="77777777" w:rsidTr="0001279C">
        <w:tc>
          <w:tcPr>
            <w:tcW w:w="550" w:type="pct"/>
            <w:hideMark/>
          </w:tcPr>
          <w:p w14:paraId="6588C40C"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122</w:t>
            </w:r>
          </w:p>
        </w:tc>
        <w:tc>
          <w:tcPr>
            <w:tcW w:w="1000" w:type="pct"/>
            <w:hideMark/>
          </w:tcPr>
          <w:p w14:paraId="4AD5E177"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CIENTO</w:t>
            </w:r>
            <w:r w:rsidRPr="0001279C">
              <w:rPr>
                <w:rFonts w:ascii="Verdana" w:hAnsi="Verdana"/>
                <w:sz w:val="20"/>
                <w:szCs w:val="20"/>
              </w:rPr>
              <w:br/>
              <w:t>VEINTIDÓS</w:t>
            </w:r>
          </w:p>
        </w:tc>
        <w:tc>
          <w:tcPr>
            <w:tcW w:w="2250" w:type="pct"/>
            <w:hideMark/>
          </w:tcPr>
          <w:p w14:paraId="0A377BA8"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PROFESIONAL UNIVERSITARIO</w:t>
            </w:r>
          </w:p>
        </w:tc>
        <w:tc>
          <w:tcPr>
            <w:tcW w:w="600" w:type="pct"/>
            <w:hideMark/>
          </w:tcPr>
          <w:p w14:paraId="0D8FA551"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2044</w:t>
            </w:r>
          </w:p>
        </w:tc>
        <w:tc>
          <w:tcPr>
            <w:tcW w:w="550" w:type="pct"/>
            <w:hideMark/>
          </w:tcPr>
          <w:p w14:paraId="5AC5BA43" w14:textId="77777777" w:rsidR="0001279C" w:rsidRPr="0001279C" w:rsidRDefault="0001279C" w:rsidP="0001279C">
            <w:pPr>
              <w:spacing w:after="160" w:line="259" w:lineRule="auto"/>
              <w:rPr>
                <w:rFonts w:ascii="Verdana" w:hAnsi="Verdana"/>
                <w:sz w:val="20"/>
                <w:szCs w:val="20"/>
              </w:rPr>
            </w:pPr>
            <w:r w:rsidRPr="0001279C">
              <w:rPr>
                <w:rFonts w:ascii="Verdana" w:hAnsi="Verdana"/>
                <w:sz w:val="20"/>
                <w:szCs w:val="20"/>
              </w:rPr>
              <w:t>7</w:t>
            </w:r>
          </w:p>
        </w:tc>
      </w:tr>
    </w:tbl>
    <w:p w14:paraId="6BC95B3F" w14:textId="4B2E22B9" w:rsidR="0001279C" w:rsidRDefault="0001279C" w:rsidP="0001279C">
      <w:pPr>
        <w:rPr>
          <w:rFonts w:ascii="Verdana" w:hAnsi="Verdana"/>
        </w:rPr>
      </w:pPr>
    </w:p>
    <w:p w14:paraId="43F6E720" w14:textId="01205103" w:rsidR="0001279C" w:rsidRDefault="0001279C" w:rsidP="0001279C">
      <w:pPr>
        <w:jc w:val="both"/>
        <w:rPr>
          <w:rFonts w:ascii="Verdana" w:hAnsi="Verdana"/>
        </w:rPr>
      </w:pPr>
      <w:r w:rsidRPr="0001279C">
        <w:rPr>
          <w:rFonts w:ascii="Verdana" w:hAnsi="Verdana"/>
        </w:rPr>
        <w:t>Que en el manual de funciones y competencias laborales expedido mediante la Resolución 7707 del 29 de diciembre de 2014 para los empleos de carácter temporal respecto a los cargos del nivel profesional están definidas las siguientes ubicaciones funcionales:</w:t>
      </w:r>
    </w:p>
    <w:tbl>
      <w:tblPr>
        <w:tblStyle w:val="Tablaconcuadrcula"/>
        <w:tblW w:w="5050" w:type="pct"/>
        <w:tblLook w:val="04A0" w:firstRow="1" w:lastRow="0" w:firstColumn="1" w:lastColumn="0" w:noHBand="0" w:noVBand="1"/>
      </w:tblPr>
      <w:tblGrid>
        <w:gridCol w:w="3656"/>
        <w:gridCol w:w="5260"/>
      </w:tblGrid>
      <w:tr w:rsidR="0001279C" w:rsidRPr="0001279C" w14:paraId="3A871E11" w14:textId="77777777" w:rsidTr="0001279C">
        <w:tc>
          <w:tcPr>
            <w:tcW w:w="2050" w:type="pct"/>
            <w:hideMark/>
          </w:tcPr>
          <w:p w14:paraId="62D5C384"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b/>
                <w:bCs/>
                <w:sz w:val="20"/>
                <w:szCs w:val="20"/>
              </w:rPr>
              <w:t>CARGO</w:t>
            </w:r>
          </w:p>
        </w:tc>
        <w:tc>
          <w:tcPr>
            <w:tcW w:w="2950" w:type="pct"/>
            <w:hideMark/>
          </w:tcPr>
          <w:p w14:paraId="3DBA98DD"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b/>
                <w:bCs/>
                <w:sz w:val="20"/>
                <w:szCs w:val="20"/>
              </w:rPr>
              <w:t>AREA FUNCIONAL DEFINIDA EN LA RESOLUCIÓN 7707 DE 2014</w:t>
            </w:r>
          </w:p>
        </w:tc>
      </w:tr>
      <w:tr w:rsidR="0001279C" w:rsidRPr="0001279C" w14:paraId="27F2AB5C" w14:textId="77777777" w:rsidTr="0001279C">
        <w:tc>
          <w:tcPr>
            <w:tcW w:w="2050" w:type="pct"/>
            <w:hideMark/>
          </w:tcPr>
          <w:p w14:paraId="6C994C76"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Especializado Código 2028 Grado 15</w:t>
            </w:r>
          </w:p>
        </w:tc>
        <w:tc>
          <w:tcPr>
            <w:tcW w:w="2950" w:type="pct"/>
            <w:hideMark/>
          </w:tcPr>
          <w:p w14:paraId="50174659"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Dirección Financiera</w:t>
            </w:r>
          </w:p>
        </w:tc>
      </w:tr>
      <w:tr w:rsidR="0001279C" w:rsidRPr="0001279C" w14:paraId="5C37D625" w14:textId="77777777" w:rsidTr="0001279C">
        <w:tc>
          <w:tcPr>
            <w:tcW w:w="2050" w:type="pct"/>
            <w:hideMark/>
          </w:tcPr>
          <w:p w14:paraId="23A4B8E6"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Especializado Código 2028 Grado 13</w:t>
            </w:r>
          </w:p>
        </w:tc>
        <w:tc>
          <w:tcPr>
            <w:tcW w:w="2950" w:type="pct"/>
            <w:hideMark/>
          </w:tcPr>
          <w:p w14:paraId="0156062E"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Dirección Financiera</w:t>
            </w:r>
          </w:p>
        </w:tc>
      </w:tr>
      <w:tr w:rsidR="0001279C" w:rsidRPr="0001279C" w14:paraId="0FE021F1" w14:textId="77777777" w:rsidTr="0001279C">
        <w:tc>
          <w:tcPr>
            <w:tcW w:w="2050" w:type="pct"/>
            <w:hideMark/>
          </w:tcPr>
          <w:p w14:paraId="651F3590"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Universitario Código 2044 Grado 11</w:t>
            </w:r>
          </w:p>
        </w:tc>
        <w:tc>
          <w:tcPr>
            <w:tcW w:w="2950" w:type="pct"/>
            <w:hideMark/>
          </w:tcPr>
          <w:p w14:paraId="7956BEBC"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Dirección Financiera - Grupos Financieros de las Direcciones Regionales</w:t>
            </w:r>
          </w:p>
        </w:tc>
      </w:tr>
      <w:tr w:rsidR="0001279C" w:rsidRPr="0001279C" w14:paraId="702DCF11" w14:textId="77777777" w:rsidTr="0001279C">
        <w:tc>
          <w:tcPr>
            <w:tcW w:w="2050" w:type="pct"/>
            <w:hideMark/>
          </w:tcPr>
          <w:p w14:paraId="2482E6E8"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Universitario Código 2044 Grado 09</w:t>
            </w:r>
          </w:p>
        </w:tc>
        <w:tc>
          <w:tcPr>
            <w:tcW w:w="2950" w:type="pct"/>
            <w:hideMark/>
          </w:tcPr>
          <w:p w14:paraId="4CE10947"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Dirección Financiera - Oficina Asesora Jurídica y Grupos Jurídicos de las Direcciones Regionales.</w:t>
            </w:r>
          </w:p>
        </w:tc>
      </w:tr>
      <w:tr w:rsidR="0001279C" w:rsidRPr="0001279C" w14:paraId="6E229A6C" w14:textId="77777777" w:rsidTr="0001279C">
        <w:tc>
          <w:tcPr>
            <w:tcW w:w="2050" w:type="pct"/>
            <w:hideMark/>
          </w:tcPr>
          <w:p w14:paraId="286DBD0F"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Universitario Código 2044 Grado 08</w:t>
            </w:r>
          </w:p>
        </w:tc>
        <w:tc>
          <w:tcPr>
            <w:tcW w:w="2950" w:type="pct"/>
            <w:hideMark/>
          </w:tcPr>
          <w:p w14:paraId="14FAA1EC"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Dirección Financiera - Grupos Financieros de las Direcciones Regionales - Oficina Asesora Jurídica y Grupos Jurídicos de las Direcciones Regionales</w:t>
            </w:r>
          </w:p>
        </w:tc>
      </w:tr>
      <w:tr w:rsidR="0001279C" w:rsidRPr="0001279C" w14:paraId="54102393" w14:textId="77777777" w:rsidTr="0001279C">
        <w:tc>
          <w:tcPr>
            <w:tcW w:w="2050" w:type="pct"/>
            <w:hideMark/>
          </w:tcPr>
          <w:p w14:paraId="408B0A36"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Universitario Código 2044 Grado 07</w:t>
            </w:r>
          </w:p>
        </w:tc>
        <w:tc>
          <w:tcPr>
            <w:tcW w:w="2950" w:type="pct"/>
            <w:hideMark/>
          </w:tcPr>
          <w:p w14:paraId="31137F87"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Dirección Financiera Grupos Financieros de las Direcciones Regionales - Oficina Asesora Jurídica y Grupos Jurídicos de las Direcciones Regionales</w:t>
            </w:r>
          </w:p>
        </w:tc>
      </w:tr>
    </w:tbl>
    <w:p w14:paraId="3D4B1AC5" w14:textId="054ED5AE" w:rsidR="0001279C" w:rsidRDefault="0001279C" w:rsidP="0001279C">
      <w:pPr>
        <w:jc w:val="both"/>
        <w:rPr>
          <w:rFonts w:ascii="Verdana" w:hAnsi="Verdana"/>
        </w:rPr>
      </w:pPr>
    </w:p>
    <w:p w14:paraId="556344F7" w14:textId="7D388634" w:rsidR="0001279C" w:rsidRPr="0001279C" w:rsidRDefault="0001279C" w:rsidP="0001279C">
      <w:pPr>
        <w:jc w:val="both"/>
        <w:rPr>
          <w:rFonts w:ascii="Verdana" w:hAnsi="Verdana"/>
        </w:rPr>
      </w:pPr>
      <w:r w:rsidRPr="0001279C">
        <w:rPr>
          <w:rFonts w:ascii="Verdana" w:hAnsi="Verdana"/>
        </w:rPr>
        <w:t>Que la dinámica de los procesos y procedimientos que se llevan a cabo para cumplir los objetivos de la Dirección Financiera, ha permitido la desconcentración de algunas funciones que deben realizarse desde las diferentes Regionales, en busca de una mayor efectividad en el cumplimiento del logro propuesto, y atendiendo lo dispuesto en el parágrafo del artículo 2.2.1.1.4 del Decreto 1083 de 2015, serán definidas únicamente las ubicaciones funcionales, puesto que el</w:t>
      </w:r>
      <w:r>
        <w:rPr>
          <w:rFonts w:ascii="Verdana" w:hAnsi="Verdana"/>
        </w:rPr>
        <w:t xml:space="preserve"> </w:t>
      </w:r>
      <w:r w:rsidRPr="0001279C">
        <w:rPr>
          <w:rFonts w:ascii="Verdana" w:hAnsi="Verdana"/>
        </w:rPr>
        <w:lastRenderedPageBreak/>
        <w:t>Propósito Principal, Descripción de Funciones Esenciales, Conocimientos Básicos o Esenciales, las Competencias Comportamentales y los Requisitos de Formación Académica y Experiencia se conservan las definidas en la Resolución 7707 de 2014.</w:t>
      </w:r>
    </w:p>
    <w:p w14:paraId="7215CC83" w14:textId="5D45309E" w:rsidR="0001279C" w:rsidRPr="0001279C" w:rsidRDefault="0001279C" w:rsidP="0001279C">
      <w:pPr>
        <w:jc w:val="both"/>
        <w:rPr>
          <w:rFonts w:ascii="Verdana" w:hAnsi="Verdana"/>
        </w:rPr>
      </w:pPr>
      <w:r w:rsidRPr="0001279C">
        <w:rPr>
          <w:rFonts w:ascii="Verdana" w:hAnsi="Verdana"/>
        </w:rPr>
        <w:t>En mérito de lo expuesto,</w:t>
      </w:r>
    </w:p>
    <w:p w14:paraId="2A7A1F88" w14:textId="4266FBBC" w:rsidR="0001279C" w:rsidRPr="0001279C" w:rsidRDefault="0001279C" w:rsidP="0001279C">
      <w:pPr>
        <w:jc w:val="center"/>
        <w:rPr>
          <w:rFonts w:ascii="Verdana" w:hAnsi="Verdana"/>
          <w:b/>
          <w:bCs/>
        </w:rPr>
      </w:pPr>
      <w:r w:rsidRPr="0001279C">
        <w:rPr>
          <w:rFonts w:ascii="Verdana" w:hAnsi="Verdana"/>
          <w:b/>
          <w:bCs/>
        </w:rPr>
        <w:t>RESUELVE</w:t>
      </w:r>
    </w:p>
    <w:p w14:paraId="3C682D15" w14:textId="20EC1C93" w:rsidR="0001279C" w:rsidRDefault="0001279C" w:rsidP="0001279C">
      <w:pPr>
        <w:jc w:val="both"/>
        <w:rPr>
          <w:rFonts w:ascii="Verdana" w:hAnsi="Verdana"/>
        </w:rPr>
      </w:pPr>
      <w:r w:rsidRPr="0001279C">
        <w:rPr>
          <w:rFonts w:ascii="Verdana" w:hAnsi="Verdana"/>
          <w:b/>
          <w:bCs/>
        </w:rPr>
        <w:t>ARTÍCULO 1o.</w:t>
      </w:r>
      <w:r w:rsidRPr="0001279C">
        <w:rPr>
          <w:rFonts w:ascii="Verdana" w:hAnsi="Verdana"/>
        </w:rPr>
        <w:t xml:space="preserve"> Adicionar la Resolución 7707 de 2014 que establece el Manual de Funciones y de Competencias Laborales para la planta de personal de carácter temporal del Instituto Colombiano de Bienestar Familiar - Cecilia De la Fuente de Lleras, en el sentido de incluir Áreas Funcionales de las Direcciones Regionales, para que las funciones sean desempeñadas en el nivel Regional, cuando el empleo sea distribuido a una de las Regionales del ICBF, así:</w:t>
      </w:r>
    </w:p>
    <w:tbl>
      <w:tblPr>
        <w:tblStyle w:val="Tablaconcuadrcula"/>
        <w:tblW w:w="4950" w:type="pct"/>
        <w:tblLook w:val="04A0" w:firstRow="1" w:lastRow="0" w:firstColumn="1" w:lastColumn="0" w:noHBand="0" w:noVBand="1"/>
      </w:tblPr>
      <w:tblGrid>
        <w:gridCol w:w="2272"/>
        <w:gridCol w:w="2972"/>
        <w:gridCol w:w="3496"/>
      </w:tblGrid>
      <w:tr w:rsidR="0001279C" w:rsidRPr="0001279C" w14:paraId="349860E5" w14:textId="77777777" w:rsidTr="0001279C">
        <w:tc>
          <w:tcPr>
            <w:tcW w:w="1300" w:type="pct"/>
            <w:hideMark/>
          </w:tcPr>
          <w:p w14:paraId="3710C5EB"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b/>
                <w:bCs/>
                <w:sz w:val="20"/>
                <w:szCs w:val="20"/>
              </w:rPr>
              <w:t>CARGO</w:t>
            </w:r>
          </w:p>
        </w:tc>
        <w:tc>
          <w:tcPr>
            <w:tcW w:w="1700" w:type="pct"/>
            <w:hideMark/>
          </w:tcPr>
          <w:p w14:paraId="19859B9E"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b/>
                <w:bCs/>
                <w:sz w:val="20"/>
                <w:szCs w:val="20"/>
              </w:rPr>
              <w:t>ÁREA FUNCIONAL DEFINIDA EN LA RESOLUCIÓN 7707 DE 2014</w:t>
            </w:r>
          </w:p>
        </w:tc>
        <w:tc>
          <w:tcPr>
            <w:tcW w:w="2000" w:type="pct"/>
            <w:hideMark/>
          </w:tcPr>
          <w:p w14:paraId="35AFCEAC"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b/>
                <w:bCs/>
                <w:sz w:val="20"/>
                <w:szCs w:val="20"/>
              </w:rPr>
              <w:t>ÁREA FUNCIONAL ADICIONADA</w:t>
            </w:r>
          </w:p>
        </w:tc>
      </w:tr>
      <w:tr w:rsidR="0001279C" w:rsidRPr="0001279C" w14:paraId="3C97B1ED" w14:textId="77777777" w:rsidTr="0001279C">
        <w:tc>
          <w:tcPr>
            <w:tcW w:w="1300" w:type="pct"/>
            <w:hideMark/>
          </w:tcPr>
          <w:p w14:paraId="54CA04CF"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Especializado Código 2028 Grado 15</w:t>
            </w:r>
          </w:p>
        </w:tc>
        <w:tc>
          <w:tcPr>
            <w:tcW w:w="1700" w:type="pct"/>
            <w:hideMark/>
          </w:tcPr>
          <w:p w14:paraId="65276E4F"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 Dirección Financiera</w:t>
            </w:r>
          </w:p>
        </w:tc>
        <w:tc>
          <w:tcPr>
            <w:tcW w:w="2000" w:type="pct"/>
            <w:hideMark/>
          </w:tcPr>
          <w:p w14:paraId="34BFC93B"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 Grupo Financiero de las Direcciones Regionales</w:t>
            </w:r>
            <w:r w:rsidRPr="0001279C">
              <w:rPr>
                <w:rFonts w:ascii="Verdana" w:hAnsi="Verdana"/>
                <w:sz w:val="20"/>
                <w:szCs w:val="20"/>
              </w:rPr>
              <w:br/>
              <w:t>- Grupo de Recaudo de las Direcciones Regionales</w:t>
            </w:r>
          </w:p>
        </w:tc>
      </w:tr>
      <w:tr w:rsidR="0001279C" w:rsidRPr="0001279C" w14:paraId="1DD57C72" w14:textId="77777777" w:rsidTr="0001279C">
        <w:tc>
          <w:tcPr>
            <w:tcW w:w="1300" w:type="pct"/>
            <w:hideMark/>
          </w:tcPr>
          <w:p w14:paraId="2291B49B"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Especializado Código 2028 Grado 13</w:t>
            </w:r>
          </w:p>
        </w:tc>
        <w:tc>
          <w:tcPr>
            <w:tcW w:w="1700" w:type="pct"/>
            <w:hideMark/>
          </w:tcPr>
          <w:p w14:paraId="4ACA5A2D"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 Dirección Financiera</w:t>
            </w:r>
          </w:p>
        </w:tc>
        <w:tc>
          <w:tcPr>
            <w:tcW w:w="2000" w:type="pct"/>
            <w:hideMark/>
          </w:tcPr>
          <w:p w14:paraId="4FF24F35"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 Grupo Financiero de las Direcciones Regionales</w:t>
            </w:r>
            <w:r w:rsidRPr="0001279C">
              <w:rPr>
                <w:rFonts w:ascii="Verdana" w:hAnsi="Verdana"/>
                <w:sz w:val="20"/>
                <w:szCs w:val="20"/>
              </w:rPr>
              <w:br/>
              <w:t>- Grupo de Recaudo de las Direcciones Regionales</w:t>
            </w:r>
          </w:p>
        </w:tc>
      </w:tr>
      <w:tr w:rsidR="0001279C" w:rsidRPr="0001279C" w14:paraId="5E896652" w14:textId="77777777" w:rsidTr="0001279C">
        <w:tc>
          <w:tcPr>
            <w:tcW w:w="1300" w:type="pct"/>
            <w:hideMark/>
          </w:tcPr>
          <w:p w14:paraId="2213F33D"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Universitario Código 2044 Grado 11</w:t>
            </w:r>
          </w:p>
        </w:tc>
        <w:tc>
          <w:tcPr>
            <w:tcW w:w="1700" w:type="pct"/>
            <w:hideMark/>
          </w:tcPr>
          <w:p w14:paraId="72672C1F"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 Dirección Financiera</w:t>
            </w:r>
            <w:r w:rsidRPr="0001279C">
              <w:rPr>
                <w:rFonts w:ascii="Verdana" w:hAnsi="Verdana"/>
                <w:sz w:val="20"/>
                <w:szCs w:val="20"/>
              </w:rPr>
              <w:br/>
              <w:t>- Grupos Financieros de las Direcciones Regionales</w:t>
            </w:r>
          </w:p>
        </w:tc>
        <w:tc>
          <w:tcPr>
            <w:tcW w:w="2000" w:type="pct"/>
            <w:hideMark/>
          </w:tcPr>
          <w:p w14:paraId="7B148D9B"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 Grupo de Recaudo de las Direcciones Regionales</w:t>
            </w:r>
            <w:r w:rsidRPr="0001279C">
              <w:rPr>
                <w:rFonts w:ascii="Verdana" w:hAnsi="Verdana"/>
                <w:sz w:val="20"/>
                <w:szCs w:val="20"/>
              </w:rPr>
              <w:br/>
              <w:t>- Grupo de Gestión de Soporte</w:t>
            </w:r>
          </w:p>
        </w:tc>
      </w:tr>
      <w:tr w:rsidR="0001279C" w:rsidRPr="0001279C" w14:paraId="0A9D90FC" w14:textId="77777777" w:rsidTr="0001279C">
        <w:tc>
          <w:tcPr>
            <w:tcW w:w="1300" w:type="pct"/>
            <w:hideMark/>
          </w:tcPr>
          <w:p w14:paraId="58275119"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Universitario Código 2044 Grado 09</w:t>
            </w:r>
          </w:p>
        </w:tc>
        <w:tc>
          <w:tcPr>
            <w:tcW w:w="1700" w:type="pct"/>
            <w:hideMark/>
          </w:tcPr>
          <w:p w14:paraId="775F08D7"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 Dirección Financiera</w:t>
            </w:r>
            <w:r w:rsidRPr="0001279C">
              <w:rPr>
                <w:rFonts w:ascii="Verdana" w:hAnsi="Verdana"/>
                <w:sz w:val="20"/>
                <w:szCs w:val="20"/>
              </w:rPr>
              <w:br/>
              <w:t>- Oficina Asesora Jurídica</w:t>
            </w:r>
            <w:r w:rsidRPr="0001279C">
              <w:rPr>
                <w:rFonts w:ascii="Verdana" w:hAnsi="Verdana"/>
                <w:sz w:val="20"/>
                <w:szCs w:val="20"/>
              </w:rPr>
              <w:br/>
              <w:t>- Grupos Jurídicos de las Direcciones Regionales.</w:t>
            </w:r>
          </w:p>
        </w:tc>
        <w:tc>
          <w:tcPr>
            <w:tcW w:w="2000" w:type="pct"/>
            <w:hideMark/>
          </w:tcPr>
          <w:p w14:paraId="13E31B5E"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 Grupo Financiero de las Direcciones Regionales</w:t>
            </w:r>
            <w:r w:rsidRPr="0001279C">
              <w:rPr>
                <w:rFonts w:ascii="Verdana" w:hAnsi="Verdana"/>
                <w:sz w:val="20"/>
                <w:szCs w:val="20"/>
              </w:rPr>
              <w:br/>
              <w:t>- Grupo de Recaudo de las Direcciones Regionales</w:t>
            </w:r>
            <w:r w:rsidRPr="0001279C">
              <w:rPr>
                <w:rFonts w:ascii="Verdana" w:hAnsi="Verdana"/>
                <w:sz w:val="20"/>
                <w:szCs w:val="20"/>
              </w:rPr>
              <w:br/>
              <w:t>- Grupo de Gestión de Soporte.</w:t>
            </w:r>
          </w:p>
        </w:tc>
      </w:tr>
      <w:tr w:rsidR="0001279C" w:rsidRPr="0001279C" w14:paraId="735079AF" w14:textId="77777777" w:rsidTr="0001279C">
        <w:tc>
          <w:tcPr>
            <w:tcW w:w="1300" w:type="pct"/>
            <w:hideMark/>
          </w:tcPr>
          <w:p w14:paraId="59CFD0FD"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Universitario Código 2044 Grado 08</w:t>
            </w:r>
          </w:p>
        </w:tc>
        <w:tc>
          <w:tcPr>
            <w:tcW w:w="1700" w:type="pct"/>
            <w:hideMark/>
          </w:tcPr>
          <w:p w14:paraId="149151A7"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 Dirección Financiera</w:t>
            </w:r>
            <w:r w:rsidRPr="0001279C">
              <w:rPr>
                <w:rFonts w:ascii="Verdana" w:hAnsi="Verdana"/>
                <w:sz w:val="20"/>
                <w:szCs w:val="20"/>
              </w:rPr>
              <w:br/>
              <w:t>- Grupos Financieros de las Direcciones Regionales</w:t>
            </w:r>
            <w:r w:rsidRPr="0001279C">
              <w:rPr>
                <w:rFonts w:ascii="Verdana" w:hAnsi="Verdana"/>
                <w:sz w:val="20"/>
                <w:szCs w:val="20"/>
              </w:rPr>
              <w:br/>
              <w:t>- Oficina Asesora Jurídica</w:t>
            </w:r>
            <w:r w:rsidRPr="0001279C">
              <w:rPr>
                <w:rFonts w:ascii="Verdana" w:hAnsi="Verdana"/>
                <w:sz w:val="20"/>
                <w:szCs w:val="20"/>
              </w:rPr>
              <w:br/>
              <w:t>- Grupos Jurídicos de las Direcciones Regionales</w:t>
            </w:r>
          </w:p>
        </w:tc>
        <w:tc>
          <w:tcPr>
            <w:tcW w:w="2000" w:type="pct"/>
            <w:hideMark/>
          </w:tcPr>
          <w:p w14:paraId="25F6420B"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b/>
                <w:bCs/>
                <w:sz w:val="20"/>
                <w:szCs w:val="20"/>
              </w:rPr>
              <w:t>- </w:t>
            </w:r>
            <w:r w:rsidRPr="0001279C">
              <w:rPr>
                <w:rFonts w:ascii="Verdana" w:hAnsi="Verdana"/>
                <w:sz w:val="20"/>
                <w:szCs w:val="20"/>
              </w:rPr>
              <w:t>Grupo de Recaudo de las Direcciones Regionales</w:t>
            </w:r>
            <w:r w:rsidRPr="0001279C">
              <w:rPr>
                <w:rFonts w:ascii="Verdana" w:hAnsi="Verdana"/>
                <w:b/>
                <w:bCs/>
                <w:sz w:val="20"/>
                <w:szCs w:val="20"/>
              </w:rPr>
              <w:br/>
            </w:r>
            <w:r w:rsidRPr="0001279C">
              <w:rPr>
                <w:rFonts w:ascii="Verdana" w:hAnsi="Verdana"/>
                <w:sz w:val="20"/>
                <w:szCs w:val="20"/>
              </w:rPr>
              <w:t>- Grupo de Gestión de Soporte</w:t>
            </w:r>
          </w:p>
        </w:tc>
      </w:tr>
      <w:tr w:rsidR="0001279C" w:rsidRPr="0001279C" w14:paraId="4E8E118B" w14:textId="77777777" w:rsidTr="0001279C">
        <w:tc>
          <w:tcPr>
            <w:tcW w:w="1300" w:type="pct"/>
            <w:hideMark/>
          </w:tcPr>
          <w:p w14:paraId="715918AC"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Profesional Universitario Código 2044 Grado 07</w:t>
            </w:r>
          </w:p>
        </w:tc>
        <w:tc>
          <w:tcPr>
            <w:tcW w:w="1700" w:type="pct"/>
            <w:hideMark/>
          </w:tcPr>
          <w:p w14:paraId="0214601F"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sz w:val="20"/>
                <w:szCs w:val="20"/>
              </w:rPr>
              <w:t>- Dirección Financiera</w:t>
            </w:r>
            <w:r w:rsidRPr="0001279C">
              <w:rPr>
                <w:rFonts w:ascii="Verdana" w:hAnsi="Verdana"/>
                <w:sz w:val="20"/>
                <w:szCs w:val="20"/>
              </w:rPr>
              <w:br/>
              <w:t>- Grupos Financieros de las Direcciones Regionales</w:t>
            </w:r>
            <w:r w:rsidRPr="0001279C">
              <w:rPr>
                <w:rFonts w:ascii="Verdana" w:hAnsi="Verdana"/>
                <w:b/>
                <w:bCs/>
                <w:sz w:val="20"/>
                <w:szCs w:val="20"/>
              </w:rPr>
              <w:br/>
            </w:r>
            <w:r w:rsidRPr="0001279C">
              <w:rPr>
                <w:rFonts w:ascii="Verdana" w:hAnsi="Verdana"/>
                <w:sz w:val="20"/>
                <w:szCs w:val="20"/>
              </w:rPr>
              <w:lastRenderedPageBreak/>
              <w:t>- Oficina Asesora Jurídica</w:t>
            </w:r>
            <w:r w:rsidRPr="0001279C">
              <w:rPr>
                <w:rFonts w:ascii="Verdana" w:hAnsi="Verdana"/>
                <w:sz w:val="20"/>
                <w:szCs w:val="20"/>
              </w:rPr>
              <w:br/>
              <w:t>- Grupos Jurídicos de las Direcciones Regionales</w:t>
            </w:r>
          </w:p>
        </w:tc>
        <w:tc>
          <w:tcPr>
            <w:tcW w:w="2000" w:type="pct"/>
            <w:hideMark/>
          </w:tcPr>
          <w:p w14:paraId="62B82C73" w14:textId="77777777" w:rsidR="0001279C" w:rsidRPr="0001279C" w:rsidRDefault="0001279C" w:rsidP="0001279C">
            <w:pPr>
              <w:spacing w:after="160" w:line="259" w:lineRule="auto"/>
              <w:jc w:val="both"/>
              <w:rPr>
                <w:rFonts w:ascii="Verdana" w:hAnsi="Verdana"/>
                <w:sz w:val="20"/>
                <w:szCs w:val="20"/>
              </w:rPr>
            </w:pPr>
            <w:r w:rsidRPr="0001279C">
              <w:rPr>
                <w:rFonts w:ascii="Verdana" w:hAnsi="Verdana"/>
                <w:b/>
                <w:bCs/>
                <w:sz w:val="20"/>
                <w:szCs w:val="20"/>
              </w:rPr>
              <w:lastRenderedPageBreak/>
              <w:t>- </w:t>
            </w:r>
            <w:r w:rsidRPr="0001279C">
              <w:rPr>
                <w:rFonts w:ascii="Verdana" w:hAnsi="Verdana"/>
                <w:sz w:val="20"/>
                <w:szCs w:val="20"/>
              </w:rPr>
              <w:t>Grupo de Recaudo de las Direcciones Regionales</w:t>
            </w:r>
            <w:r w:rsidRPr="0001279C">
              <w:rPr>
                <w:rFonts w:ascii="Verdana" w:hAnsi="Verdana"/>
                <w:b/>
                <w:bCs/>
                <w:sz w:val="20"/>
                <w:szCs w:val="20"/>
              </w:rPr>
              <w:br/>
            </w:r>
            <w:r w:rsidRPr="0001279C">
              <w:rPr>
                <w:rFonts w:ascii="Verdana" w:hAnsi="Verdana"/>
                <w:sz w:val="20"/>
                <w:szCs w:val="20"/>
              </w:rPr>
              <w:t>- Grupo de Gestión de Soporte</w:t>
            </w:r>
          </w:p>
        </w:tc>
      </w:tr>
    </w:tbl>
    <w:p w14:paraId="0FB02CA4" w14:textId="49CDAD4D" w:rsidR="0001279C" w:rsidRDefault="0001279C" w:rsidP="0001279C">
      <w:pPr>
        <w:jc w:val="both"/>
        <w:rPr>
          <w:rFonts w:ascii="Verdana" w:hAnsi="Verdana"/>
        </w:rPr>
      </w:pPr>
    </w:p>
    <w:p w14:paraId="27904317" w14:textId="1028AB0F" w:rsidR="0001279C" w:rsidRPr="0001279C" w:rsidRDefault="0001279C" w:rsidP="0001279C">
      <w:pPr>
        <w:jc w:val="both"/>
        <w:rPr>
          <w:rFonts w:ascii="Verdana" w:hAnsi="Verdana"/>
        </w:rPr>
      </w:pPr>
      <w:r w:rsidRPr="0001279C">
        <w:rPr>
          <w:rFonts w:ascii="Verdana" w:hAnsi="Verdana"/>
          <w:b/>
          <w:bCs/>
        </w:rPr>
        <w:t>ARTÍCULO 2o.</w:t>
      </w:r>
      <w:r w:rsidRPr="0001279C">
        <w:rPr>
          <w:rFonts w:ascii="Verdana" w:hAnsi="Verdana"/>
        </w:rPr>
        <w:t xml:space="preserve"> Ordenar a la Oficina Asesora de Comunicaciones la publicación de la presente resolución en la intranet y en la página WEB del ICBF.</w:t>
      </w:r>
    </w:p>
    <w:p w14:paraId="6A0C2672" w14:textId="22ED5107" w:rsidR="0001279C" w:rsidRPr="0001279C" w:rsidRDefault="0001279C" w:rsidP="0001279C">
      <w:pPr>
        <w:jc w:val="both"/>
        <w:rPr>
          <w:rFonts w:ascii="Verdana" w:hAnsi="Verdana"/>
        </w:rPr>
      </w:pPr>
      <w:r w:rsidRPr="0001279C">
        <w:rPr>
          <w:rFonts w:ascii="Verdana" w:hAnsi="Verdana"/>
          <w:b/>
          <w:bCs/>
        </w:rPr>
        <w:t>ARTÍCULO 3o.</w:t>
      </w:r>
      <w:r w:rsidRPr="0001279C">
        <w:rPr>
          <w:rFonts w:ascii="Verdana" w:hAnsi="Verdana"/>
        </w:rPr>
        <w:t xml:space="preserve"> La presente Resolución rige a partir de la fecha de su expedición</w:t>
      </w:r>
    </w:p>
    <w:p w14:paraId="7FDC6C2E" w14:textId="044F209C" w:rsidR="0001279C" w:rsidRPr="0001279C" w:rsidRDefault="0001279C" w:rsidP="00FE2BDD">
      <w:pPr>
        <w:jc w:val="center"/>
        <w:rPr>
          <w:rFonts w:ascii="Verdana" w:hAnsi="Verdana"/>
        </w:rPr>
      </w:pPr>
      <w:r w:rsidRPr="0001279C">
        <w:rPr>
          <w:rFonts w:ascii="Verdana" w:hAnsi="Verdana"/>
        </w:rPr>
        <w:t>COMUNIQUESE Y CÚMPLASE</w:t>
      </w:r>
    </w:p>
    <w:p w14:paraId="1B1F6AF6" w14:textId="6AA2BF4F" w:rsidR="0001279C" w:rsidRPr="0001279C" w:rsidRDefault="0001279C" w:rsidP="00FE2BDD">
      <w:pPr>
        <w:jc w:val="center"/>
        <w:rPr>
          <w:rFonts w:ascii="Verdana" w:hAnsi="Verdana"/>
        </w:rPr>
      </w:pPr>
      <w:r w:rsidRPr="0001279C">
        <w:rPr>
          <w:rFonts w:ascii="Verdana" w:hAnsi="Verdana"/>
        </w:rPr>
        <w:t>Dada en Bogotá, D.C., a los 27 MAY 2016</w:t>
      </w:r>
    </w:p>
    <w:p w14:paraId="6CCDBF5E" w14:textId="36D51E8E" w:rsidR="0001279C" w:rsidRPr="0001279C" w:rsidRDefault="0001279C" w:rsidP="0001279C">
      <w:pPr>
        <w:jc w:val="center"/>
        <w:rPr>
          <w:rFonts w:ascii="Verdana" w:hAnsi="Verdana"/>
          <w:b/>
          <w:bCs/>
        </w:rPr>
      </w:pPr>
      <w:r w:rsidRPr="0001279C">
        <w:rPr>
          <w:rFonts w:ascii="Verdana" w:hAnsi="Verdana"/>
          <w:b/>
          <w:bCs/>
        </w:rPr>
        <w:t>CRISTINA PLAZAS MICHELSEN</w:t>
      </w:r>
    </w:p>
    <w:p w14:paraId="727E4E0B" w14:textId="4F5AA36C" w:rsidR="0001279C" w:rsidRPr="0001279C" w:rsidRDefault="0001279C" w:rsidP="0001279C">
      <w:pPr>
        <w:jc w:val="center"/>
        <w:rPr>
          <w:rFonts w:ascii="Verdana" w:hAnsi="Verdana"/>
        </w:rPr>
      </w:pPr>
      <w:r w:rsidRPr="0001279C">
        <w:rPr>
          <w:rFonts w:ascii="Verdana" w:hAnsi="Verdana"/>
        </w:rPr>
        <w:t>DIRECTORA GENERAL</w:t>
      </w:r>
    </w:p>
    <w:sectPr w:rsidR="0001279C" w:rsidRPr="000127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9C"/>
    <w:rsid w:val="0001279C"/>
    <w:rsid w:val="000B4793"/>
    <w:rsid w:val="007B050A"/>
    <w:rsid w:val="00FE2B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65C7"/>
  <w15:chartTrackingRefBased/>
  <w15:docId w15:val="{1EAD8EDE-EC4F-499E-83CE-BAEFCEC0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1279C"/>
    <w:rPr>
      <w:color w:val="0563C1" w:themeColor="hyperlink"/>
      <w:u w:val="single"/>
    </w:rPr>
  </w:style>
  <w:style w:type="character" w:styleId="Mencinsinresolver">
    <w:name w:val="Unresolved Mention"/>
    <w:basedOn w:val="Fuentedeprrafopredeter"/>
    <w:uiPriority w:val="99"/>
    <w:semiHidden/>
    <w:unhideWhenUsed/>
    <w:rsid w:val="0001279C"/>
    <w:rPr>
      <w:color w:val="605E5C"/>
      <w:shd w:val="clear" w:color="auto" w:fill="E1DFDD"/>
    </w:rPr>
  </w:style>
  <w:style w:type="table" w:styleId="Tablaconcuadrcula">
    <w:name w:val="Table Grid"/>
    <w:basedOn w:val="Tablanormal"/>
    <w:uiPriority w:val="39"/>
    <w:rsid w:val="00012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07347">
      <w:bodyDiv w:val="1"/>
      <w:marLeft w:val="0"/>
      <w:marRight w:val="0"/>
      <w:marTop w:val="0"/>
      <w:marBottom w:val="0"/>
      <w:divBdr>
        <w:top w:val="none" w:sz="0" w:space="0" w:color="auto"/>
        <w:left w:val="none" w:sz="0" w:space="0" w:color="auto"/>
        <w:bottom w:val="none" w:sz="0" w:space="0" w:color="auto"/>
        <w:right w:val="none" w:sz="0" w:space="0" w:color="auto"/>
      </w:divBdr>
    </w:div>
    <w:div w:id="825319986">
      <w:bodyDiv w:val="1"/>
      <w:marLeft w:val="0"/>
      <w:marRight w:val="0"/>
      <w:marTop w:val="0"/>
      <w:marBottom w:val="0"/>
      <w:divBdr>
        <w:top w:val="none" w:sz="0" w:space="0" w:color="auto"/>
        <w:left w:val="none" w:sz="0" w:space="0" w:color="auto"/>
        <w:bottom w:val="none" w:sz="0" w:space="0" w:color="auto"/>
        <w:right w:val="none" w:sz="0" w:space="0" w:color="auto"/>
      </w:divBdr>
    </w:div>
    <w:div w:id="1309552828">
      <w:bodyDiv w:val="1"/>
      <w:marLeft w:val="0"/>
      <w:marRight w:val="0"/>
      <w:marTop w:val="0"/>
      <w:marBottom w:val="0"/>
      <w:divBdr>
        <w:top w:val="none" w:sz="0" w:space="0" w:color="auto"/>
        <w:left w:val="none" w:sz="0" w:space="0" w:color="auto"/>
        <w:bottom w:val="none" w:sz="0" w:space="0" w:color="auto"/>
        <w:right w:val="none" w:sz="0" w:space="0" w:color="auto"/>
      </w:divBdr>
    </w:div>
    <w:div w:id="13421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6F7B6-3989-44FE-88C7-6E4AA5EEE72A}"/>
</file>

<file path=customXml/itemProps2.xml><?xml version="1.0" encoding="utf-8"?>
<ds:datastoreItem xmlns:ds="http://schemas.openxmlformats.org/officeDocument/2006/customXml" ds:itemID="{C17D0A84-46E2-4E1A-9CCE-2AC5B32F4C69}"/>
</file>

<file path=customXml/itemProps3.xml><?xml version="1.0" encoding="utf-8"?>
<ds:datastoreItem xmlns:ds="http://schemas.openxmlformats.org/officeDocument/2006/customXml" ds:itemID="{4FE0AC4F-D166-4632-88CD-3D4119228CDB}"/>
</file>

<file path=docProps/app.xml><?xml version="1.0" encoding="utf-8"?>
<Properties xmlns="http://schemas.openxmlformats.org/officeDocument/2006/extended-properties" xmlns:vt="http://schemas.openxmlformats.org/officeDocument/2006/docPropsVTypes">
  <Template>Normal</Template>
  <TotalTime>6</TotalTime>
  <Pages>1</Pages>
  <Words>927</Words>
  <Characters>5100</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2026-02-16T17:24:00Z</dcterms:created>
  <dcterms:modified xsi:type="dcterms:W3CDTF">2026-02-20T14:29:00Z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