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EA76" w14:textId="0603679E" w:rsidR="007F68C1" w:rsidRPr="007F68C1" w:rsidRDefault="007F68C1" w:rsidP="007F68C1">
      <w:pPr>
        <w:spacing w:after="0"/>
        <w:jc w:val="center"/>
        <w:rPr>
          <w:rFonts w:ascii="Verdana" w:hAnsi="Verdana" w:cs="Arial"/>
          <w:b/>
          <w:bCs/>
        </w:rPr>
      </w:pPr>
      <w:r w:rsidRPr="007F68C1">
        <w:rPr>
          <w:rFonts w:ascii="Verdana" w:hAnsi="Verdana" w:cs="Arial"/>
          <w:b/>
          <w:bCs/>
        </w:rPr>
        <w:t>RESOLUCIÓN 4777 DE 2026</w:t>
      </w:r>
    </w:p>
    <w:p w14:paraId="724AE2D2" w14:textId="77777777" w:rsidR="007F68C1" w:rsidRDefault="007F68C1" w:rsidP="007F68C1">
      <w:pPr>
        <w:spacing w:after="0"/>
        <w:jc w:val="center"/>
        <w:rPr>
          <w:rFonts w:ascii="Verdana" w:hAnsi="Verdana" w:cs="Arial"/>
          <w:b/>
          <w:bCs/>
        </w:rPr>
      </w:pPr>
    </w:p>
    <w:p w14:paraId="128151EB" w14:textId="1CC32BC8" w:rsidR="007F68C1" w:rsidRPr="00781004" w:rsidRDefault="007F68C1" w:rsidP="007F68C1">
      <w:pPr>
        <w:pStyle w:val="Sinespaciado1"/>
        <w:rPr>
          <w:rFonts w:ascii="Verdana" w:hAnsi="Verdana"/>
          <w:sz w:val="20"/>
          <w:szCs w:val="20"/>
        </w:rPr>
      </w:pPr>
      <w:r w:rsidRPr="00781004">
        <w:rPr>
          <w:rFonts w:ascii="Verdana" w:hAnsi="Verdana"/>
          <w:sz w:val="20"/>
          <w:szCs w:val="20"/>
        </w:rPr>
        <w:t xml:space="preserve">Fecha de Expedición: </w:t>
      </w:r>
      <w:r>
        <w:rPr>
          <w:rFonts w:ascii="Verdana" w:hAnsi="Verdana"/>
          <w:sz w:val="20"/>
          <w:szCs w:val="20"/>
        </w:rPr>
        <w:t>5 de agosto de 2026</w:t>
      </w:r>
    </w:p>
    <w:p w14:paraId="06306EEE" w14:textId="119757B2" w:rsidR="007F68C1" w:rsidRPr="00781004" w:rsidRDefault="007F68C1" w:rsidP="007F68C1">
      <w:pPr>
        <w:pStyle w:val="Sinespaciado1"/>
        <w:rPr>
          <w:rFonts w:ascii="Verdana" w:hAnsi="Verdana"/>
          <w:sz w:val="20"/>
          <w:szCs w:val="20"/>
        </w:rPr>
      </w:pPr>
      <w:r w:rsidRPr="00781004">
        <w:rPr>
          <w:rFonts w:ascii="Verdana" w:hAnsi="Verdana"/>
          <w:sz w:val="20"/>
          <w:szCs w:val="20"/>
        </w:rPr>
        <w:t xml:space="preserve">Fecha de entrada en vigencia: </w:t>
      </w:r>
      <w:r>
        <w:rPr>
          <w:rFonts w:ascii="Verdana" w:hAnsi="Verdana"/>
          <w:sz w:val="20"/>
          <w:szCs w:val="20"/>
        </w:rPr>
        <w:t>5 de agosto de 2026</w:t>
      </w:r>
    </w:p>
    <w:p w14:paraId="0B1C49AD" w14:textId="77777777" w:rsidR="007F68C1" w:rsidRPr="00781004" w:rsidRDefault="007F68C1" w:rsidP="007F68C1">
      <w:pPr>
        <w:pStyle w:val="Sinespaciado1"/>
        <w:rPr>
          <w:rFonts w:ascii="Verdana" w:hAnsi="Verdana"/>
          <w:sz w:val="20"/>
          <w:szCs w:val="20"/>
        </w:rPr>
      </w:pPr>
      <w:r w:rsidRPr="00781004">
        <w:rPr>
          <w:rFonts w:ascii="Verdana" w:hAnsi="Verdana"/>
          <w:sz w:val="20"/>
          <w:szCs w:val="20"/>
        </w:rPr>
        <w:t xml:space="preserve">Estado de la vigencia: </w:t>
      </w:r>
      <w:r>
        <w:rPr>
          <w:rFonts w:ascii="Verdana" w:hAnsi="Verdana"/>
          <w:sz w:val="20"/>
          <w:szCs w:val="20"/>
        </w:rPr>
        <w:t>Vigente</w:t>
      </w:r>
    </w:p>
    <w:p w14:paraId="57432193" w14:textId="77777777" w:rsidR="007F68C1" w:rsidRPr="00781004" w:rsidRDefault="007F68C1" w:rsidP="007F68C1">
      <w:pPr>
        <w:pStyle w:val="Sinespaciado1"/>
        <w:rPr>
          <w:rFonts w:ascii="Verdana" w:hAnsi="Verdana"/>
          <w:sz w:val="20"/>
          <w:szCs w:val="20"/>
        </w:rPr>
      </w:pPr>
    </w:p>
    <w:p w14:paraId="456BF94A" w14:textId="773FFD93" w:rsidR="007F68C1" w:rsidRPr="00781004" w:rsidRDefault="007F68C1" w:rsidP="007F68C1">
      <w:pPr>
        <w:pStyle w:val="Sinespaciado1"/>
        <w:spacing w:line="259" w:lineRule="auto"/>
        <w:rPr>
          <w:rFonts w:ascii="Verdana" w:hAnsi="Verdana"/>
          <w:sz w:val="20"/>
          <w:szCs w:val="20"/>
        </w:rPr>
      </w:pPr>
      <w:r w:rsidRPr="70D00E67">
        <w:rPr>
          <w:rFonts w:ascii="Verdana" w:hAnsi="Verdana"/>
          <w:sz w:val="20"/>
          <w:szCs w:val="20"/>
        </w:rPr>
        <w:t xml:space="preserve">Fecha de publicación en Diario Oficial: </w:t>
      </w:r>
      <w:r>
        <w:rPr>
          <w:rFonts w:ascii="Verdana" w:hAnsi="Verdana"/>
          <w:sz w:val="20"/>
          <w:szCs w:val="20"/>
        </w:rPr>
        <w:t>5 de agosto de 2026</w:t>
      </w:r>
    </w:p>
    <w:p w14:paraId="5A477382" w14:textId="1555ED85" w:rsidR="007F68C1" w:rsidRDefault="007F68C1" w:rsidP="007F68C1">
      <w:pPr>
        <w:pStyle w:val="Sinespaciado1"/>
        <w:rPr>
          <w:rFonts w:ascii="Verdana" w:hAnsi="Verdana"/>
          <w:sz w:val="20"/>
          <w:szCs w:val="20"/>
        </w:rPr>
      </w:pPr>
      <w:r w:rsidRPr="70D00E67">
        <w:rPr>
          <w:rFonts w:ascii="Verdana" w:hAnsi="Verdana"/>
          <w:sz w:val="20"/>
          <w:szCs w:val="20"/>
        </w:rPr>
        <w:t xml:space="preserve">Número del Diario Oficial: </w:t>
      </w:r>
      <w:r>
        <w:rPr>
          <w:rFonts w:ascii="Verdana" w:hAnsi="Verdana"/>
          <w:sz w:val="20"/>
          <w:szCs w:val="20"/>
        </w:rPr>
        <w:t>53.577</w:t>
      </w:r>
    </w:p>
    <w:p w14:paraId="331C9C35" w14:textId="77777777" w:rsidR="008B5732" w:rsidRDefault="008B5732" w:rsidP="007F68C1">
      <w:pPr>
        <w:pStyle w:val="Sinespaciado1"/>
        <w:rPr>
          <w:rFonts w:ascii="Verdana" w:hAnsi="Verdana"/>
          <w:sz w:val="20"/>
          <w:szCs w:val="20"/>
        </w:rPr>
      </w:pPr>
    </w:p>
    <w:p w14:paraId="28A29096" w14:textId="78C07572" w:rsidR="008B5732" w:rsidRDefault="008B5732" w:rsidP="007F68C1">
      <w:pPr>
        <w:pStyle w:val="Sinespaciado1"/>
        <w:rPr>
          <w:rFonts w:ascii="Verdana" w:hAnsi="Verdana"/>
          <w:sz w:val="20"/>
          <w:szCs w:val="20"/>
        </w:rPr>
      </w:pPr>
      <w:r>
        <w:rPr>
          <w:rFonts w:ascii="Verdana" w:hAnsi="Verdana"/>
          <w:sz w:val="20"/>
          <w:szCs w:val="20"/>
        </w:rPr>
        <w:t>Nota: Esta resolución entrará en vigencia el 1 de enero de 2027, en atención a lo establecido en sus artículos 10 y 15.</w:t>
      </w:r>
    </w:p>
    <w:p w14:paraId="5723C675" w14:textId="77777777" w:rsidR="007F68C1" w:rsidRDefault="007F68C1" w:rsidP="007F68C1">
      <w:pPr>
        <w:spacing w:after="0"/>
        <w:rPr>
          <w:rFonts w:ascii="Verdana" w:hAnsi="Verdana" w:cs="Arial"/>
          <w:b/>
          <w:bCs/>
        </w:rPr>
      </w:pPr>
    </w:p>
    <w:p w14:paraId="06540BD6" w14:textId="4389E902" w:rsidR="007F68C1" w:rsidRPr="007F68C1" w:rsidRDefault="007F68C1" w:rsidP="007F68C1">
      <w:pPr>
        <w:spacing w:after="0"/>
        <w:jc w:val="center"/>
        <w:rPr>
          <w:rFonts w:ascii="Verdana" w:hAnsi="Verdana" w:cs="Arial"/>
          <w:b/>
          <w:bCs/>
        </w:rPr>
      </w:pPr>
      <w:r w:rsidRPr="007F68C1">
        <w:rPr>
          <w:rFonts w:ascii="Verdana" w:hAnsi="Verdana" w:cs="Arial"/>
          <w:b/>
          <w:bCs/>
        </w:rPr>
        <w:t>RESOLUCIÓN 4777 DE 2026</w:t>
      </w:r>
    </w:p>
    <w:p w14:paraId="124D462D" w14:textId="77777777" w:rsidR="007F68C1" w:rsidRPr="007F68C1" w:rsidRDefault="007F68C1" w:rsidP="007F68C1">
      <w:pPr>
        <w:spacing w:after="0"/>
        <w:jc w:val="center"/>
        <w:rPr>
          <w:rFonts w:ascii="Verdana" w:hAnsi="Verdana" w:cs="Arial"/>
        </w:rPr>
      </w:pPr>
    </w:p>
    <w:p w14:paraId="7D56058A" w14:textId="700B9F6D" w:rsidR="007F68C1" w:rsidRPr="007F68C1" w:rsidRDefault="007F68C1" w:rsidP="007F68C1">
      <w:pPr>
        <w:spacing w:after="0"/>
        <w:jc w:val="center"/>
        <w:rPr>
          <w:rFonts w:ascii="Verdana" w:hAnsi="Verdana" w:cs="Arial"/>
        </w:rPr>
      </w:pPr>
      <w:r w:rsidRPr="007F68C1">
        <w:rPr>
          <w:rFonts w:ascii="Verdana" w:hAnsi="Verdana" w:cs="Arial"/>
        </w:rPr>
        <w:t>(5 de agosto)</w:t>
      </w:r>
    </w:p>
    <w:p w14:paraId="5C038998" w14:textId="77777777" w:rsidR="007F68C1" w:rsidRDefault="007F68C1" w:rsidP="007F68C1">
      <w:pPr>
        <w:spacing w:after="0"/>
        <w:jc w:val="center"/>
        <w:rPr>
          <w:rFonts w:ascii="Verdana" w:hAnsi="Verdana" w:cs="Arial"/>
          <w:i/>
          <w:iCs/>
        </w:rPr>
      </w:pPr>
    </w:p>
    <w:p w14:paraId="21A2AA9D" w14:textId="1D6F9067" w:rsidR="007F68C1" w:rsidRPr="007F68C1" w:rsidRDefault="007F68C1" w:rsidP="007F68C1">
      <w:pPr>
        <w:spacing w:after="0"/>
        <w:jc w:val="center"/>
        <w:rPr>
          <w:rFonts w:ascii="Verdana" w:hAnsi="Verdana" w:cs="Arial"/>
        </w:rPr>
      </w:pPr>
      <w:r w:rsidRPr="007F68C1">
        <w:rPr>
          <w:rFonts w:ascii="Verdana" w:hAnsi="Verdana" w:cs="Arial"/>
        </w:rPr>
        <w:t>“</w:t>
      </w:r>
      <w:r w:rsidRPr="007F68C1">
        <w:rPr>
          <w:rFonts w:ascii="Verdana" w:hAnsi="Verdana"/>
        </w:rPr>
        <w:t>Por la cual se adopta La Guía Operativa del Modelo de Atención Integral al Pueblo Wayúu en sus Territorios Ancestrales en La Guajira y se dictan otras disposiciones</w:t>
      </w:r>
      <w:r w:rsidRPr="007F68C1">
        <w:rPr>
          <w:rFonts w:ascii="Verdana" w:hAnsi="Verdana" w:cs="Arial"/>
        </w:rPr>
        <w:t>”</w:t>
      </w:r>
    </w:p>
    <w:p w14:paraId="14DB7F87" w14:textId="77777777" w:rsidR="007F68C1" w:rsidRPr="007F68C1" w:rsidRDefault="007F68C1" w:rsidP="7583197F">
      <w:pPr>
        <w:spacing w:after="0"/>
        <w:jc w:val="center"/>
        <w:rPr>
          <w:rFonts w:ascii="Verdana" w:eastAsia="Verdana" w:hAnsi="Verdana" w:cs="Verdana"/>
          <w:b/>
          <w:bCs/>
          <w:color w:val="000000" w:themeColor="text1"/>
        </w:rPr>
      </w:pPr>
    </w:p>
    <w:p w14:paraId="5DC22C9B" w14:textId="7D3627D2" w:rsidR="007F68C1" w:rsidRDefault="00502EC8" w:rsidP="7583197F">
      <w:pPr>
        <w:spacing w:after="0"/>
        <w:jc w:val="center"/>
        <w:rPr>
          <w:rFonts w:ascii="Verdana" w:eastAsia="Verdana" w:hAnsi="Verdana" w:cs="Verdana"/>
          <w:b/>
          <w:bCs/>
          <w:color w:val="000000" w:themeColor="text1"/>
          <w:lang w:val="es"/>
        </w:rPr>
      </w:pPr>
      <w:r w:rsidRPr="006343DC">
        <w:rPr>
          <w:rFonts w:ascii="Verdana" w:eastAsia="Times New Roman" w:hAnsi="Verdana" w:cs="Arial"/>
          <w:b/>
          <w:noProof/>
          <w:spacing w:val="-3"/>
          <w:lang w:val="es-ES_tradnl" w:eastAsia="es-ES_tradnl"/>
        </w:rPr>
        <mc:AlternateContent>
          <mc:Choice Requires="wps">
            <w:drawing>
              <wp:anchor distT="0" distB="0" distL="114300" distR="114300" simplePos="0" relativeHeight="251658240" behindDoc="0" locked="0" layoutInCell="1" allowOverlap="1" wp14:anchorId="4097398F" wp14:editId="0487FE84">
                <wp:simplePos x="0" y="0"/>
                <wp:positionH relativeFrom="column">
                  <wp:posOffset>-688340</wp:posOffset>
                </wp:positionH>
                <wp:positionV relativeFrom="paragraph">
                  <wp:posOffset>-513715</wp:posOffset>
                </wp:positionV>
                <wp:extent cx="760095" cy="237490"/>
                <wp:effectExtent l="1270" t="3810" r="635" b="0"/>
                <wp:wrapNone/>
                <wp:docPr id="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02A51" w14:textId="77777777" w:rsidR="00AE1232" w:rsidRPr="00D43539" w:rsidRDefault="00AE1232" w:rsidP="00AE1232">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7398F" id="_x0000_t202" coordsize="21600,21600" o:spt="202" path="m,l,21600r21600,l21600,xe">
                <v:stroke joinstyle="miter"/>
                <v:path gradientshapeok="t" o:connecttype="rect"/>
              </v:shapetype>
              <v:shape id="Text Box 16" o:spid="_x0000_s1026" type="#_x0000_t202" style="position:absolute;left:0;text-align:left;margin-left:-54.2pt;margin-top:-40.45pt;width:59.85pt;height:1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" filled="f" stroked="f">
                <v:textbox>
                  <w:txbxContent>
                    <w:p w14:paraId="5FC02A51" w14:textId="77777777" w:rsidR="00AE1232" w:rsidRPr="00D43539" w:rsidRDefault="00AE1232" w:rsidP="00AE1232">
                      <w:pPr>
                        <w:rPr>
                          <w:rFonts w:ascii="Arial" w:hAnsi="Arial" w:cs="Arial"/>
                          <w:sz w:val="16"/>
                          <w:szCs w:val="16"/>
                        </w:rPr>
                      </w:pPr>
                    </w:p>
                  </w:txbxContent>
                </v:textbox>
              </v:shape>
            </w:pict>
          </mc:Fallback>
        </mc:AlternateContent>
      </w:r>
    </w:p>
    <w:p w14:paraId="32801D7C" w14:textId="0AE06653" w:rsidR="000525E2" w:rsidRPr="006343DC" w:rsidRDefault="6064D3A9" w:rsidP="7583197F">
      <w:pPr>
        <w:spacing w:after="0"/>
        <w:jc w:val="center"/>
        <w:rPr>
          <w:rFonts w:ascii="Verdana" w:eastAsia="Verdana" w:hAnsi="Verdana" w:cs="Verdana"/>
          <w:b/>
          <w:bCs/>
          <w:i/>
          <w:iCs/>
          <w:color w:val="000000" w:themeColor="text1"/>
          <w:lang w:val="es"/>
        </w:rPr>
      </w:pPr>
      <w:r w:rsidRPr="006343DC">
        <w:rPr>
          <w:rFonts w:ascii="Verdana" w:eastAsia="Verdana" w:hAnsi="Verdana" w:cs="Verdana"/>
          <w:b/>
          <w:bCs/>
          <w:color w:val="000000" w:themeColor="text1"/>
          <w:lang w:val="es"/>
        </w:rPr>
        <w:t>LA DIRECTORA GENERAL DEL INSTITUTO COLOMBIANO DE BIENESTAR FAMILIAR (ICBF) “</w:t>
      </w:r>
      <w:r w:rsidRPr="006343DC">
        <w:rPr>
          <w:rFonts w:ascii="Verdana" w:eastAsia="Verdana" w:hAnsi="Verdana" w:cs="Verdana"/>
          <w:b/>
          <w:bCs/>
          <w:i/>
          <w:iCs/>
          <w:color w:val="000000" w:themeColor="text1"/>
          <w:lang w:val="es"/>
        </w:rPr>
        <w:t>CECILIA DE LA FUENTE DE LLERAS”</w:t>
      </w:r>
    </w:p>
    <w:p w14:paraId="6AA644AC" w14:textId="7A2C6A89" w:rsidR="000525E2" w:rsidRPr="006343DC" w:rsidRDefault="6064D3A9" w:rsidP="7583197F">
      <w:pPr>
        <w:spacing w:after="0"/>
        <w:jc w:val="center"/>
        <w:rPr>
          <w:rFonts w:ascii="Verdana" w:eastAsia="Verdana" w:hAnsi="Verdana" w:cs="Verdana"/>
          <w:i/>
          <w:iCs/>
          <w:color w:val="000000" w:themeColor="text1"/>
          <w:lang w:val="es"/>
        </w:rPr>
      </w:pPr>
      <w:r w:rsidRPr="006343DC">
        <w:rPr>
          <w:rFonts w:ascii="Verdana" w:eastAsia="Verdana" w:hAnsi="Verdana" w:cs="Verdana"/>
          <w:i/>
          <w:iCs/>
          <w:color w:val="000000" w:themeColor="text1"/>
          <w:lang w:val="es"/>
        </w:rPr>
        <w:t xml:space="preserve"> </w:t>
      </w:r>
    </w:p>
    <w:p w14:paraId="1C4C4AF9" w14:textId="70469919" w:rsidR="000525E2" w:rsidRPr="006343DC" w:rsidRDefault="6064D3A9" w:rsidP="00AE32C9">
      <w:pPr>
        <w:spacing w:after="0"/>
        <w:jc w:val="center"/>
        <w:rPr>
          <w:rFonts w:ascii="Verdana" w:eastAsia="Verdana" w:hAnsi="Verdana" w:cs="Verdana"/>
          <w:color w:val="000000" w:themeColor="text1"/>
          <w:lang w:val="es"/>
        </w:rPr>
      </w:pPr>
      <w:r w:rsidRPr="006343DC">
        <w:rPr>
          <w:rFonts w:ascii="Verdana" w:eastAsia="Verdana" w:hAnsi="Verdana" w:cs="Verdana"/>
          <w:color w:val="000000" w:themeColor="text1"/>
          <w:lang w:val="es"/>
        </w:rPr>
        <w:t>En uso de las facultades legales y estatutarias, en especial las conferidas en el artículo 78 de la Ley 489 de 1998, el literal b) del artículo 28 de la Ley 7 de 1979, el literal a) del artículo 28 del Acuerdo 102 de 1979 aprobado por el Decreto 334 de 1980 y el numeral 24 del artículo 3 del Decreto 1430 de 2025, y</w:t>
      </w:r>
    </w:p>
    <w:p w14:paraId="7A35B8CC" w14:textId="2DC35437" w:rsidR="000525E2" w:rsidRPr="006343DC" w:rsidRDefault="6064D3A9" w:rsidP="00AE32C9">
      <w:pPr>
        <w:spacing w:after="0"/>
        <w:jc w:val="center"/>
        <w:rPr>
          <w:rFonts w:ascii="Verdana" w:eastAsia="Verdana" w:hAnsi="Verdana" w:cs="Verdana"/>
          <w:color w:val="000000" w:themeColor="text1"/>
          <w:lang w:val="es"/>
        </w:rPr>
      </w:pPr>
      <w:r w:rsidRPr="006343DC">
        <w:rPr>
          <w:rFonts w:ascii="Verdana" w:eastAsia="Verdana" w:hAnsi="Verdana" w:cs="Verdana"/>
          <w:color w:val="000000" w:themeColor="text1"/>
          <w:lang w:val="es"/>
        </w:rPr>
        <w:t xml:space="preserve"> </w:t>
      </w:r>
    </w:p>
    <w:p w14:paraId="4AC64D1F" w14:textId="27955A5B" w:rsidR="000525E2" w:rsidRPr="006343DC" w:rsidRDefault="6064D3A9" w:rsidP="00AE32C9">
      <w:pPr>
        <w:spacing w:after="0"/>
        <w:jc w:val="center"/>
        <w:rPr>
          <w:rFonts w:ascii="Verdana" w:eastAsia="Verdana" w:hAnsi="Verdana" w:cs="Verdana"/>
          <w:b/>
          <w:bCs/>
          <w:color w:val="000000" w:themeColor="text1"/>
          <w:lang w:val="es"/>
        </w:rPr>
      </w:pPr>
      <w:r w:rsidRPr="006343DC">
        <w:rPr>
          <w:rFonts w:ascii="Verdana" w:eastAsia="Verdana" w:hAnsi="Verdana" w:cs="Verdana"/>
          <w:b/>
          <w:bCs/>
          <w:color w:val="000000" w:themeColor="text1"/>
          <w:lang w:val="es"/>
        </w:rPr>
        <w:t>CONSIDERANDO</w:t>
      </w:r>
    </w:p>
    <w:p w14:paraId="61DD42E2" w14:textId="21773E6A" w:rsidR="000525E2" w:rsidRPr="006343DC" w:rsidRDefault="6064D3A9" w:rsidP="00AE32C9">
      <w:pPr>
        <w:spacing w:before="240" w:after="240"/>
        <w:jc w:val="both"/>
        <w:rPr>
          <w:rFonts w:ascii="Verdana" w:eastAsia="Verdana" w:hAnsi="Verdana" w:cs="Verdana"/>
          <w:color w:val="000000" w:themeColor="text1"/>
          <w:lang w:val="es"/>
        </w:rPr>
      </w:pPr>
      <w:r w:rsidRPr="006343DC">
        <w:rPr>
          <w:rFonts w:ascii="Verdana" w:eastAsia="Verdana" w:hAnsi="Verdana" w:cs="Verdana"/>
          <w:color w:val="000000" w:themeColor="text1"/>
          <w:lang w:val="es"/>
        </w:rPr>
        <w:t xml:space="preserve">Que la Comisión Interamericana de Derechos Humanos, mediante la Medida Cautelar MC-51/15 del 11 de diciembre de 2015, posteriormente ampliada en el año 2017, otorgada a favor de las niñas, niños y adolescentes del pueblo </w:t>
      </w:r>
      <w:r w:rsidR="006A3F84">
        <w:rPr>
          <w:rFonts w:ascii="Verdana" w:eastAsia="Verdana" w:hAnsi="Verdana" w:cs="Verdana"/>
          <w:color w:val="000000" w:themeColor="text1"/>
          <w:lang w:val="es"/>
        </w:rPr>
        <w:t>Wayúu</w:t>
      </w:r>
      <w:r w:rsidRPr="006343DC">
        <w:rPr>
          <w:rFonts w:ascii="Verdana" w:eastAsia="Verdana" w:hAnsi="Verdana" w:cs="Verdana"/>
          <w:color w:val="000000" w:themeColor="text1"/>
          <w:lang w:val="es"/>
        </w:rPr>
        <w:t xml:space="preserve"> de los municipios de Uribia, Manaure, Riohacha y Maicao, identificó una situación de gravedad y urgencia derivada de la desnutrición, la falta de acceso a agua potable y las deficiencias en la prestación de los servicios de salud, requiriendo al Estado colombiano la adopción de medidas inmediatas y estructurales, con enfoque diferencial, pertinencia cultural y concertación comunitaria.</w:t>
      </w:r>
    </w:p>
    <w:p w14:paraId="5601883F" w14:textId="76A23F46" w:rsidR="000525E2" w:rsidRPr="006343DC" w:rsidRDefault="6064D3A9" w:rsidP="00AE32C9">
      <w:pPr>
        <w:spacing w:before="240" w:after="240"/>
        <w:jc w:val="both"/>
        <w:rPr>
          <w:rFonts w:ascii="Verdana" w:eastAsia="Verdana" w:hAnsi="Verdana" w:cs="Verdana"/>
          <w:b/>
          <w:bCs/>
          <w:color w:val="000000" w:themeColor="text1"/>
        </w:rPr>
      </w:pPr>
      <w:r w:rsidRPr="006343DC">
        <w:rPr>
          <w:rFonts w:ascii="Verdana" w:eastAsia="Verdana" w:hAnsi="Verdana" w:cs="Verdana"/>
          <w:color w:val="000000" w:themeColor="text1"/>
        </w:rPr>
        <w:t xml:space="preserve">Que la Corte Constitucional, mediante la Sentencia T-302 de 2017, declaró el Estado de Cosas Inconstitucional respecto de la grave vulneración de los derechos </w:t>
      </w:r>
      <w:r w:rsidRPr="006343DC">
        <w:rPr>
          <w:rFonts w:ascii="Verdana" w:eastAsia="Verdana" w:hAnsi="Verdana" w:cs="Verdana"/>
          <w:color w:val="000000" w:themeColor="text1"/>
        </w:rPr>
        <w:lastRenderedPageBreak/>
        <w:t xml:space="preserve">fundamentales a la salud, la alimentación, el agua potable y la participación de las niñas, niños y adolescentes pertenecientes a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de los municipios de Riohacha, Manaure, Maicao y Uribia.</w:t>
      </w:r>
    </w:p>
    <w:p w14:paraId="3517AB2B" w14:textId="4962474E"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dicha providencia, la Corte Constitucional estableció ocho objetivos constitucionales mínimos orientados a superar las causas estructurales que dieron origen al Estado de Cosas Inconstitucional, consistentes en: i) aumentar la disponibilidad, accesibilidad y calidad del agua; ii) mejorar la efectividad de los programas de atención alimentaria y aumentar la cobertura de los programas de seguridad alimentaria; iii) aumentar y mejorar las medidas inmediatas y urgentes en materia de salud; iv) mejorar la movilidad de las comunidades; v) garantizar la imparcialidad y la transparencia en la asignación de beneficios; vi) garantizar la sostenibilidad de las intervenciones estatales; vii) mejorar la información disponible para la toma de decisiones; y viii) garantizar un diálogo genuino con las autoridades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w:t>
      </w:r>
    </w:p>
    <w:p w14:paraId="7A7394CB" w14:textId="5A56644F"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así mismo, la Corte señaló </w:t>
      </w:r>
      <w:r w:rsidR="48CCDC4F" w:rsidRPr="006343DC">
        <w:rPr>
          <w:rFonts w:ascii="Verdana" w:eastAsia="Verdana" w:hAnsi="Verdana" w:cs="Verdana"/>
          <w:color w:val="000000" w:themeColor="text1"/>
        </w:rPr>
        <w:t>en la Sentencia T</w:t>
      </w:r>
      <w:r w:rsidR="00711355">
        <w:rPr>
          <w:rFonts w:ascii="Verdana" w:eastAsia="Verdana" w:hAnsi="Verdana" w:cs="Verdana"/>
          <w:color w:val="000000" w:themeColor="text1"/>
        </w:rPr>
        <w:t>-</w:t>
      </w:r>
      <w:r w:rsidR="48CCDC4F" w:rsidRPr="006343DC">
        <w:rPr>
          <w:rFonts w:ascii="Verdana" w:eastAsia="Verdana" w:hAnsi="Verdana" w:cs="Verdana"/>
          <w:color w:val="000000" w:themeColor="text1"/>
        </w:rPr>
        <w:t xml:space="preserve">302 </w:t>
      </w:r>
      <w:r w:rsidR="7C2F281D" w:rsidRPr="006343DC">
        <w:rPr>
          <w:rFonts w:ascii="Verdana" w:eastAsia="Verdana" w:hAnsi="Verdana" w:cs="Verdana"/>
          <w:color w:val="000000" w:themeColor="text1"/>
        </w:rPr>
        <w:t xml:space="preserve">de 2017 </w:t>
      </w:r>
      <w:r w:rsidRPr="006343DC">
        <w:rPr>
          <w:rFonts w:ascii="Verdana" w:eastAsia="Verdana" w:hAnsi="Verdana" w:cs="Verdana"/>
          <w:color w:val="000000" w:themeColor="text1"/>
        </w:rPr>
        <w:t xml:space="preserve">que la superación del Estado de Cosas Inconstitucional exige que las oportunidades de las niñas y niños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para construir autónomamente un proyecto de vida en condiciones de dignidad sean, por lo menos, equivalentes a aquellas de las que disfrutan, en promedio, las niñas y niños del resto del país.</w:t>
      </w:r>
    </w:p>
    <w:p w14:paraId="1B9ACF14" w14:textId="3F5316E5"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para valorar el cumplimiento de las órdenes impartidas y el avance en la superación del Estado de Cosas Inconstitucional, la Corte definió </w:t>
      </w:r>
      <w:r w:rsidR="205AA9AC" w:rsidRPr="006343DC">
        <w:rPr>
          <w:rFonts w:ascii="Verdana" w:eastAsia="Verdana" w:hAnsi="Verdana" w:cs="Verdana"/>
          <w:color w:val="000000" w:themeColor="text1"/>
        </w:rPr>
        <w:t xml:space="preserve">en la Sentencia </w:t>
      </w:r>
      <w:r w:rsidR="00202416">
        <w:rPr>
          <w:rFonts w:ascii="Verdana" w:eastAsia="Verdana" w:hAnsi="Verdana" w:cs="Verdana"/>
          <w:color w:val="000000" w:themeColor="text1"/>
        </w:rPr>
        <w:t>T-302</w:t>
      </w:r>
      <w:r w:rsidR="205AA9AC" w:rsidRPr="006343DC">
        <w:rPr>
          <w:rFonts w:ascii="Verdana" w:eastAsia="Verdana" w:hAnsi="Verdana" w:cs="Verdana"/>
          <w:color w:val="000000" w:themeColor="text1"/>
        </w:rPr>
        <w:t xml:space="preserve"> de 2017</w:t>
      </w:r>
      <w:r w:rsidRPr="006343DC">
        <w:rPr>
          <w:rFonts w:ascii="Verdana" w:eastAsia="Verdana" w:hAnsi="Verdana" w:cs="Verdana"/>
          <w:color w:val="000000" w:themeColor="text1"/>
        </w:rPr>
        <w:t xml:space="preserve"> cuatro indicadores básicos en materia de alimentación y nutrición: i) la tasa de mortalidad por desnutrición en menores de cinco años; ii) la prevalencia de desnutrición crónica en menores de cinco años; iii) la prevalencia de desnutrición global en menores de cinco años; y iv) la prevalencia de desnutrición aguda en menores de cinco años.</w:t>
      </w:r>
    </w:p>
    <w:p w14:paraId="258FBEA5" w14:textId="67E83F44"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la evolución de estos indicadores constituye un parámetro de resultado para evaluar la efectividad de las medidas adoptadas por las entidades responsables y determinar el avance en la superación de las condiciones contrarias al orden constitucional identificadas en la Sentencia T-302 de 2017.</w:t>
      </w:r>
    </w:p>
    <w:p w14:paraId="2A186AEC" w14:textId="71A2341E"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el marco del seguimiento al cumplimiento de la Sentencia T-302 de 2017, la Sala Especial de Seguimiento de la Corte Constitucional, mediante el Auto 696 de 2022, adoptó medidas cautelares de protección y dispuso la formulación de un Plan Provisional de Acción (PPA) como un instrumento transitorio de ejecución inmediata, destinado a atender las situaciones más urgentes y contribuir a la superación de las </w:t>
      </w:r>
      <w:r w:rsidRPr="006343DC">
        <w:rPr>
          <w:rFonts w:ascii="Verdana" w:eastAsia="Verdana" w:hAnsi="Verdana" w:cs="Verdana"/>
          <w:color w:val="000000" w:themeColor="text1"/>
        </w:rPr>
        <w:lastRenderedPageBreak/>
        <w:t xml:space="preserve">causas estructurales que dieron origen al Estado de Cosas Inconstitucional, mientras se avanzaba en la consolidación de la política pública definitiva para la garantía de los derechos fundamentales de la niñez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w:t>
      </w:r>
    </w:p>
    <w:p w14:paraId="03693FCE" w14:textId="4C1EE41F"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posteriormente, mediante los Autos 1290 de 2023, 311 y 1843 de 2024, la Sala Especial de Seguimiento </w:t>
      </w:r>
      <w:r w:rsidR="3B0FEDBB" w:rsidRPr="006343DC">
        <w:rPr>
          <w:rFonts w:ascii="Verdana" w:eastAsia="Verdana" w:hAnsi="Verdana" w:cs="Verdana"/>
          <w:color w:val="000000" w:themeColor="text1"/>
        </w:rPr>
        <w:t xml:space="preserve">a la Sentencia </w:t>
      </w:r>
      <w:r w:rsidR="00202416">
        <w:rPr>
          <w:rFonts w:ascii="Verdana" w:eastAsia="Verdana" w:hAnsi="Verdana" w:cs="Verdana"/>
          <w:color w:val="000000" w:themeColor="text1"/>
        </w:rPr>
        <w:t>T-302</w:t>
      </w:r>
      <w:r w:rsidR="3B0FEDBB" w:rsidRPr="006343DC">
        <w:rPr>
          <w:rFonts w:ascii="Verdana" w:eastAsia="Verdana" w:hAnsi="Verdana" w:cs="Verdana"/>
          <w:color w:val="000000" w:themeColor="text1"/>
        </w:rPr>
        <w:t xml:space="preserve"> de 2017 de la Corte Constitucional </w:t>
      </w:r>
      <w:r w:rsidRPr="006343DC">
        <w:rPr>
          <w:rFonts w:ascii="Verdana" w:eastAsia="Verdana" w:hAnsi="Verdana" w:cs="Verdana"/>
          <w:color w:val="000000" w:themeColor="text1"/>
        </w:rPr>
        <w:t xml:space="preserve">valoró, ajustó y aprobó dicho instrumento, reiterando la necesidad de adoptar medidas estructurales, sostenibles, diferenciales e interculturales, construidas a partir del diálogo genuino con las autoridades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orientadas al cumplimiento de los objetivos constitucionales mínimos establecidos en</w:t>
      </w:r>
      <w:r w:rsidR="002D0BC3" w:rsidRPr="006343DC">
        <w:rPr>
          <w:rFonts w:ascii="Verdana" w:eastAsia="Verdana" w:hAnsi="Verdana" w:cs="Verdana"/>
          <w:color w:val="000000" w:themeColor="text1"/>
        </w:rPr>
        <w:t xml:space="preserve"> </w:t>
      </w:r>
      <w:r w:rsidR="3848715A" w:rsidRPr="006343DC">
        <w:rPr>
          <w:rFonts w:ascii="Verdana" w:eastAsia="Verdana" w:hAnsi="Verdana" w:cs="Verdana"/>
          <w:color w:val="000000" w:themeColor="text1"/>
        </w:rPr>
        <w:t>la mencionada providencia</w:t>
      </w:r>
      <w:r w:rsidRPr="006343DC">
        <w:rPr>
          <w:rFonts w:ascii="Verdana" w:eastAsia="Verdana" w:hAnsi="Verdana" w:cs="Verdana"/>
          <w:color w:val="000000" w:themeColor="text1"/>
        </w:rPr>
        <w:t xml:space="preserve">. </w:t>
      </w:r>
    </w:p>
    <w:p w14:paraId="5C6DD122" w14:textId="620B89DC"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en desarrollo de estas medidas y del proceso de ajuste del referido P</w:t>
      </w:r>
      <w:r w:rsidR="5D42FE60" w:rsidRPr="006343DC">
        <w:rPr>
          <w:rFonts w:ascii="Verdana" w:eastAsia="Verdana" w:hAnsi="Verdana" w:cs="Verdana"/>
          <w:color w:val="000000" w:themeColor="text1"/>
        </w:rPr>
        <w:t>PA</w:t>
      </w:r>
      <w:r w:rsidRPr="006343DC">
        <w:rPr>
          <w:rFonts w:ascii="Verdana" w:eastAsia="Verdana" w:hAnsi="Verdana" w:cs="Verdana"/>
          <w:color w:val="000000" w:themeColor="text1"/>
        </w:rPr>
        <w:t xml:space="preserve">, el Instituto Colombiano de Bienestar Familiar formuló la Acción No. 16, denominada “Construir un modelo de atención integral a la niñez y a las familias a partir del diálogo con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que aporte a su pervivencia cultural y social en los cuatro municipios objeto de la Sentencia”, la cual sirvió de fundamento para la elaboración de la Guía para la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posteriormente, para la construcción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w:t>
      </w:r>
    </w:p>
    <w:p w14:paraId="3B72112B" w14:textId="7F6458DC"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mediante el Auto 1179 de 2025, la Sala Especial de Seguimiento valoró el </w:t>
      </w:r>
      <w:r w:rsidR="31CC6B17" w:rsidRPr="006343DC">
        <w:rPr>
          <w:rFonts w:ascii="Verdana" w:eastAsia="Verdana" w:hAnsi="Verdana" w:cs="Verdana"/>
          <w:color w:val="000000" w:themeColor="text1"/>
        </w:rPr>
        <w:t>segundo</w:t>
      </w:r>
      <w:r w:rsidRPr="006343DC">
        <w:rPr>
          <w:rFonts w:ascii="Verdana" w:eastAsia="Verdana" w:hAnsi="Verdana" w:cs="Verdana"/>
          <w:color w:val="000000" w:themeColor="text1"/>
        </w:rPr>
        <w:t xml:space="preserve"> objetivo constitucional mínimo relacionado con la efectividad de los programas de atención alimentaria y el aumento de la cobertura de los programas de seguridad alimentaria, declarando un nivel de cumplimiento bajo. No obstante, reconoció que la reformulación de la Modalidad Propia e Intercultural adelantada por el Instituto Colombiano de Bienestar Familiar constituye una medida admisible y destacó que la propuesta presentada por la Entidad incorpora elementos propios de la cosmovisión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fortalece el cuidado comunitario y familiar y constituye una hoja de ruta para la consolidación de un modelo de atención integral compatible con la pervivencia cultural y las necesidades de desarrollo integral de la niñez </w:t>
      </w:r>
      <w:r w:rsidR="006A3F84">
        <w:rPr>
          <w:rFonts w:ascii="Verdana" w:eastAsia="Verdana" w:hAnsi="Verdana" w:cs="Verdana"/>
          <w:color w:val="000000" w:themeColor="text1"/>
        </w:rPr>
        <w:t>Wayúu</w:t>
      </w:r>
      <w:r w:rsidRPr="006343DC">
        <w:rPr>
          <w:rFonts w:ascii="Verdana" w:eastAsia="Verdana" w:hAnsi="Verdana" w:cs="Verdana"/>
          <w:color w:val="000000" w:themeColor="text1"/>
        </w:rPr>
        <w:t>.</w:t>
      </w:r>
    </w:p>
    <w:p w14:paraId="408B1B9E" w14:textId="47B1EFD3"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adicionalmente, mediante el referido Auto, la Sala Especial de Seguimiento ordenó al Comité Técnico del Derecho Humano a la Alimentación y Desarrollo de Capacidades Productivas del </w:t>
      </w:r>
      <w:commentRangeStart w:id="0"/>
      <w:r w:rsidRPr="006343DC">
        <w:rPr>
          <w:rFonts w:ascii="Verdana" w:eastAsia="Verdana" w:hAnsi="Verdana" w:cs="Verdana"/>
          <w:color w:val="000000" w:themeColor="text1"/>
        </w:rPr>
        <w:t>MESEPP,</w:t>
      </w:r>
      <w:commentRangeEnd w:id="0"/>
      <w:r w:rsidR="00711355" w:rsidRPr="006343DC">
        <w:rPr>
          <w:rStyle w:val="Refdecomentario"/>
          <w:rFonts w:ascii="Verdana" w:eastAsia="Verdana" w:hAnsi="Verdana" w:cs="Verdana"/>
          <w:color w:val="000000" w:themeColor="text1"/>
          <w:sz w:val="22"/>
          <w:szCs w:val="22"/>
        </w:rPr>
        <w:commentReference w:id="0"/>
      </w:r>
      <w:r w:rsidRPr="006343DC">
        <w:rPr>
          <w:rFonts w:ascii="Verdana" w:eastAsia="Verdana" w:hAnsi="Verdana" w:cs="Verdana"/>
          <w:color w:val="000000" w:themeColor="text1"/>
        </w:rPr>
        <w:t xml:space="preserve"> por conducto de la Consejería Presidencial para las Regiones, la formulación y remisión de un Plan Estructural en materia del derecho humano a la alimentación de la niñez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destinado a complementar y trascender las intervenciones de urgencia y simple atención alimentaria reportadas hasta la fecha, incorporando medidas concretas, sostenibles, verificables y culturalmente </w:t>
      </w:r>
      <w:r w:rsidRPr="006343DC">
        <w:rPr>
          <w:rFonts w:ascii="Verdana" w:eastAsia="Verdana" w:hAnsi="Verdana" w:cs="Verdana"/>
          <w:color w:val="000000" w:themeColor="text1"/>
        </w:rPr>
        <w:lastRenderedPageBreak/>
        <w:t>pertinentes, así como mecanismos de seguimiento, indicadores de goce efectivo de derechos y espacios de diálogo genuino.</w:t>
      </w:r>
    </w:p>
    <w:p w14:paraId="68E61E99" w14:textId="104A4DE4"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en el marco de la construcción del referido Plan Estructural de Acción, el Instituto Colombiano de Bienestar Familiar presentó</w:t>
      </w:r>
      <w:r w:rsidR="00CF24F3"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la consolidación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como una propuesta institucional orientada a contribuir a la garantía progresiva del derecho humano a la alimentación y a la superación del Estado de Cosas Inconstitucional declarado mediante la Sentencia T-302 de 2017, constituyéndose en la evolución y consolidación de la Acción No. 16 formulada inicialmente en el marco del Plan Provisional de Acción.</w:t>
      </w:r>
    </w:p>
    <w:p w14:paraId="3225FE9E" w14:textId="5C00BDA8"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cumplimiento de las órdenes impartidas por la Corte Constitucional y como resultado del proceso de construcción colectiva adelantado con autoridades ancestrales y tradicionales, líderes, lideresas y comunidades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w:t>
      </w:r>
      <w:r w:rsidRPr="00711355">
        <w:rPr>
          <w:rFonts w:ascii="Verdana" w:eastAsia="Verdana" w:hAnsi="Verdana" w:cs="Verdana"/>
          <w:strike/>
          <w:color w:val="000000" w:themeColor="text1"/>
        </w:rPr>
        <w:t>el Instituto Colombiano de Bienestar Familiar</w:t>
      </w:r>
      <w:r w:rsidRPr="006343DC">
        <w:rPr>
          <w:rFonts w:ascii="Verdana" w:eastAsia="Verdana" w:hAnsi="Verdana" w:cs="Verdana"/>
          <w:color w:val="000000" w:themeColor="text1"/>
        </w:rPr>
        <w:t xml:space="preserve"> </w:t>
      </w:r>
      <w:r w:rsidR="00711355">
        <w:rPr>
          <w:rFonts w:ascii="Verdana" w:eastAsia="Verdana" w:hAnsi="Verdana" w:cs="Verdana"/>
          <w:color w:val="000000" w:themeColor="text1"/>
        </w:rPr>
        <w:t xml:space="preserve">ICBF </w:t>
      </w:r>
      <w:r w:rsidRPr="006343DC">
        <w:rPr>
          <w:rFonts w:ascii="Verdana" w:eastAsia="Verdana" w:hAnsi="Verdana" w:cs="Verdana"/>
          <w:color w:val="000000" w:themeColor="text1"/>
        </w:rPr>
        <w:t xml:space="preserve">consolidó 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w:t>
      </w:r>
      <w:r w:rsidRPr="006343DC">
        <w:rPr>
          <w:rFonts w:ascii="Verdana" w:eastAsia="Verdana" w:hAnsi="Verdana" w:cs="Verdana"/>
          <w:b/>
          <w:bCs/>
          <w:color w:val="000000" w:themeColor="text1"/>
        </w:rPr>
        <w:t xml:space="preserve">. </w:t>
      </w:r>
      <w:r w:rsidRPr="006343DC">
        <w:rPr>
          <w:rFonts w:ascii="Verdana" w:eastAsia="Verdana" w:hAnsi="Verdana" w:cs="Verdana"/>
          <w:color w:val="000000" w:themeColor="text1"/>
        </w:rPr>
        <w:t xml:space="preserve">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recoge los aprendizajes obtenidos en el desarrollo del piloto implementado durante la vigencia 2024, incorpora los aportes de más de ochocientas sesenta y dos (862)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las orientaciones de</w:t>
      </w:r>
      <w:r w:rsidR="41DA1BAC" w:rsidRPr="006343DC">
        <w:rPr>
          <w:rFonts w:ascii="Verdana" w:eastAsia="Verdana" w:hAnsi="Verdana" w:cs="Verdana"/>
          <w:color w:val="000000" w:themeColor="text1"/>
        </w:rPr>
        <w:t xml:space="preserve"> la Ley 2294 de 2023</w:t>
      </w:r>
      <w:r w:rsidRPr="006343DC">
        <w:rPr>
          <w:rFonts w:ascii="Verdana" w:eastAsia="Verdana" w:hAnsi="Verdana" w:cs="Verdana"/>
          <w:color w:val="000000" w:themeColor="text1"/>
        </w:rPr>
        <w:t xml:space="preserve"> Plan Nacional de Desarrollo 2022-2026 “Colombia, Potencia Mundial de la Vida”, permitiendo avanzar en la garantía de los derechos fundamentales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en la superación progresiva del Estado de Cosas Inconstitucional.</w:t>
      </w:r>
    </w:p>
    <w:p w14:paraId="2F2D8EC6" w14:textId="6C49DE47"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el proceso de diálogo </w:t>
      </w:r>
      <w:r w:rsidR="5FB32A62" w:rsidRPr="006343DC">
        <w:rPr>
          <w:rFonts w:ascii="Verdana" w:eastAsia="Verdana" w:hAnsi="Verdana" w:cs="Verdana"/>
          <w:color w:val="000000" w:themeColor="text1"/>
        </w:rPr>
        <w:t>genuino se</w:t>
      </w:r>
      <w:r w:rsidRPr="006343DC">
        <w:rPr>
          <w:rFonts w:ascii="Verdana" w:eastAsia="Verdana" w:hAnsi="Verdana" w:cs="Verdana"/>
          <w:color w:val="000000" w:themeColor="text1"/>
        </w:rPr>
        <w:t xml:space="preserve"> encuentra en consonancia con el reconocimiento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como sujeto colectivo de derechos efectuado por la Corte Constitucional mediante los Autos 1193 de 2021, 305 de 2023 y 011 de 2024, así como con la necesidad de garantizar medidas culturalmente pertinentes orientadas a la protección integral de la niñez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al fortalecimiento de la pervivencia física y cultural de este pueblo indígena.</w:t>
      </w:r>
    </w:p>
    <w:p w14:paraId="79315016" w14:textId="2FA14BB2"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en concordancia con la Ley 1804 de 2016, se fundamenta en una visión relacional, intersectorial y culturalmente pertinente, que reconoce a las niñas, niños, adolescentes, jóvenes, </w:t>
      </w:r>
      <w:r w:rsidR="0051665A" w:rsidRPr="0051665A">
        <w:rPr>
          <w:rFonts w:ascii="Verdana" w:eastAsia="Verdana" w:hAnsi="Verdana" w:cs="Verdana"/>
          <w:color w:val="000000" w:themeColor="text1"/>
        </w:rPr>
        <w:t>mujeres que están en periodo de lactancia</w:t>
      </w:r>
      <w:r w:rsidR="00EB589C" w:rsidRPr="006343DC">
        <w:rPr>
          <w:rFonts w:ascii="Verdana" w:eastAsia="Verdana" w:hAnsi="Verdana" w:cs="Verdana"/>
          <w:color w:val="000000" w:themeColor="text1"/>
        </w:rPr>
        <w:t>,</w:t>
      </w:r>
      <w:r w:rsidRPr="006343DC">
        <w:rPr>
          <w:rFonts w:ascii="Verdana" w:eastAsia="Verdana" w:hAnsi="Verdana" w:cs="Verdana"/>
          <w:color w:val="000000" w:themeColor="text1"/>
        </w:rPr>
        <w:t xml:space="preserve"> como sujetos de derechos en el marco de sus entornos familiar, comunitario y territorial. La integralidad, entendida como la articulación efectiva de acciones continuas, oportunas, diferenciadas y complementarias, busca garantizar el desarrollo físico, emocional, espiritual y social de la niñez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coherencia con sus </w:t>
      </w:r>
      <w:r w:rsidRPr="006343DC">
        <w:rPr>
          <w:rFonts w:ascii="Verdana" w:eastAsia="Verdana" w:hAnsi="Verdana" w:cs="Verdana"/>
          <w:color w:val="000000" w:themeColor="text1"/>
        </w:rPr>
        <w:lastRenderedPageBreak/>
        <w:t>sistemas de cuidado, sus saberes ancestrales y sus prácticas culturales. En este sentido, el Modelo trasciende el enfoque individual y se sitúa en una lógica de corresponsabilidad colectiva, reconociendo el rol de las familias, las autoridades tradicionales, las comunidades y el Estado en la protección y promoción de los derechos fundamentales de esta población de especial protección constitucional.</w:t>
      </w:r>
    </w:p>
    <w:p w14:paraId="16910F55" w14:textId="42605A32"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constituye una ruta técnica orientadora de la implementación progresiva de una atención integral propia, enmarcada en un contexto jurídico que exige adaptación e innovación permanentes para responder a la complejidad de las necesidades y derechos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Así mismo, promueve la participación efectiva de sus </w:t>
      </w:r>
      <w:commentRangeStart w:id="1"/>
      <w:r w:rsidRPr="006343DC">
        <w:rPr>
          <w:rFonts w:ascii="Verdana" w:eastAsia="Verdana" w:hAnsi="Verdana" w:cs="Verdana"/>
          <w:color w:val="000000" w:themeColor="text1"/>
        </w:rPr>
        <w:t>autoridades legitimas</w:t>
      </w:r>
      <w:commentRangeEnd w:id="1"/>
      <w:r w:rsidR="00711355" w:rsidRPr="006343DC">
        <w:rPr>
          <w:rStyle w:val="Refdecomentario"/>
          <w:rFonts w:ascii="Verdana" w:eastAsia="Verdana" w:hAnsi="Verdana" w:cs="Verdana"/>
          <w:color w:val="000000" w:themeColor="text1"/>
          <w:sz w:val="22"/>
          <w:szCs w:val="22"/>
        </w:rPr>
        <w:commentReference w:id="1"/>
      </w:r>
      <w:r w:rsidRPr="006343DC">
        <w:rPr>
          <w:rFonts w:ascii="Verdana" w:eastAsia="Verdana" w:hAnsi="Verdana" w:cs="Verdana"/>
          <w:color w:val="000000" w:themeColor="text1"/>
        </w:rPr>
        <w:t xml:space="preserve">, el fortalecimiento de sus sistemas normativos propios y la adecuación institucional a las realidades culturales y territoriales del departamento de La Guajira. </w:t>
      </w:r>
    </w:p>
    <w:p w14:paraId="6D6AD817" w14:textId="17D214AB"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por lo señalado en los considerandos del presente acto administrativo, el Instituto Colombiano de Bienestar Familiar ha consolida</w:t>
      </w:r>
      <w:r w:rsidR="007716B6">
        <w:rPr>
          <w:rFonts w:ascii="Verdana" w:eastAsia="Verdana" w:hAnsi="Verdana" w:cs="Verdana"/>
          <w:color w:val="000000" w:themeColor="text1"/>
        </w:rPr>
        <w:t>do</w:t>
      </w:r>
      <w:r w:rsidRPr="006343DC">
        <w:rPr>
          <w:rFonts w:ascii="Verdana" w:eastAsia="Verdana" w:hAnsi="Verdana" w:cs="Verdana"/>
          <w:color w:val="000000" w:themeColor="text1"/>
        </w:rPr>
        <w:t xml:space="preserve">  un modelo propio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integrando como pilares relevantes para su implementación la pervivencia cultural, la soberanía alimentaria, el desarrollo integral infantil y fortalecimiento comunitario, los cuales se constituyen elementos orientadores para consolidar una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Asimismo, responde a la comprensión de una atención que concibe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como sujeto colectivo de derechos, realizando acciones para favorecer el desarrollo integral desde un ejercicio de interdependencia entre los individuos, las familias, las comunidades y su entorno y cosmovisión, visibilizando sus unidades y estructuras organizacionales y de gobierno propio para su pervivencia cultural. De igual manera, se enmarca en las apuestas estratégicas de</w:t>
      </w:r>
      <w:r w:rsidR="032276F7" w:rsidRPr="006343DC">
        <w:rPr>
          <w:rFonts w:ascii="Verdana" w:eastAsia="Verdana" w:hAnsi="Verdana" w:cs="Verdana"/>
          <w:color w:val="000000" w:themeColor="text1"/>
        </w:rPr>
        <w:t xml:space="preserve"> la Ley 2294 de 2023</w:t>
      </w:r>
      <w:r w:rsidRPr="006343DC">
        <w:rPr>
          <w:rFonts w:ascii="Verdana" w:eastAsia="Verdana" w:hAnsi="Verdana" w:cs="Verdana"/>
          <w:color w:val="000000" w:themeColor="text1"/>
        </w:rPr>
        <w:t xml:space="preserve"> y en el Modelo de Enfoque Diferencial de Derechos adoptado por el ICBF mediante la Resolución 7998 de 2023, contribuyendo a la garantía integral de los derechos de las niñas, niños y adolescentes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el fortalecimiento de sus prácticas culturales y la promoción de su autonomía y bienestar comunitario.</w:t>
      </w:r>
    </w:p>
    <w:p w14:paraId="50936EB7" w14:textId="645C149E"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la Guía Operativa para 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hace parte de las formas de atención integradas al Manual Técnico Modalidad de Territorios Priorizados adoptado mediante la Resolución 0886 de enero de 2026, y como antecedente de la Guía Operativa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respaldada por la Resolución 2008 de 2025. </w:t>
      </w:r>
    </w:p>
    <w:p w14:paraId="13199B14" w14:textId="116D128D"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lastRenderedPageBreak/>
        <w:t>Que, de conformidad con los artículos 20 y 21 de la Ley 7 de 1979, corresponde al Instituto Colombiano de Bienestar Familiar propender por la protección integral de las niñas, niños y adolescentes, garantizar sus derechos, ejecutar las políticas del Gobierno Nacional en la materia, formular, ejecutar y evaluar programas y dictar las normas necesarias para el cumplimiento de sus fines. Así mismo, en los términos del artículo 28 de la citada ley, el Director</w:t>
      </w:r>
      <w:r w:rsidR="1797DABF"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General </w:t>
      </w:r>
      <w:r w:rsidR="0313530E" w:rsidRPr="006343DC">
        <w:rPr>
          <w:rFonts w:ascii="Verdana" w:eastAsia="Verdana" w:hAnsi="Verdana" w:cs="Verdana"/>
          <w:color w:val="000000" w:themeColor="text1"/>
        </w:rPr>
        <w:t>del ICBF</w:t>
      </w:r>
      <w:r w:rsidR="00B67908"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se encuentra facultado para dictar los actos administrativos necesarios para el cumplimiento de las funciones del Instituto.</w:t>
      </w:r>
    </w:p>
    <w:p w14:paraId="6F29BCA6" w14:textId="0396732D"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la Ley 1098 de 2006 establece como principios rectores de toda actuación estatal la protección integral, el interés superior y la prevalencia de los derechos de las niñas, niños y adolescentes, y reconoce los derechos de quienes pertenecen a pueblos indígenas, con respeto por sus culturas y formas de organización social. </w:t>
      </w:r>
    </w:p>
    <w:p w14:paraId="7CD21266" w14:textId="55D78CB5"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de conformidad con el parágrafo del artículo 11 de la Ley 1098 de 2006, el Instituto Colombiano de Bienestar Familiar, en su calidad de ente coordinador del Sistema Nacional de Bienestar Familiar, mantendrá las funciones previstas en la Ley 75 de 1968 y la Ley 7 de 1979, y definirá los lineamientos técnicos que las entidades deben cumplir para garantizar y restablecer los derechos de las niñas, niños y adolescentes.</w:t>
      </w:r>
    </w:p>
    <w:p w14:paraId="62EE1982" w14:textId="1AA7C477" w:rsidR="52849DE2" w:rsidRPr="006343DC" w:rsidRDefault="4581936E"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desarrollo del objetivo constitucional </w:t>
      </w:r>
      <w:commentRangeStart w:id="2"/>
      <w:commentRangeStart w:id="3"/>
      <w:r w:rsidRPr="006343DC">
        <w:rPr>
          <w:rFonts w:ascii="Verdana" w:eastAsia="Verdana" w:hAnsi="Verdana" w:cs="Verdana"/>
          <w:color w:val="000000" w:themeColor="text1"/>
        </w:rPr>
        <w:t xml:space="preserve">mínimo octavo </w:t>
      </w:r>
      <w:commentRangeEnd w:id="2"/>
      <w:r w:rsidR="007716B6" w:rsidRPr="006343DC">
        <w:rPr>
          <w:rStyle w:val="Refdecomentario"/>
          <w:rFonts w:ascii="Verdana" w:eastAsia="Verdana" w:hAnsi="Verdana" w:cs="Verdana"/>
          <w:color w:val="000000" w:themeColor="text1"/>
          <w:sz w:val="22"/>
          <w:szCs w:val="22"/>
        </w:rPr>
        <w:commentReference w:id="2"/>
      </w:r>
      <w:commentRangeEnd w:id="3"/>
      <w:r w:rsidR="00F73F9B" w:rsidRPr="006343DC">
        <w:rPr>
          <w:rStyle w:val="Refdecomentario"/>
          <w:rFonts w:ascii="Verdana" w:eastAsia="Verdana" w:hAnsi="Verdana" w:cs="Verdana"/>
          <w:color w:val="000000" w:themeColor="text1"/>
          <w:sz w:val="22"/>
          <w:szCs w:val="22"/>
        </w:rPr>
        <w:commentReference w:id="3"/>
      </w:r>
      <w:r w:rsidRPr="006343DC">
        <w:rPr>
          <w:rFonts w:ascii="Verdana" w:eastAsia="Verdana" w:hAnsi="Verdana" w:cs="Verdana"/>
          <w:color w:val="000000" w:themeColor="text1"/>
        </w:rPr>
        <w:t xml:space="preserve">de la Sentencia T-302 de 2017, orientado a garantizar un diálogo genuino con las autoridades legítimas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la Guía Operativa reconoce el diálogo y la participación como elementos transversales de la implementación del Modelo, con respeto por las formas propias de organización, representación y toma de decisiones de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este marco, contempla la continuidad de los Diálogos Genuinos, las Yanamas y demás formas de participación comunitaria propias o </w:t>
      </w:r>
      <w:r w:rsidR="726DC7C8" w:rsidRPr="006343DC">
        <w:rPr>
          <w:rFonts w:ascii="Verdana" w:eastAsia="Verdana" w:hAnsi="Verdana" w:cs="Verdana"/>
          <w:color w:val="000000" w:themeColor="text1"/>
        </w:rPr>
        <w:t>acordadas</w:t>
      </w:r>
      <w:r w:rsidRPr="006343DC">
        <w:rPr>
          <w:rFonts w:ascii="Verdana" w:eastAsia="Verdana" w:hAnsi="Verdana" w:cs="Verdana"/>
          <w:color w:val="000000" w:themeColor="text1"/>
        </w:rPr>
        <w:t>, como escenarios para el intercambio de saberes, la identificación de necesidades, la concertación y la construcción de acuerdos que permitan orientar la atención de acuerdo con las particularidades culturales, comunitarias y territoriales.</w:t>
      </w:r>
    </w:p>
    <w:p w14:paraId="6C02F3B7" w14:textId="24E7EA4A" w:rsidR="00571FC5" w:rsidRPr="006343DC" w:rsidRDefault="4581936E"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armonía con este enfoque, la Guía Operativa </w:t>
      </w:r>
      <w:r w:rsidR="57C98986" w:rsidRPr="006343DC">
        <w:rPr>
          <w:rFonts w:ascii="Verdana" w:eastAsia="Verdana" w:hAnsi="Verdana" w:cs="Verdana"/>
          <w:color w:val="000000" w:themeColor="text1"/>
        </w:rPr>
        <w:t xml:space="preserve">del Modelo de Atención Integral </w:t>
      </w:r>
      <w:r w:rsidRPr="006343DC">
        <w:rPr>
          <w:rFonts w:ascii="Verdana" w:eastAsia="Verdana" w:hAnsi="Verdana" w:cs="Verdana"/>
          <w:color w:val="000000" w:themeColor="text1"/>
        </w:rPr>
        <w:t xml:space="preserve">contempla procedimientos </w:t>
      </w:r>
      <w:r w:rsidR="5F9395FA" w:rsidRPr="006343DC">
        <w:rPr>
          <w:rFonts w:ascii="Verdana" w:eastAsia="Verdana" w:hAnsi="Verdana" w:cs="Verdana"/>
          <w:color w:val="000000" w:themeColor="text1"/>
        </w:rPr>
        <w:t>como la</w:t>
      </w:r>
      <w:r w:rsidRPr="006343DC">
        <w:rPr>
          <w:rFonts w:ascii="Verdana" w:eastAsia="Verdana" w:hAnsi="Verdana" w:cs="Verdana"/>
          <w:color w:val="000000" w:themeColor="text1"/>
        </w:rPr>
        <w:t xml:space="preserve"> verificación de autoridades tradicionales y ancestrales y de constatación censal, territorial y comunitaria, articulados con los espacios de participación previstos en el Modelo. Estos ejercicios permiten contar con elementos para el reconocimiento de las familias pertenecientes a las comunidades, su agrupación y zonificación territorial, la organización de la atención y la actualización de la información necesaria para su implementación, con participación </w:t>
      </w:r>
      <w:r w:rsidRPr="006343DC">
        <w:rPr>
          <w:rFonts w:ascii="Verdana" w:eastAsia="Verdana" w:hAnsi="Verdana" w:cs="Verdana"/>
          <w:color w:val="000000" w:themeColor="text1"/>
        </w:rPr>
        <w:lastRenderedPageBreak/>
        <w:t>de las autoridades, familias y liderazgos comunitarios y atendiendo las dinámicas propias de cada territorio.</w:t>
      </w:r>
      <w:r w:rsidR="1797DABF" w:rsidRPr="006343DC">
        <w:rPr>
          <w:rFonts w:ascii="Verdana" w:eastAsia="Verdana" w:hAnsi="Verdana" w:cs="Verdana"/>
          <w:color w:val="000000" w:themeColor="text1"/>
        </w:rPr>
        <w:t xml:space="preserve"> </w:t>
      </w:r>
    </w:p>
    <w:p w14:paraId="40C87254" w14:textId="3128DBE1" w:rsidR="52849DE2" w:rsidRPr="006343DC" w:rsidRDefault="4581936E"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los procedimientos de verificación y constatación previstos en la Guía se desarrollan en el marco del reconocimiento de la autonomía de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del respeto por sus autoridades tradicionales y ancestrales y sus formas propias de organización y representación. </w:t>
      </w:r>
      <w:r w:rsidR="67627C52" w:rsidRPr="006343DC">
        <w:rPr>
          <w:rFonts w:ascii="Verdana" w:eastAsia="Verdana" w:hAnsi="Verdana" w:cs="Verdana"/>
          <w:color w:val="000000" w:themeColor="text1"/>
        </w:rPr>
        <w:t>Por lo tanto</w:t>
      </w:r>
      <w:r w:rsidRPr="006343DC">
        <w:rPr>
          <w:rFonts w:ascii="Verdana" w:eastAsia="Verdana" w:hAnsi="Verdana" w:cs="Verdana"/>
          <w:color w:val="000000" w:themeColor="text1"/>
        </w:rPr>
        <w:t>, cumplen una función de constatación, documentación y soporte institucional para la implementación territorial del Modelo y permiten atender, cuando las circunstancias así lo requieran, situaciones relacionadas con posibles suplantaciones, concurrencias o duplicidades, sin que la actuación del Instituto sustituya las formas propias de reconocimiento y legitimación de las autoridades al interior de las comunidades.</w:t>
      </w:r>
    </w:p>
    <w:p w14:paraId="1ADCF424" w14:textId="078807A1" w:rsidR="52849DE2" w:rsidRPr="006343DC" w:rsidRDefault="4581936E"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de esta manera, los ejercicios de diálogo, participación, verificación y constatación previstos en la Guía contribuyen a que la implementación del Modelo considere las realidades comunitarias y territoriales y se desarrolle a partir de la interlocución con las autoridades tradicionales y ancestrales, las familias y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reconociendo su participación en la organización de la atención y permitiendo que estos ejercicios puedan actualizarse en atención a las dinámicas y circunstancias de los territorios.</w:t>
      </w:r>
    </w:p>
    <w:p w14:paraId="47AF6E32" w14:textId="0097A77E" w:rsidR="1E0F51C2" w:rsidRPr="006343DC" w:rsidRDefault="0149863C"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el contexto del proceso de diálogo y participación adelantado con autoridades tradicionales y ancestrales, líderes, lideresas,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durante julio de 2026 el Instituto Colombiano de Bienestar Familiar recibió, como expresiones espontáneas provenientes de los territorios, seis mandatos formulados por autoridades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de Maicao, Manaure, Riohacha y Uribia, correspondientes a uno de Maicao, uno de Manaure, dos de Riohacha y dos de Uribia, en los cuales se consignaron valoraciones, planteamientos y propuestas relacionados con la atención integral y con la implementación, continuidad, seguimiento y fortalecimiento del Modelo.</w:t>
      </w:r>
    </w:p>
    <w:p w14:paraId="55DB7E5B" w14:textId="28DA4DA7" w:rsidR="1E0F51C2" w:rsidRPr="006343DC" w:rsidRDefault="0149863C"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entre los elementos contenidos en los mandatos recibidos, se encuentran planteamientos relacionados con la autonomía y el gobierno propio, el reconocimiento de las autoridades tradicionales y ancestrales, la lengua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naiki, las prácticas propias de crianza, la medicina tradicional, la organización familiar, la identidad cultural y la relación con el territorio, así como con la necesidad de considerar las particularidades geográficas, familiares, comunitarias y socioculturales de los distintos territorios en el desarrollo de la atención. Estos aportes constituyen insumos para el fortalecimiento del enfoque diferencial, intercultural y territorial del Modelo, </w:t>
      </w:r>
      <w:r w:rsidRPr="006343DC">
        <w:rPr>
          <w:rFonts w:ascii="Verdana" w:eastAsia="Verdana" w:hAnsi="Verdana" w:cs="Verdana"/>
          <w:color w:val="000000" w:themeColor="text1"/>
        </w:rPr>
        <w:lastRenderedPageBreak/>
        <w:t xml:space="preserve">en armonía con la protección integral de las niñas, niños y adolescentes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el reconocimiento de sus contextos familiares, comunitarios y culturales.</w:t>
      </w:r>
    </w:p>
    <w:p w14:paraId="3C56A225" w14:textId="59E1D1A3" w:rsidR="1E0F51C2" w:rsidRPr="006343DC" w:rsidRDefault="0149863C"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los mandatos contienen, asimismo, planteamientos relacionados con la participación de autoridades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diferentes momentos de la atención, incluidos los procesos de caracterización, planeación, focalización, priorización, implementación, seguimiento, evaluación y mejoramiento, así como propuestas sobre diálogo e interlocución, seguimiento comunitario, transparencia, control social y fortalecimiento de las condiciones institucionales y operativas para el desarrollo de la atención. En este sentido, los documentos recibidos aportan elementos para continuar promoviendo la participación durante la implementación del Modelo y considerar la experiencia territorial y los aprendizajes derivados de su ejecución como insumos para su seguimiento y fortalecimiento progresivo, de conformidad con las competencias del ICBF y el marco jurídico aplicable.</w:t>
      </w:r>
    </w:p>
    <w:p w14:paraId="5187D6C5" w14:textId="42C1B506" w:rsidR="1E0F51C2" w:rsidRPr="006343DC" w:rsidRDefault="0149863C"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de manera particular, algunos de los mandatos recibidos reconocen avances alcanzados durante la implementación del Modelo y de su Guía Operativa y plantean la continuidad y el fortalecimiento de la atención desarrollada. Estas manifestaciones, </w:t>
      </w:r>
      <w:r w:rsidR="00571FC5" w:rsidRPr="006343DC">
        <w:rPr>
          <w:rFonts w:ascii="Verdana" w:eastAsia="Verdana" w:hAnsi="Verdana" w:cs="Verdana"/>
          <w:color w:val="000000" w:themeColor="text1"/>
        </w:rPr>
        <w:t>juntamente con</w:t>
      </w:r>
      <w:r w:rsidRPr="006343DC">
        <w:rPr>
          <w:rFonts w:ascii="Verdana" w:eastAsia="Verdana" w:hAnsi="Verdana" w:cs="Verdana"/>
          <w:color w:val="000000" w:themeColor="text1"/>
        </w:rPr>
        <w:t xml:space="preserve"> los demás planteamientos formulados por las autoridades y comunidades participantes, fueron consideradas como insumos dentro del proceso de consolidación del Modelo, sin que ello implique la incorporación automática de la totalidad de las propuestas contenidas en dichos documentos, las cuales, de acuerdo con su naturaleza y alcance, podrán ser consideradas en los escenarios que correspondan dentro del marco de las competencias institucionales.</w:t>
      </w:r>
    </w:p>
    <w:p w14:paraId="5E94DFE8" w14:textId="3CD9DF6D" w:rsidR="1E0F51C2" w:rsidRPr="006343DC" w:rsidRDefault="0149863C"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este contexto, la adopción de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permite consolidar institucionalmente los avances alcanzados y dar continuidad al instrumento que orienta la atención, sin que su expedición implique el cierre de los espacios de diálogo y participación con las autoridades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ni que el Modelo se conciba como un instrumento acabado. Su implementación, seguimiento y fortalecimiento progresivo continuarán desarrollándose en el marco de las competencias del Instituto, considerando los aportes que surjan de los territorios y de los espacios de diálogo y participación que se adelanten, así como aquellos que correspondan en el marco del Plan Estructural de Acción de la Sentencia T-302 de 2017.</w:t>
      </w:r>
    </w:p>
    <w:p w14:paraId="1DB14519" w14:textId="04BF340F" w:rsidR="3CF74DBC" w:rsidRPr="006343DC" w:rsidRDefault="0859BAE4"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mediante el Auto 310 de 2024, la Sala Especial de Seguimiento de </w:t>
      </w:r>
      <w:r w:rsidR="710B6DFD" w:rsidRPr="006343DC">
        <w:rPr>
          <w:rFonts w:ascii="Verdana" w:eastAsia="Verdana" w:hAnsi="Verdana" w:cs="Verdana"/>
          <w:color w:val="000000" w:themeColor="text1"/>
        </w:rPr>
        <w:t xml:space="preserve">la </w:t>
      </w:r>
      <w:r w:rsidRPr="006343DC">
        <w:rPr>
          <w:rFonts w:ascii="Verdana" w:eastAsia="Verdana" w:hAnsi="Verdana" w:cs="Verdana"/>
          <w:color w:val="000000" w:themeColor="text1"/>
        </w:rPr>
        <w:t xml:space="preserve">Corte Constitucional declaró el cumplimiento bajo del objetivo constitucional mínimo sexto de la Sentencia T-302 de 2017, relativo a “garantizar la imparcialidad y la </w:t>
      </w:r>
      <w:r w:rsidRPr="006343DC">
        <w:rPr>
          <w:rFonts w:ascii="Verdana" w:eastAsia="Verdana" w:hAnsi="Verdana" w:cs="Verdana"/>
          <w:color w:val="000000" w:themeColor="text1"/>
        </w:rPr>
        <w:lastRenderedPageBreak/>
        <w:t>transparencia en la asignación de beneficios y en la selección de contratistas”, y ordenó, entre otras medidas, la elaboración de un protocolo conjunto que asegurara la aplicación de buenas prácticas administrativas en los procesos contractuales y financieros, en el ejercicio de las competencias de las entidades obligadas y en la ejecución presupuestal y financiera relacionada con el cumplimiento de la Sentencia.</w:t>
      </w:r>
    </w:p>
    <w:p w14:paraId="62C27312" w14:textId="5E562BE9" w:rsidR="3CF74DBC" w:rsidRPr="006343DC" w:rsidRDefault="0859BAE4"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posteriormente, mediante el Auto 118 de 2025, la Sala Especial de Seguimiento declaró nuevamente el cumplimiento bajo del objetivo constitucional mínimo sexto y dispuso medidas adicionales orientadas a fortalecer la eficacia de los instrumentos previstos para su cumplimiento, entre ellas la actualización de los manuales de contratación, supervisión e interventoría, el fortalecimiento de las herramientas de información para los procesos de auditoría, rendición de cuentas y control, y la realización de las modificaciones necesarias al protocolo de buenas prácticas administrativas para dotarlo de eficacia.</w:t>
      </w:r>
    </w:p>
    <w:p w14:paraId="32A77ECE" w14:textId="6DCB6260" w:rsidR="3CF74DBC" w:rsidRPr="006343DC" w:rsidRDefault="0859BAE4"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en desarrollo de las medidas impartidas mediante los Autos 310 de 2024 y 118 de 2025, el Instituto Colombiano de Bienestar Familiar participó en la construcción y fortalecimiento del Protocolo Conjunto para la Aplicación de Buenas Prácticas Administrativas en los Procesos Contractuales y Financieros, de fecha 12 de septiembre de 2025, instrumento que incorpora medidas relacionadas con la planeación, gestión de riesgos, transparencia, participación, publicidad y trazabilidad de la información, seguimiento, rendición de cuentas y mecanismos para la denuncia de actuaciones irregulares, en el marco del cumplimiento de la Sentencia T-302 de 2017.</w:t>
      </w:r>
    </w:p>
    <w:p w14:paraId="69D13BE1" w14:textId="3D77A18A" w:rsidR="3CF74DBC" w:rsidRPr="006343DC" w:rsidRDefault="0859BAE4"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asimismo, el Instituto Colombiano de Bienestar Familiar adelantó la actualización de sus instrumentos de gestión contractual atendiendo las orientaciones impartidas por la Agencia Nacional de Contratación Pública Colombia Compra Eficiente en la Circular Externa 002 de 2025 y en la Guía de Lineamientos de Transparencia y Selección Objetiva para el Departamento de La Guajira. Como resultado de este proceso, mediante la Resolución 7740 del 15 de diciembre de 2025, el Instituto adoptó la versión 7 de su Manual de Contratación, incorporando disposiciones de dichos instrumentos en el marco del cumplimiento de la Sentencia T-302 de 2017. </w:t>
      </w:r>
    </w:p>
    <w:p w14:paraId="4150E9A8" w14:textId="0D5D25DA" w:rsidR="3CF74DBC" w:rsidRPr="006343DC" w:rsidRDefault="0859BAE4"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consideración a lo anterior, la implementación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deberá desarrollarse en armonía con los instrumentos</w:t>
      </w:r>
      <w:r w:rsidR="00E64459"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vigentes y observar, en lo que resulte aplicable, las buenas prácticas administrativas y los criterios de transparencia, selección objetiva, planeación, gestión de riesgos, publicidad y trazabilidad de la </w:t>
      </w:r>
      <w:r w:rsidRPr="006343DC">
        <w:rPr>
          <w:rFonts w:ascii="Verdana" w:eastAsia="Verdana" w:hAnsi="Verdana" w:cs="Verdana"/>
          <w:color w:val="000000" w:themeColor="text1"/>
        </w:rPr>
        <w:lastRenderedPageBreak/>
        <w:t>información, seguimiento y adecuada administración de los recursos públicos, en el marco del cumplimiento de la Sentencia T-302 de 2017.</w:t>
      </w:r>
    </w:p>
    <w:p w14:paraId="7FC13C52" w14:textId="4981DA16" w:rsidR="00775B6A" w:rsidRPr="006343DC" w:rsidRDefault="70B3FF93"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Que la “</w:t>
      </w:r>
      <w:r w:rsidRPr="006343DC">
        <w:rPr>
          <w:rFonts w:ascii="Verdana" w:eastAsia="Verdana" w:hAnsi="Verdana" w:cs="Verdana"/>
          <w:i/>
          <w:iCs/>
          <w:color w:val="000000" w:themeColor="text1"/>
        </w:rPr>
        <w:t xml:space="preserve">Guía Operativa del Modelo de Atención Integral al Pueblo </w:t>
      </w:r>
      <w:r w:rsidR="006A3F84">
        <w:rPr>
          <w:rFonts w:ascii="Verdana" w:eastAsia="Verdana" w:hAnsi="Verdana" w:cs="Verdana"/>
          <w:i/>
          <w:iCs/>
          <w:color w:val="000000" w:themeColor="text1"/>
        </w:rPr>
        <w:t>Wayúu</w:t>
      </w:r>
      <w:r w:rsidRPr="006343DC">
        <w:rPr>
          <w:rFonts w:ascii="Verdana" w:eastAsia="Verdana" w:hAnsi="Verdana" w:cs="Verdana"/>
          <w:i/>
          <w:iCs/>
          <w:color w:val="000000" w:themeColor="text1"/>
        </w:rPr>
        <w:t xml:space="preserve"> en sus Territorios Ancestrales en La Guajira</w:t>
      </w:r>
      <w:r w:rsidRPr="006343DC">
        <w:rPr>
          <w:rFonts w:ascii="Verdana" w:eastAsia="Verdana" w:hAnsi="Verdana" w:cs="Verdana"/>
          <w:color w:val="000000" w:themeColor="text1"/>
        </w:rPr>
        <w:t>” se deriva del Manual Técnico de Territorios Priorizados, aprobado mediante Resolución 886 del 23 de enero de 2026</w:t>
      </w:r>
      <w:r w:rsidR="7B9944D3" w:rsidRPr="006343DC">
        <w:rPr>
          <w:rFonts w:ascii="Verdana" w:eastAsia="Verdana" w:hAnsi="Verdana" w:cs="Verdana"/>
          <w:color w:val="000000" w:themeColor="text1"/>
        </w:rPr>
        <w:t>.</w:t>
      </w:r>
    </w:p>
    <w:p w14:paraId="6079FECD" w14:textId="35283625" w:rsidR="00530238"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la adopción de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no agota los escenarios de participación y diálogo con 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Por el contrario, su implementación y fortalecimiento continuarán desarrollándose en el marco del Plan Estructural de Acción derivado de la Sentencia T-302 de 2017, en cumplimiento del objetivo constitucional mínimo octavo relacionado con la garantía de un diálogo genuino con las autoridades legitimas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w:t>
      </w:r>
    </w:p>
    <w:p w14:paraId="1787AA17" w14:textId="6179DB3C"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cumplimiento de lo dispuesto en el numeral 8 del artículo 8 de la Ley 1437 de 2011, en el artículo 2.1.2.5.1.4 del Decreto 1081 de 2015 y </w:t>
      </w:r>
      <w:r w:rsidR="00145F6E" w:rsidRPr="006343DC">
        <w:rPr>
          <w:rFonts w:ascii="Verdana" w:eastAsia="Verdana" w:hAnsi="Verdana" w:cs="Verdana"/>
          <w:color w:val="000000" w:themeColor="text1"/>
        </w:rPr>
        <w:t>artículo 4 de</w:t>
      </w:r>
      <w:r w:rsidRPr="006343DC">
        <w:rPr>
          <w:rFonts w:ascii="Verdana" w:eastAsia="Verdana" w:hAnsi="Verdana" w:cs="Verdana"/>
          <w:color w:val="000000" w:themeColor="text1"/>
        </w:rPr>
        <w:t xml:space="preserve"> la Resolución 1515 de 2026 del</w:t>
      </w:r>
      <w:r w:rsidR="00C9225F">
        <w:rPr>
          <w:rFonts w:ascii="Verdana" w:eastAsia="Verdana" w:hAnsi="Verdana" w:cs="Verdana"/>
          <w:color w:val="000000" w:themeColor="text1"/>
        </w:rPr>
        <w:t xml:space="preserve">ICBF </w:t>
      </w:r>
      <w:r w:rsidRPr="006343DC">
        <w:rPr>
          <w:rFonts w:ascii="Verdana" w:eastAsia="Verdana" w:hAnsi="Verdana" w:cs="Verdana"/>
          <w:color w:val="000000" w:themeColor="text1"/>
        </w:rPr>
        <w:t xml:space="preserve">, el proyecto del presente acto administrativo y sus documentos soporte fueron publicados para consulta ciudadana a través del Sistema Único de Consulta Pública (SUCOP), entre los días </w:t>
      </w:r>
      <w:r w:rsidR="75389D9A" w:rsidRPr="006343DC">
        <w:rPr>
          <w:rFonts w:ascii="Verdana" w:eastAsia="Verdana" w:hAnsi="Verdana" w:cs="Verdana"/>
          <w:color w:val="000000" w:themeColor="text1"/>
        </w:rPr>
        <w:t>2</w:t>
      </w:r>
      <w:r w:rsidR="00145F6E" w:rsidRPr="006343DC">
        <w:rPr>
          <w:rFonts w:ascii="Verdana" w:eastAsia="Verdana" w:hAnsi="Verdana" w:cs="Verdana"/>
          <w:color w:val="000000" w:themeColor="text1"/>
        </w:rPr>
        <w:t>8</w:t>
      </w:r>
      <w:r w:rsidR="75389D9A" w:rsidRPr="006343DC" w:rsidDel="00145F6E">
        <w:rPr>
          <w:rFonts w:ascii="Verdana" w:eastAsia="Verdana" w:hAnsi="Verdana" w:cs="Verdana"/>
          <w:color w:val="000000" w:themeColor="text1"/>
        </w:rPr>
        <w:t xml:space="preserve"> </w:t>
      </w:r>
      <w:r w:rsidR="75389D9A" w:rsidRPr="006343DC">
        <w:rPr>
          <w:rFonts w:ascii="Verdana" w:eastAsia="Verdana" w:hAnsi="Verdana" w:cs="Verdana"/>
          <w:color w:val="000000" w:themeColor="text1"/>
        </w:rPr>
        <w:t>d</w:t>
      </w:r>
      <w:r w:rsidR="75389D9A" w:rsidRPr="006343DC">
        <w:rPr>
          <w:rFonts w:ascii="Verdana" w:eastAsia="Verdana" w:hAnsi="Verdana" w:cs="Verdana"/>
        </w:rPr>
        <w:t>e julio</w:t>
      </w:r>
      <w:r w:rsidRPr="006343DC">
        <w:rPr>
          <w:rFonts w:ascii="Verdana" w:eastAsia="Verdana" w:hAnsi="Verdana" w:cs="Verdana"/>
        </w:rPr>
        <w:t xml:space="preserve"> </w:t>
      </w:r>
      <w:r w:rsidR="7FFE9904" w:rsidRPr="006343DC">
        <w:rPr>
          <w:rFonts w:ascii="Verdana" w:eastAsia="Verdana" w:hAnsi="Verdana" w:cs="Verdana"/>
        </w:rPr>
        <w:t>de 2026</w:t>
      </w:r>
      <w:r w:rsidRPr="006343DC">
        <w:rPr>
          <w:rFonts w:ascii="Verdana" w:eastAsia="Verdana" w:hAnsi="Verdana" w:cs="Verdana"/>
        </w:rPr>
        <w:t xml:space="preserve"> y </w:t>
      </w:r>
      <w:r w:rsidR="54947970" w:rsidRPr="006343DC">
        <w:rPr>
          <w:rFonts w:ascii="Verdana" w:eastAsia="Verdana" w:hAnsi="Verdana" w:cs="Verdana"/>
        </w:rPr>
        <w:t>02</w:t>
      </w:r>
      <w:r w:rsidR="54947970" w:rsidRPr="006343DC">
        <w:rPr>
          <w:rFonts w:ascii="Verdana" w:eastAsia="Verdana" w:hAnsi="Verdana" w:cs="Verdana"/>
          <w:color w:val="000000" w:themeColor="text1"/>
        </w:rPr>
        <w:t xml:space="preserve"> de agosto</w:t>
      </w:r>
      <w:r w:rsidRPr="006343DC">
        <w:rPr>
          <w:rFonts w:ascii="Verdana" w:eastAsia="Verdana" w:hAnsi="Verdana" w:cs="Verdana"/>
          <w:color w:val="FF0000"/>
        </w:rPr>
        <w:t xml:space="preserve"> </w:t>
      </w:r>
      <w:r w:rsidRPr="006343DC">
        <w:rPr>
          <w:rFonts w:ascii="Verdana" w:eastAsia="Verdana" w:hAnsi="Verdana" w:cs="Verdana"/>
          <w:color w:val="000000" w:themeColor="text1"/>
        </w:rPr>
        <w:t>de 2026, dentro del término establecido para tal efecto.</w:t>
      </w:r>
    </w:p>
    <w:p w14:paraId="6FAE1323" w14:textId="7124457E" w:rsidR="000525E2"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Que, en el marco de las competencias constitucionales, legales y reglamentarias del </w:t>
      </w:r>
      <w:r w:rsidR="00C9225F">
        <w:rPr>
          <w:rFonts w:ascii="Verdana" w:eastAsia="Verdana" w:hAnsi="Verdana" w:cs="Verdana"/>
          <w:color w:val="000000" w:themeColor="text1"/>
        </w:rPr>
        <w:t>ICBF</w:t>
      </w:r>
      <w:r w:rsidRPr="006343DC">
        <w:rPr>
          <w:rFonts w:ascii="Verdana" w:eastAsia="Verdana" w:hAnsi="Verdana" w:cs="Verdana"/>
          <w:color w:val="000000" w:themeColor="text1"/>
        </w:rPr>
        <w:t xml:space="preserve">y en atención a la necesidad de consolidar un instrumento técnico, diferencial e intercultural orientado a la garantía integral de los derechos de la niñez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al cumplimiento de las órdenes impartidas por la Corte Constitucional, se hace necesario adoptar 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y dictar las disposiciones necesarias para su implementación.</w:t>
      </w:r>
    </w:p>
    <w:p w14:paraId="2A30D061" w14:textId="10CABA40" w:rsidR="00AE32C9" w:rsidRPr="006343DC" w:rsidRDefault="6064D3A9" w:rsidP="00AE32C9">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En mérito de lo expuesto,</w:t>
      </w:r>
    </w:p>
    <w:p w14:paraId="5E643699" w14:textId="398170CA" w:rsidR="000525E2" w:rsidRPr="006343DC" w:rsidRDefault="6064D3A9" w:rsidP="7583197F">
      <w:pPr>
        <w:spacing w:before="240" w:after="240"/>
        <w:jc w:val="center"/>
        <w:rPr>
          <w:rFonts w:ascii="Verdana" w:eastAsia="Verdana" w:hAnsi="Verdana" w:cs="Verdana"/>
          <w:b/>
          <w:bCs/>
          <w:color w:val="000000" w:themeColor="text1"/>
        </w:rPr>
      </w:pPr>
      <w:r w:rsidRPr="006343DC">
        <w:rPr>
          <w:rFonts w:ascii="Verdana" w:eastAsia="Verdana" w:hAnsi="Verdana" w:cs="Verdana"/>
          <w:b/>
          <w:bCs/>
          <w:color w:val="000000" w:themeColor="text1"/>
        </w:rPr>
        <w:t>RESUELVE</w:t>
      </w:r>
      <w:r w:rsidR="2D2814E0" w:rsidRPr="006343DC">
        <w:rPr>
          <w:rFonts w:ascii="Verdana" w:eastAsia="Verdana" w:hAnsi="Verdana" w:cs="Verdana"/>
          <w:b/>
          <w:bCs/>
          <w:color w:val="000000" w:themeColor="text1"/>
        </w:rPr>
        <w:t>:</w:t>
      </w:r>
    </w:p>
    <w:p w14:paraId="0DBB50F2" w14:textId="4D7BA5BD"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1°. ADOPCIÓN.</w:t>
      </w:r>
      <w:r w:rsidRPr="006343DC">
        <w:rPr>
          <w:rFonts w:ascii="Verdana" w:eastAsia="Verdana" w:hAnsi="Verdana" w:cs="Verdana"/>
          <w:color w:val="000000" w:themeColor="text1"/>
        </w:rPr>
        <w:t xml:space="preserve"> Adoptar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como instrumento que orienta la atención integral de las niñas, niños, adolescentes, jóvenes, </w:t>
      </w:r>
      <w:r w:rsidR="00943DA2" w:rsidRPr="0051665A">
        <w:rPr>
          <w:rFonts w:ascii="Verdana" w:eastAsia="Verdana" w:hAnsi="Verdana" w:cs="Verdana"/>
          <w:color w:val="000000" w:themeColor="text1"/>
        </w:rPr>
        <w:t>mujeres que están en periodo de lactancia</w:t>
      </w:r>
      <w:r w:rsidR="00EB589C"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pertenecientes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así como de sus familias y comunidades, en los municipios de Riohacha, Manaure, Maicao y Uribia, en cumplimiento de la Sentencia T-302 de 2017.</w:t>
      </w:r>
    </w:p>
    <w:p w14:paraId="0630938E" w14:textId="4E1E1935"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lastRenderedPageBreak/>
        <w:t xml:space="preserve">La Guía Operativa se enmarca en el </w:t>
      </w:r>
      <w:r w:rsidR="21C58391" w:rsidRPr="006343DC">
        <w:rPr>
          <w:rFonts w:ascii="Verdana" w:eastAsia="Verdana" w:hAnsi="Verdana" w:cs="Verdana"/>
          <w:color w:val="000000" w:themeColor="text1"/>
        </w:rPr>
        <w:t xml:space="preserve">segundo y </w:t>
      </w:r>
      <w:r w:rsidRPr="006343DC">
        <w:rPr>
          <w:rFonts w:ascii="Verdana" w:eastAsia="Verdana" w:hAnsi="Verdana" w:cs="Verdana"/>
          <w:color w:val="000000" w:themeColor="text1"/>
        </w:rPr>
        <w:t xml:space="preserve">octavo objetivo </w:t>
      </w:r>
      <w:commentRangeStart w:id="4"/>
      <w:commentRangeStart w:id="5"/>
      <w:r w:rsidRPr="006343DC">
        <w:rPr>
          <w:rFonts w:ascii="Verdana" w:eastAsia="Verdana" w:hAnsi="Verdana" w:cs="Verdana"/>
          <w:color w:val="000000" w:themeColor="text1"/>
        </w:rPr>
        <w:t xml:space="preserve">constitucional mínimo </w:t>
      </w:r>
      <w:commentRangeEnd w:id="4"/>
      <w:r w:rsidR="00C9225F" w:rsidRPr="006343DC">
        <w:rPr>
          <w:rStyle w:val="Refdecomentario"/>
          <w:rFonts w:ascii="Verdana" w:eastAsia="Verdana" w:hAnsi="Verdana" w:cs="Verdana"/>
          <w:color w:val="000000" w:themeColor="text1"/>
          <w:sz w:val="22"/>
          <w:szCs w:val="22"/>
        </w:rPr>
        <w:commentReference w:id="4"/>
      </w:r>
      <w:commentRangeEnd w:id="5"/>
      <w:r w:rsidR="00050DD3" w:rsidRPr="006343DC">
        <w:rPr>
          <w:rStyle w:val="Refdecomentario"/>
          <w:rFonts w:ascii="Verdana" w:eastAsia="Verdana" w:hAnsi="Verdana" w:cs="Verdana"/>
          <w:color w:val="000000" w:themeColor="text1"/>
          <w:sz w:val="22"/>
          <w:szCs w:val="22"/>
        </w:rPr>
        <w:commentReference w:id="5"/>
      </w:r>
      <w:r w:rsidRPr="006343DC">
        <w:rPr>
          <w:rFonts w:ascii="Verdana" w:eastAsia="Verdana" w:hAnsi="Verdana" w:cs="Verdana"/>
          <w:color w:val="000000" w:themeColor="text1"/>
        </w:rPr>
        <w:t>de la Sentencia T-302 de 2017, orientado</w:t>
      </w:r>
      <w:r w:rsidR="51790C43" w:rsidRPr="006343DC">
        <w:rPr>
          <w:rFonts w:ascii="Verdana" w:eastAsia="Verdana" w:hAnsi="Verdana" w:cs="Verdana"/>
          <w:color w:val="000000" w:themeColor="text1"/>
        </w:rPr>
        <w:t>s</w:t>
      </w:r>
      <w:r w:rsidRPr="006343DC">
        <w:rPr>
          <w:rFonts w:ascii="Verdana" w:eastAsia="Verdana" w:hAnsi="Verdana" w:cs="Verdana"/>
          <w:color w:val="000000" w:themeColor="text1"/>
        </w:rPr>
        <w:t xml:space="preserve"> a </w:t>
      </w:r>
      <w:r w:rsidR="51790C43" w:rsidRPr="006343DC">
        <w:rPr>
          <w:rFonts w:ascii="Verdana" w:eastAsia="Verdana" w:hAnsi="Verdana" w:cs="Verdana"/>
          <w:color w:val="000000" w:themeColor="text1"/>
        </w:rPr>
        <w:t>mejorar la efectividad de los programas de atención alimentaria y aumentar la cobertura de los de seguridad alimentaria,</w:t>
      </w:r>
      <w:r w:rsidRPr="006343DC">
        <w:rPr>
          <w:rFonts w:ascii="Verdana" w:eastAsia="Verdana" w:hAnsi="Verdana" w:cs="Verdana"/>
          <w:color w:val="000000" w:themeColor="text1"/>
        </w:rPr>
        <w:t xml:space="preserve"> </w:t>
      </w:r>
      <w:r w:rsidR="51790C43" w:rsidRPr="006343DC">
        <w:rPr>
          <w:rFonts w:ascii="Verdana" w:eastAsia="Verdana" w:hAnsi="Verdana" w:cs="Verdana"/>
          <w:color w:val="000000" w:themeColor="text1"/>
        </w:rPr>
        <w:t>y</w:t>
      </w:r>
      <w:r w:rsidRPr="006343DC">
        <w:rPr>
          <w:rFonts w:ascii="Verdana" w:eastAsia="Verdana" w:hAnsi="Verdana" w:cs="Verdana"/>
          <w:color w:val="000000" w:themeColor="text1"/>
        </w:rPr>
        <w:t xml:space="preserve"> a garantizar un diálogo genuino con las autoridades legítimas del pueblo </w:t>
      </w:r>
      <w:r w:rsidR="006A3F84">
        <w:rPr>
          <w:rFonts w:ascii="Verdana" w:eastAsia="Verdana" w:hAnsi="Verdana" w:cs="Verdana"/>
          <w:color w:val="000000" w:themeColor="text1"/>
        </w:rPr>
        <w:t>Wayúu</w:t>
      </w:r>
      <w:r w:rsidR="6813ECF6" w:rsidRPr="006343DC">
        <w:rPr>
          <w:rFonts w:ascii="Verdana" w:eastAsia="Verdana" w:hAnsi="Verdana" w:cs="Verdana"/>
          <w:color w:val="000000" w:themeColor="text1"/>
        </w:rPr>
        <w:t xml:space="preserve"> respectivamente</w:t>
      </w:r>
      <w:r w:rsidRPr="006343DC">
        <w:rPr>
          <w:rFonts w:ascii="Verdana" w:eastAsia="Verdana" w:hAnsi="Verdana" w:cs="Verdana"/>
          <w:color w:val="000000" w:themeColor="text1"/>
        </w:rPr>
        <w:t xml:space="preserve">. En desarrollo de este propósito, su adopción reconoce el proceso de diálogo y construcción conjunta adelantado con las autoridades tradicionales y ancestrales, líderes, lideresas,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así como los saberes, aportes y propuestas surgidos de estos espacios, incluidos aquellos recogidos en los mandatos comunitarios.</w:t>
      </w:r>
    </w:p>
    <w:p w14:paraId="6080B95A" w14:textId="73B9EBEE"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Estos elementos orientarán la implementación y el fortalecimiento progresivo del Modelo, con respeto por las formas propias de organización y las particularidades culturales y territoriales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dentro de las competencias del Instituto Colombiano de Bienestar Familiar y de conformidad con el ordenamiento jurídico aplicable.</w:t>
      </w:r>
    </w:p>
    <w:p w14:paraId="45422E6E" w14:textId="186F5672"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2°. ÁMBITO DE APLICACIÓN, DESTINATARIOS Y RESPONSABLES DE LA IMPLEMENTACIÓN.</w:t>
      </w:r>
      <w:r w:rsidRPr="006343DC">
        <w:rPr>
          <w:rFonts w:ascii="Verdana" w:eastAsia="Verdana" w:hAnsi="Verdana" w:cs="Verdana"/>
          <w:color w:val="000000" w:themeColor="text1"/>
        </w:rPr>
        <w:t xml:space="preserve">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será aplicable a las niñas, niños, adolescentes, jóvenes, </w:t>
      </w:r>
      <w:r w:rsidR="00943DA2" w:rsidRPr="0051665A">
        <w:rPr>
          <w:rFonts w:ascii="Verdana" w:eastAsia="Verdana" w:hAnsi="Verdana" w:cs="Verdana"/>
          <w:color w:val="000000" w:themeColor="text1"/>
        </w:rPr>
        <w:t>mujeres que están en periodo de lactancia</w:t>
      </w:r>
      <w:r w:rsidR="00EB589C"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pertenecientes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a sus familias y comunidades, </w:t>
      </w:r>
      <w:r w:rsidR="00A63FD9" w:rsidRPr="006343DC">
        <w:rPr>
          <w:rFonts w:ascii="Verdana" w:eastAsia="Verdana" w:hAnsi="Verdana" w:cs="Verdana"/>
          <w:color w:val="000000" w:themeColor="text1"/>
        </w:rPr>
        <w:t xml:space="preserve">así como </w:t>
      </w:r>
      <w:r w:rsidR="00F203F9" w:rsidRPr="006343DC">
        <w:rPr>
          <w:rFonts w:ascii="Verdana" w:eastAsia="Verdana" w:hAnsi="Verdana" w:cs="Verdana"/>
          <w:color w:val="000000" w:themeColor="text1"/>
        </w:rPr>
        <w:t>a</w:t>
      </w:r>
      <w:r w:rsidR="00F222BB" w:rsidRPr="006343DC">
        <w:rPr>
          <w:rFonts w:ascii="Verdana" w:eastAsia="Verdana" w:hAnsi="Verdana" w:cs="Verdana"/>
          <w:color w:val="000000" w:themeColor="text1"/>
        </w:rPr>
        <w:t xml:space="preserve"> </w:t>
      </w:r>
      <w:r w:rsidR="009D5560" w:rsidRPr="006343DC">
        <w:rPr>
          <w:rFonts w:ascii="Verdana" w:eastAsia="Verdana" w:hAnsi="Verdana" w:cs="Verdana"/>
          <w:color w:val="000000" w:themeColor="text1"/>
        </w:rPr>
        <w:t xml:space="preserve">quienes presten </w:t>
      </w:r>
      <w:r w:rsidR="00F203F9" w:rsidRPr="006343DC">
        <w:rPr>
          <w:rFonts w:ascii="Verdana" w:eastAsia="Verdana" w:hAnsi="Verdana" w:cs="Verdana"/>
          <w:color w:val="000000" w:themeColor="text1"/>
        </w:rPr>
        <w:t xml:space="preserve">el servicio público de bienestar familiar </w:t>
      </w:r>
      <w:r w:rsidR="00302C7B" w:rsidRPr="006343DC">
        <w:rPr>
          <w:rFonts w:ascii="Verdana" w:eastAsia="Verdana" w:hAnsi="Verdana" w:cs="Verdana"/>
          <w:color w:val="000000" w:themeColor="text1"/>
        </w:rPr>
        <w:t xml:space="preserve">a esta población, </w:t>
      </w:r>
      <w:r w:rsidRPr="006343DC">
        <w:rPr>
          <w:rFonts w:ascii="Verdana" w:eastAsia="Verdana" w:hAnsi="Verdana" w:cs="Verdana"/>
          <w:color w:val="000000" w:themeColor="text1"/>
        </w:rPr>
        <w:t>en los municipios de Riohacha, Manaure, Maicao y Uribia, departamento de La Guajira, objeto de la Sentencia T-302 de 2017.</w:t>
      </w:r>
    </w:p>
    <w:p w14:paraId="4F562D12" w14:textId="025402FF"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En la implementación del Modelo, se reconocerá la participación y construcción conjunta con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 través de los procesos de diálogo, seguimiento, evaluación y fortalecimiento progresivo de la atención, con respeto por sus formas propias de organización, representación y toma de decisiones, de conformidad con lo previsto en la Guía Operativa y el ordenamiento jurídico aplicable.</w:t>
      </w:r>
    </w:p>
    <w:p w14:paraId="0E93EA1E" w14:textId="399F4A83"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La Subdirección General, las Direcciones Misionales, las Direcciones Regionales, los Centros Zonales y los prestadores del servicio público de bienestar familiar del </w:t>
      </w:r>
      <w:r w:rsidR="00C9225F">
        <w:rPr>
          <w:rFonts w:ascii="Verdana" w:eastAsia="Verdana" w:hAnsi="Verdana" w:cs="Verdana"/>
          <w:color w:val="000000" w:themeColor="text1"/>
        </w:rPr>
        <w:t>-</w:t>
      </w:r>
      <w:r w:rsidRPr="006343DC">
        <w:rPr>
          <w:rFonts w:ascii="Verdana" w:eastAsia="Verdana" w:hAnsi="Verdana" w:cs="Verdana"/>
          <w:color w:val="000000" w:themeColor="text1"/>
        </w:rPr>
        <w:t>ICBF</w:t>
      </w:r>
      <w:r w:rsidR="00C9225F">
        <w:rPr>
          <w:rFonts w:ascii="Verdana" w:eastAsia="Verdana" w:hAnsi="Verdana" w:cs="Verdana"/>
          <w:color w:val="000000" w:themeColor="text1"/>
        </w:rPr>
        <w:t>-</w:t>
      </w:r>
      <w:r w:rsidRPr="006343DC">
        <w:rPr>
          <w:rFonts w:ascii="Verdana" w:eastAsia="Verdana" w:hAnsi="Verdana" w:cs="Verdana"/>
          <w:color w:val="000000" w:themeColor="text1"/>
        </w:rPr>
        <w:t>, en el marco de sus respectivas competencias y responsabilidades, adelantarán las actuaciones que correspondan para la implementación y aplicación de la Guía Operativa, de conformidad con lo dispuesto en la presente Resolución.</w:t>
      </w:r>
    </w:p>
    <w:p w14:paraId="2495E7FB" w14:textId="2EFA63F3" w:rsidR="000525E2" w:rsidRPr="006343DC" w:rsidRDefault="2D2814E0" w:rsidP="7583197F">
      <w:pPr>
        <w:pStyle w:val="Ttulo3"/>
        <w:spacing w:before="270" w:after="270"/>
        <w:jc w:val="both"/>
        <w:rPr>
          <w:rFonts w:ascii="Verdana" w:eastAsia="Verdana" w:hAnsi="Verdana" w:cs="Verdana"/>
          <w:color w:val="000000" w:themeColor="text1"/>
          <w:sz w:val="22"/>
          <w:szCs w:val="22"/>
        </w:rPr>
      </w:pPr>
      <w:r w:rsidRPr="006343DC">
        <w:rPr>
          <w:rFonts w:ascii="Verdana" w:eastAsia="Verdana" w:hAnsi="Verdana" w:cs="Verdana"/>
          <w:b/>
          <w:bCs/>
          <w:color w:val="000000" w:themeColor="text1"/>
          <w:sz w:val="22"/>
          <w:szCs w:val="22"/>
        </w:rPr>
        <w:lastRenderedPageBreak/>
        <w:t>ARTÍCULO 3°. DEFINICIONES.</w:t>
      </w:r>
      <w:r w:rsidR="5C1DEACC" w:rsidRPr="006343DC">
        <w:rPr>
          <w:rFonts w:ascii="Verdana" w:eastAsia="Verdana" w:hAnsi="Verdana" w:cs="Verdana"/>
          <w:b/>
          <w:bCs/>
          <w:color w:val="000000" w:themeColor="text1"/>
          <w:sz w:val="22"/>
          <w:szCs w:val="22"/>
        </w:rPr>
        <w:t xml:space="preserve"> </w:t>
      </w:r>
      <w:r w:rsidRPr="006343DC">
        <w:rPr>
          <w:rFonts w:ascii="Verdana" w:eastAsia="Verdana" w:hAnsi="Verdana" w:cs="Verdana"/>
          <w:color w:val="000000" w:themeColor="text1"/>
          <w:sz w:val="22"/>
          <w:szCs w:val="22"/>
        </w:rPr>
        <w:t xml:space="preserve">Para efectos de la interpretación y aplicación de la presente Resolución y de la Guía Operativa del Modelo de Atención Integral al Pueblo </w:t>
      </w:r>
      <w:r w:rsidR="006A3F84">
        <w:rPr>
          <w:rFonts w:ascii="Verdana" w:eastAsia="Verdana" w:hAnsi="Verdana" w:cs="Verdana"/>
          <w:color w:val="000000" w:themeColor="text1"/>
          <w:sz w:val="22"/>
          <w:szCs w:val="22"/>
        </w:rPr>
        <w:t>Wayúu</w:t>
      </w:r>
      <w:r w:rsidRPr="006343DC">
        <w:rPr>
          <w:rFonts w:ascii="Verdana" w:eastAsia="Verdana" w:hAnsi="Verdana" w:cs="Verdana"/>
          <w:color w:val="000000" w:themeColor="text1"/>
          <w:sz w:val="22"/>
          <w:szCs w:val="22"/>
        </w:rPr>
        <w:t xml:space="preserve"> en sus Territorios Ancestrales en La Guajira, se tendrán en cuenta las siguientes definiciones:</w:t>
      </w:r>
    </w:p>
    <w:p w14:paraId="05CC6AC5" w14:textId="4EA28DBD" w:rsidR="000525E2" w:rsidRDefault="2D2814E0"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 xml:space="preserve">Modelo de Atención Integral al Pueblo </w:t>
      </w:r>
      <w:r w:rsidR="006A3F84">
        <w:rPr>
          <w:rFonts w:ascii="Verdana" w:eastAsia="Verdana" w:hAnsi="Verdana" w:cs="Verdana"/>
          <w:b/>
          <w:bCs/>
          <w:color w:val="000000" w:themeColor="text1"/>
        </w:rPr>
        <w:t>Wayúu</w:t>
      </w:r>
      <w:r w:rsidRPr="006343DC">
        <w:rPr>
          <w:rFonts w:ascii="Verdana" w:eastAsia="Verdana" w:hAnsi="Verdana" w:cs="Verdana"/>
          <w:b/>
          <w:bCs/>
          <w:color w:val="000000" w:themeColor="text1"/>
        </w:rPr>
        <w:t>.</w:t>
      </w:r>
      <w:r w:rsidRPr="006343DC">
        <w:rPr>
          <w:rFonts w:ascii="Verdana" w:eastAsia="Verdana" w:hAnsi="Verdana" w:cs="Verdana"/>
          <w:color w:val="000000" w:themeColor="text1"/>
        </w:rPr>
        <w:t xml:space="preserve"> Conjunto articulado de orientaciones, acciones y mecanismos mediante los cuales el </w:t>
      </w:r>
      <w:r w:rsidR="00C9225F">
        <w:rPr>
          <w:rFonts w:ascii="Verdana" w:eastAsia="Verdana" w:hAnsi="Verdana" w:cs="Verdana"/>
          <w:color w:val="000000" w:themeColor="text1"/>
        </w:rPr>
        <w:t xml:space="preserve">ICBF </w:t>
      </w:r>
      <w:r w:rsidRPr="006343DC">
        <w:rPr>
          <w:rFonts w:ascii="Verdana" w:eastAsia="Verdana" w:hAnsi="Verdana" w:cs="Verdana"/>
          <w:color w:val="000000" w:themeColor="text1"/>
        </w:rPr>
        <w:t>desarrolla la atención integral dirigida a las niñas, niños, adolescentes, jóvenes</w:t>
      </w:r>
      <w:r w:rsidR="00943DA2" w:rsidRPr="0051665A">
        <w:rPr>
          <w:rFonts w:ascii="Verdana" w:eastAsia="Verdana" w:hAnsi="Verdana" w:cs="Verdana"/>
          <w:color w:val="000000" w:themeColor="text1"/>
        </w:rPr>
        <w:t>mujeres que están en periodo de lactancia</w:t>
      </w:r>
      <w:r w:rsidR="00EB589C"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así como a sus familias y comunidades, a partir de su reconocimiento como sujetos de derechos y atendiendo sus particularidades sociales, culturales, familiares, comunitarias y territoriales.</w:t>
      </w:r>
    </w:p>
    <w:p w14:paraId="61DAB725" w14:textId="77777777" w:rsidR="00C9225F" w:rsidRPr="006343DC" w:rsidRDefault="00C9225F" w:rsidP="00787E1D">
      <w:pPr>
        <w:pStyle w:val="Prrafodelista"/>
        <w:numPr>
          <w:ilvl w:val="0"/>
          <w:numId w:val="3"/>
        </w:numPr>
        <w:spacing w:before="240" w:after="240"/>
        <w:jc w:val="both"/>
        <w:rPr>
          <w:rFonts w:ascii="Verdana" w:eastAsia="Verdana" w:hAnsi="Verdana" w:cs="Verdana"/>
          <w:color w:val="000000" w:themeColor="text1"/>
        </w:rPr>
      </w:pPr>
    </w:p>
    <w:p w14:paraId="21DEFDAD" w14:textId="4D246F04" w:rsidR="000525E2" w:rsidRDefault="2D2814E0">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Atención integral.</w:t>
      </w:r>
      <w:r w:rsidRPr="006343DC">
        <w:rPr>
          <w:rFonts w:ascii="Verdana" w:eastAsia="Verdana" w:hAnsi="Verdana" w:cs="Verdana"/>
          <w:color w:val="000000" w:themeColor="text1"/>
        </w:rPr>
        <w:t xml:space="preserve"> Conjunto de acciones orientadas a generar las condiciones humanas, sociales y </w:t>
      </w:r>
      <w:r w:rsidR="00787E1D" w:rsidRPr="006343DC">
        <w:rPr>
          <w:rFonts w:ascii="Verdana" w:eastAsia="Verdana" w:hAnsi="Verdana" w:cs="Verdana"/>
          <w:color w:val="000000" w:themeColor="text1"/>
        </w:rPr>
        <w:t>materiales necesarios</w:t>
      </w:r>
      <w:r w:rsidRPr="006343DC">
        <w:rPr>
          <w:rFonts w:ascii="Verdana" w:eastAsia="Verdana" w:hAnsi="Verdana" w:cs="Verdana"/>
          <w:color w:val="000000" w:themeColor="text1"/>
        </w:rPr>
        <w:t xml:space="preserve"> para promover y garantizar los derechos, el cuidado, la protección y el desarrollo integral de la población destinataria del Modelo. La atención se desarrollará de manera pertinente, oportuna, flexible, diferencial, continua y complementaria, atendiendo las particularidades de las familias, comunidades y territorios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w:t>
      </w:r>
      <w:r w:rsidR="000B0934" w:rsidRPr="006343DC">
        <w:rPr>
          <w:rFonts w:ascii="Verdana" w:eastAsia="Verdana" w:hAnsi="Verdana" w:cs="Verdana"/>
          <w:color w:val="000000" w:themeColor="text1"/>
        </w:rPr>
        <w:t xml:space="preserve"> </w:t>
      </w:r>
    </w:p>
    <w:p w14:paraId="7A1BE9B0" w14:textId="77777777" w:rsidR="00C9225F" w:rsidRPr="006343DC" w:rsidRDefault="00C9225F" w:rsidP="007F68C1">
      <w:pPr>
        <w:pStyle w:val="Prrafodelista"/>
        <w:spacing w:before="240" w:after="240"/>
        <w:ind w:left="360"/>
        <w:jc w:val="both"/>
        <w:rPr>
          <w:rFonts w:ascii="Verdana" w:eastAsia="Verdana" w:hAnsi="Verdana" w:cs="Verdana"/>
          <w:color w:val="000000" w:themeColor="text1"/>
        </w:rPr>
      </w:pPr>
    </w:p>
    <w:p w14:paraId="692D6F95" w14:textId="128B00DB" w:rsidR="000525E2" w:rsidRDefault="2D2814E0"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Guía Operativa.</w:t>
      </w:r>
      <w:r w:rsidRPr="006343DC">
        <w:rPr>
          <w:rFonts w:ascii="Verdana" w:eastAsia="Verdana" w:hAnsi="Verdana" w:cs="Verdana"/>
          <w:color w:val="000000" w:themeColor="text1"/>
        </w:rPr>
        <w:t xml:space="preserve"> Instrumento técnico y operativo que desarrolla 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y establece las orientaciones, componentes, procesos y condiciones para su implementación, seguimiento y fortalecimiento, en el marco de las competencias del</w:t>
      </w:r>
      <w:r w:rsidR="00C9225F">
        <w:rPr>
          <w:rFonts w:ascii="Verdana" w:eastAsia="Verdana" w:hAnsi="Verdana" w:cs="Verdana"/>
          <w:color w:val="000000" w:themeColor="text1"/>
        </w:rPr>
        <w:t xml:space="preserve">ICBF </w:t>
      </w:r>
      <w:r w:rsidRPr="006343DC">
        <w:rPr>
          <w:rFonts w:ascii="Verdana" w:eastAsia="Verdana" w:hAnsi="Verdana" w:cs="Verdana"/>
          <w:color w:val="000000" w:themeColor="text1"/>
        </w:rPr>
        <w:t>.</w:t>
      </w:r>
    </w:p>
    <w:p w14:paraId="5492E321" w14:textId="77777777" w:rsidR="00C9225F" w:rsidRPr="006343DC" w:rsidRDefault="00C9225F" w:rsidP="00787E1D">
      <w:pPr>
        <w:pStyle w:val="Prrafodelista"/>
        <w:numPr>
          <w:ilvl w:val="0"/>
          <w:numId w:val="3"/>
        </w:numPr>
        <w:spacing w:before="240" w:after="240"/>
        <w:jc w:val="both"/>
        <w:rPr>
          <w:rFonts w:ascii="Verdana" w:eastAsia="Verdana" w:hAnsi="Verdana" w:cs="Verdana"/>
          <w:color w:val="000000" w:themeColor="text1"/>
        </w:rPr>
      </w:pPr>
    </w:p>
    <w:p w14:paraId="71288E03" w14:textId="79AC840F" w:rsidR="000525E2" w:rsidRDefault="2D2814E0">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Enfoque étnico e intercultural.</w:t>
      </w:r>
      <w:r w:rsidRPr="006343DC">
        <w:rPr>
          <w:rFonts w:ascii="Verdana" w:eastAsia="Verdana" w:hAnsi="Verdana" w:cs="Verdana"/>
          <w:color w:val="000000" w:themeColor="text1"/>
        </w:rPr>
        <w:t xml:space="preserve"> Criterio que orienta la implementación del Modelo desde el reconocimiento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su autodeterminación, identidad cultural, usos, costumbres, saberes, prácticas y formas propias de organización, promoviendo relaciones respetuosas entre las comunidades y la institucionalidad, en el marco de la garantía de sus derechos y del reconocimiento de la diversidad cultural.</w:t>
      </w:r>
      <w:r w:rsidR="00787E1D" w:rsidRPr="006343DC">
        <w:rPr>
          <w:rFonts w:ascii="Verdana" w:eastAsia="Verdana" w:hAnsi="Verdana" w:cs="Verdana"/>
          <w:color w:val="000000" w:themeColor="text1"/>
        </w:rPr>
        <w:t xml:space="preserve"> </w:t>
      </w:r>
      <w:commentRangeStart w:id="6"/>
      <w:r w:rsidRPr="006343DC">
        <w:rPr>
          <w:rFonts w:ascii="Verdana" w:eastAsia="Verdana" w:hAnsi="Verdana" w:cs="Verdana"/>
          <w:color w:val="000000" w:themeColor="text1"/>
        </w:rPr>
        <w:t xml:space="preserve">El insumo técnico define el enfoque étnico precisamente desde el reconocimiento de la autodeterminación, usos, costumbres y sistemas propios. </w:t>
      </w:r>
      <w:commentRangeEnd w:id="6"/>
      <w:r w:rsidR="00C9225F">
        <w:rPr>
          <w:rStyle w:val="Refdecomentario"/>
          <w:rFonts w:ascii="Verdana" w:eastAsia="Verdana" w:hAnsi="Verdana" w:cs="Verdana"/>
          <w:color w:val="000000" w:themeColor="text1"/>
          <w:sz w:val="22"/>
          <w:szCs w:val="22"/>
        </w:rPr>
        <w:commentReference w:id="6"/>
      </w:r>
    </w:p>
    <w:p w14:paraId="2C92195C" w14:textId="77777777" w:rsidR="00C9225F" w:rsidRPr="006343DC" w:rsidRDefault="00C9225F">
      <w:pPr>
        <w:pStyle w:val="Prrafodelista"/>
        <w:numPr>
          <w:ilvl w:val="0"/>
          <w:numId w:val="3"/>
        </w:numPr>
        <w:spacing w:before="240" w:after="240"/>
        <w:jc w:val="both"/>
        <w:rPr>
          <w:rFonts w:ascii="Verdana" w:eastAsia="Verdana" w:hAnsi="Verdana" w:cs="Verdana"/>
          <w:color w:val="000000" w:themeColor="text1"/>
        </w:rPr>
      </w:pPr>
    </w:p>
    <w:p w14:paraId="1325BF3D" w14:textId="75D4EFA5" w:rsidR="000525E2" w:rsidRDefault="2D2814E0">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Diálogo genuino.</w:t>
      </w:r>
      <w:r w:rsidRPr="006343DC">
        <w:rPr>
          <w:rFonts w:ascii="Verdana" w:eastAsia="Verdana" w:hAnsi="Verdana" w:cs="Verdana"/>
          <w:color w:val="000000" w:themeColor="text1"/>
        </w:rPr>
        <w:t xml:space="preserve"> Proceso de interlocución basado en el </w:t>
      </w:r>
      <w:r w:rsidR="007E5857" w:rsidRPr="006343DC">
        <w:rPr>
          <w:rFonts w:ascii="Verdana" w:eastAsia="Verdana" w:hAnsi="Verdana" w:cs="Verdana"/>
          <w:color w:val="000000" w:themeColor="text1"/>
        </w:rPr>
        <w:t xml:space="preserve">sistema normativo </w:t>
      </w:r>
      <w:r w:rsidR="006A3F84">
        <w:rPr>
          <w:rFonts w:ascii="Verdana" w:eastAsia="Verdana" w:hAnsi="Verdana" w:cs="Verdana"/>
          <w:color w:val="000000" w:themeColor="text1"/>
        </w:rPr>
        <w:t>Wayúu</w:t>
      </w:r>
      <w:r w:rsidR="007E5857" w:rsidRPr="006343DC">
        <w:rPr>
          <w:rFonts w:ascii="Verdana" w:eastAsia="Verdana" w:hAnsi="Verdana" w:cs="Verdana"/>
          <w:color w:val="000000" w:themeColor="text1"/>
        </w:rPr>
        <w:t xml:space="preserve">, en el </w:t>
      </w:r>
      <w:r w:rsidRPr="006343DC">
        <w:rPr>
          <w:rFonts w:ascii="Verdana" w:eastAsia="Verdana" w:hAnsi="Verdana" w:cs="Verdana"/>
          <w:color w:val="000000" w:themeColor="text1"/>
        </w:rPr>
        <w:t>valor de la palabra, el cumplimiento de los acuerdos y el reconocimiento y resolución de las diferencias, que posibilita el diálogo directo entre las autoridades tradicionales</w:t>
      </w:r>
      <w:r w:rsidR="00C9225F">
        <w:rPr>
          <w:rFonts w:ascii="Verdana" w:eastAsia="Verdana" w:hAnsi="Verdana" w:cs="Verdana"/>
          <w:color w:val="000000" w:themeColor="text1"/>
        </w:rPr>
        <w:t>,</w:t>
      </w:r>
      <w:r w:rsidRPr="006343DC">
        <w:rPr>
          <w:rFonts w:ascii="Verdana" w:eastAsia="Verdana" w:hAnsi="Verdana" w:cs="Verdana"/>
          <w:color w:val="000000" w:themeColor="text1"/>
        </w:rPr>
        <w:t xml:space="preserve">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w:t>
      </w:r>
      <w:r w:rsidRPr="006343DC">
        <w:rPr>
          <w:rFonts w:ascii="Verdana" w:eastAsia="Verdana" w:hAnsi="Verdana" w:cs="Verdana"/>
          <w:color w:val="000000" w:themeColor="text1"/>
        </w:rPr>
        <w:lastRenderedPageBreak/>
        <w:t>el</w:t>
      </w:r>
      <w:r w:rsidR="00C9225F">
        <w:rPr>
          <w:rFonts w:ascii="Verdana" w:eastAsia="Verdana" w:hAnsi="Verdana" w:cs="Verdana"/>
          <w:color w:val="000000" w:themeColor="text1"/>
        </w:rPr>
        <w:t>ICBF</w:t>
      </w:r>
      <w:r w:rsidRPr="006343DC">
        <w:rPr>
          <w:rFonts w:ascii="Verdana" w:eastAsia="Verdana" w:hAnsi="Verdana" w:cs="Verdana"/>
          <w:color w:val="000000" w:themeColor="text1"/>
        </w:rPr>
        <w:t xml:space="preserve">, a partir del reconocimiento de las necesidades diferenciales y realidades de los territorios y en respeto de las formas propias de organización y participación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w:t>
      </w:r>
      <w:r w:rsidR="00787E1D" w:rsidRPr="006343DC">
        <w:rPr>
          <w:rFonts w:ascii="Verdana" w:eastAsia="Verdana" w:hAnsi="Verdana" w:cs="Verdana"/>
          <w:color w:val="000000" w:themeColor="text1"/>
        </w:rPr>
        <w:t xml:space="preserve"> </w:t>
      </w:r>
      <w:commentRangeStart w:id="7"/>
      <w:r w:rsidR="00DB1B43" w:rsidRPr="006343DC">
        <w:rPr>
          <w:rFonts w:ascii="Verdana" w:eastAsia="Verdana" w:hAnsi="Verdana" w:cs="Verdana"/>
          <w:color w:val="000000" w:themeColor="text1"/>
        </w:rPr>
        <w:t>En ese sentido</w:t>
      </w:r>
      <w:r w:rsidRPr="006343DC">
        <w:rPr>
          <w:rFonts w:ascii="Verdana" w:eastAsia="Verdana" w:hAnsi="Verdana" w:cs="Verdana"/>
          <w:color w:val="000000" w:themeColor="text1"/>
        </w:rPr>
        <w:t xml:space="preserve"> la formulación técnica de la Guía</w:t>
      </w:r>
      <w:r w:rsidR="00040306" w:rsidRPr="006343DC">
        <w:rPr>
          <w:rFonts w:ascii="Verdana" w:eastAsia="Verdana" w:hAnsi="Verdana" w:cs="Verdana"/>
          <w:color w:val="000000" w:themeColor="text1"/>
        </w:rPr>
        <w:t xml:space="preserve"> refleja </w:t>
      </w:r>
      <w:r w:rsidRPr="006343DC">
        <w:rPr>
          <w:rFonts w:ascii="Verdana" w:eastAsia="Verdana" w:hAnsi="Verdana" w:cs="Verdana"/>
          <w:color w:val="000000" w:themeColor="text1"/>
        </w:rPr>
        <w:t xml:space="preserve">los diálogos genuinos con el valor de la palabra, el cumplimiento de acuerdos, la resolución de diferencias y el reconocimiento de las necesidades diferenciales del territorio. </w:t>
      </w:r>
      <w:commentRangeEnd w:id="7"/>
      <w:r w:rsidR="00C9225F">
        <w:rPr>
          <w:rStyle w:val="Refdecomentario"/>
          <w:rFonts w:ascii="Verdana" w:eastAsia="Verdana" w:hAnsi="Verdana" w:cs="Verdana"/>
          <w:color w:val="000000" w:themeColor="text1"/>
          <w:sz w:val="22"/>
          <w:szCs w:val="22"/>
        </w:rPr>
        <w:commentReference w:id="7"/>
      </w:r>
    </w:p>
    <w:p w14:paraId="3F2D6340" w14:textId="77777777" w:rsidR="00C9225F" w:rsidRPr="006343DC" w:rsidRDefault="00C9225F">
      <w:pPr>
        <w:pStyle w:val="Prrafodelista"/>
        <w:numPr>
          <w:ilvl w:val="0"/>
          <w:numId w:val="3"/>
        </w:numPr>
        <w:spacing w:before="240" w:after="240"/>
        <w:jc w:val="both"/>
        <w:rPr>
          <w:rFonts w:ascii="Verdana" w:eastAsia="Verdana" w:hAnsi="Verdana" w:cs="Verdana"/>
          <w:color w:val="000000" w:themeColor="text1"/>
        </w:rPr>
      </w:pPr>
    </w:p>
    <w:p w14:paraId="2265F841" w14:textId="1B08845F" w:rsidR="000525E2" w:rsidRDefault="2D2814E0"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Construcción conjunta.</w:t>
      </w:r>
      <w:r w:rsidRPr="006343DC">
        <w:rPr>
          <w:rFonts w:ascii="Verdana" w:eastAsia="Verdana" w:hAnsi="Verdana" w:cs="Verdana"/>
          <w:color w:val="000000" w:themeColor="text1"/>
        </w:rPr>
        <w:t xml:space="preserve"> Proceso mediante el cual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w:t>
      </w:r>
      <w:r w:rsidR="008A1261">
        <w:rPr>
          <w:rFonts w:ascii="Verdana" w:eastAsia="Verdana" w:hAnsi="Verdana" w:cs="Verdana"/>
          <w:color w:val="000000" w:themeColor="text1"/>
        </w:rPr>
        <w:t xml:space="preserve">y el ICBF </w:t>
      </w:r>
      <w:r w:rsidRPr="006343DC">
        <w:rPr>
          <w:rFonts w:ascii="Verdana" w:eastAsia="Verdana" w:hAnsi="Verdana" w:cs="Verdana"/>
          <w:color w:val="000000" w:themeColor="text1"/>
        </w:rPr>
        <w:t>concurren, desde sus respectivos ámbitos y responsabilidades, en la identificación de necesidades, formulación de propuestas y generación de aportes para la implementación, seguimiento, evaluación y fortalecimiento progresivo del Modelo, en el marco del diálogo genuino y la participación.</w:t>
      </w:r>
    </w:p>
    <w:p w14:paraId="2BD24903" w14:textId="77777777" w:rsidR="00C9225F" w:rsidRPr="006343DC" w:rsidRDefault="00C9225F" w:rsidP="00787E1D">
      <w:pPr>
        <w:pStyle w:val="Prrafodelista"/>
        <w:numPr>
          <w:ilvl w:val="0"/>
          <w:numId w:val="3"/>
        </w:numPr>
        <w:spacing w:before="240" w:after="240"/>
        <w:jc w:val="both"/>
        <w:rPr>
          <w:rFonts w:ascii="Verdana" w:eastAsia="Verdana" w:hAnsi="Verdana" w:cs="Verdana"/>
          <w:color w:val="000000" w:themeColor="text1"/>
        </w:rPr>
      </w:pPr>
    </w:p>
    <w:p w14:paraId="44BB6299" w14:textId="30CB00FC" w:rsidR="000525E2" w:rsidRDefault="2D2814E0"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Pertinencia cultural y territorial.</w:t>
      </w:r>
      <w:r w:rsidRPr="006343DC">
        <w:rPr>
          <w:rFonts w:ascii="Verdana" w:eastAsia="Verdana" w:hAnsi="Verdana" w:cs="Verdana"/>
          <w:color w:val="000000" w:themeColor="text1"/>
        </w:rPr>
        <w:t xml:space="preserve"> Criterio conforme al cual las acciones desarrolladas en el marco </w:t>
      </w:r>
      <w:commentRangeStart w:id="8"/>
      <w:r w:rsidRPr="006343DC">
        <w:rPr>
          <w:rFonts w:ascii="Verdana" w:eastAsia="Verdana" w:hAnsi="Verdana" w:cs="Verdana"/>
          <w:color w:val="000000" w:themeColor="text1"/>
        </w:rPr>
        <w:t xml:space="preserve">del Modelo </w:t>
      </w:r>
      <w:commentRangeEnd w:id="8"/>
      <w:r w:rsidR="008A1261" w:rsidRPr="006343DC">
        <w:rPr>
          <w:rStyle w:val="Refdecomentario"/>
          <w:rFonts w:ascii="Verdana" w:eastAsia="Verdana" w:hAnsi="Verdana" w:cs="Verdana"/>
          <w:color w:val="000000" w:themeColor="text1"/>
          <w:sz w:val="22"/>
          <w:szCs w:val="22"/>
        </w:rPr>
        <w:commentReference w:id="8"/>
      </w:r>
      <w:r w:rsidRPr="006343DC">
        <w:rPr>
          <w:rFonts w:ascii="Verdana" w:eastAsia="Verdana" w:hAnsi="Verdana" w:cs="Verdana"/>
          <w:color w:val="000000" w:themeColor="text1"/>
        </w:rPr>
        <w:t xml:space="preserve">reconocen y responden a las particularidades sociales, culturales, familiares, comunitarias y territoriales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sus saberes, prácticas y formas propias de organización, así como a las realidades de los territorios en los que se desarrolla la atención.</w:t>
      </w:r>
    </w:p>
    <w:p w14:paraId="420374F3" w14:textId="77777777" w:rsidR="008A1261" w:rsidRPr="006343DC" w:rsidRDefault="008A1261" w:rsidP="00787E1D">
      <w:pPr>
        <w:pStyle w:val="Prrafodelista"/>
        <w:numPr>
          <w:ilvl w:val="0"/>
          <w:numId w:val="3"/>
        </w:numPr>
        <w:spacing w:before="240" w:after="240"/>
        <w:jc w:val="both"/>
        <w:rPr>
          <w:rFonts w:ascii="Verdana" w:eastAsia="Verdana" w:hAnsi="Verdana" w:cs="Verdana"/>
          <w:color w:val="000000" w:themeColor="text1"/>
        </w:rPr>
      </w:pPr>
    </w:p>
    <w:p w14:paraId="0E25DBAE" w14:textId="76F1A088" w:rsidR="000525E2" w:rsidRDefault="2D2814E0">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Cuidado.</w:t>
      </w:r>
      <w:r w:rsidRPr="006343DC">
        <w:rPr>
          <w:rFonts w:ascii="Verdana" w:eastAsia="Verdana" w:hAnsi="Verdana" w:cs="Verdana"/>
          <w:color w:val="000000" w:themeColor="text1"/>
        </w:rPr>
        <w:t xml:space="preserve"> Conjunto de prácticas orientadas al sostenimiento, protección y bienestar de la vida, comprendidas desde sus dimensiones físicas, emocionales, sociales, culturales y espirituales. En el </w:t>
      </w:r>
      <w:commentRangeStart w:id="9"/>
      <w:r w:rsidRPr="006343DC">
        <w:rPr>
          <w:rFonts w:ascii="Verdana" w:eastAsia="Verdana" w:hAnsi="Verdana" w:cs="Verdana"/>
          <w:color w:val="000000" w:themeColor="text1"/>
        </w:rPr>
        <w:t>marco del Modelo</w:t>
      </w:r>
      <w:commentRangeEnd w:id="9"/>
      <w:r w:rsidR="008A1261" w:rsidRPr="006343DC">
        <w:rPr>
          <w:rStyle w:val="Refdecomentario"/>
          <w:rFonts w:ascii="Verdana" w:eastAsia="Verdana" w:hAnsi="Verdana" w:cs="Verdana"/>
          <w:color w:val="000000" w:themeColor="text1"/>
          <w:sz w:val="22"/>
          <w:szCs w:val="22"/>
        </w:rPr>
        <w:commentReference w:id="9"/>
      </w:r>
      <w:r w:rsidRPr="006343DC">
        <w:rPr>
          <w:rFonts w:ascii="Verdana" w:eastAsia="Verdana" w:hAnsi="Verdana" w:cs="Verdana"/>
          <w:color w:val="000000" w:themeColor="text1"/>
        </w:rPr>
        <w:t xml:space="preserve">, el cuidado reconocerá las prácticas, saberes y formas propias de las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así como las relaciones de solidaridad, complementariedad, interdependencia y reciprocidad presentes en los territorios.</w:t>
      </w:r>
      <w:r w:rsidR="00787E1D"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La definición técnica de cuidado tiene precisamente una concepción integral y reconoce las cosmovisiones y prácticas culturales propias de las comunidades, así como la solidaridad, complementariedad, interdependencia y reciprocidad. </w:t>
      </w:r>
    </w:p>
    <w:p w14:paraId="6995582B" w14:textId="77777777" w:rsidR="008A1261" w:rsidRPr="006343DC" w:rsidRDefault="008A1261">
      <w:pPr>
        <w:pStyle w:val="Prrafodelista"/>
        <w:numPr>
          <w:ilvl w:val="0"/>
          <w:numId w:val="3"/>
        </w:numPr>
        <w:spacing w:before="240" w:after="240"/>
        <w:jc w:val="both"/>
        <w:rPr>
          <w:rFonts w:ascii="Verdana" w:eastAsia="Verdana" w:hAnsi="Verdana" w:cs="Verdana"/>
          <w:color w:val="000000" w:themeColor="text1"/>
        </w:rPr>
      </w:pPr>
    </w:p>
    <w:p w14:paraId="47DA3C0C" w14:textId="67B057BA" w:rsidR="000525E2" w:rsidRDefault="2D2814E0"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Autoridades tradicionales y ancestrales.</w:t>
      </w:r>
      <w:r w:rsidRPr="006343DC">
        <w:rPr>
          <w:rFonts w:ascii="Verdana" w:eastAsia="Verdana" w:hAnsi="Verdana" w:cs="Verdana"/>
          <w:color w:val="000000" w:themeColor="text1"/>
        </w:rPr>
        <w:t xml:space="preserve"> Para efectos </w:t>
      </w:r>
      <w:commentRangeStart w:id="10"/>
      <w:r w:rsidRPr="006343DC">
        <w:rPr>
          <w:rFonts w:ascii="Verdana" w:eastAsia="Verdana" w:hAnsi="Verdana" w:cs="Verdana"/>
          <w:color w:val="000000" w:themeColor="text1"/>
        </w:rPr>
        <w:t>del Modelo</w:t>
      </w:r>
      <w:commentRangeEnd w:id="10"/>
      <w:r w:rsidR="008A1261" w:rsidRPr="006343DC">
        <w:rPr>
          <w:rStyle w:val="Refdecomentario"/>
          <w:rFonts w:ascii="Verdana" w:eastAsia="Verdana" w:hAnsi="Verdana" w:cs="Verdana"/>
          <w:color w:val="000000" w:themeColor="text1"/>
          <w:sz w:val="22"/>
          <w:szCs w:val="22"/>
        </w:rPr>
        <w:commentReference w:id="10"/>
      </w:r>
      <w:r w:rsidRPr="006343DC">
        <w:rPr>
          <w:rFonts w:ascii="Verdana" w:eastAsia="Verdana" w:hAnsi="Verdana" w:cs="Verdana"/>
          <w:color w:val="000000" w:themeColor="text1"/>
        </w:rPr>
        <w:t xml:space="preserve">, son aquellas reconocidas por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de conformidad con sus formas propias de organización, representación y toma de decisiones. El </w:t>
      </w:r>
      <w:r w:rsidR="008A1261">
        <w:rPr>
          <w:rFonts w:ascii="Verdana" w:eastAsia="Verdana" w:hAnsi="Verdana" w:cs="Verdana"/>
          <w:color w:val="000000" w:themeColor="text1"/>
        </w:rPr>
        <w:t xml:space="preserve">ICBF </w:t>
      </w:r>
      <w:r w:rsidRPr="006343DC">
        <w:rPr>
          <w:rFonts w:ascii="Verdana" w:eastAsia="Verdana" w:hAnsi="Verdana" w:cs="Verdana"/>
          <w:color w:val="000000" w:themeColor="text1"/>
        </w:rPr>
        <w:t>respetará dichos procesos de reconocimiento y relacionamiento, sin sustituir las formas mediante las cuales las propias comunidades determinan sus autoridades y representación.</w:t>
      </w:r>
      <w:r w:rsidR="00787E1D" w:rsidRPr="006343DC">
        <w:rPr>
          <w:rFonts w:ascii="Verdana" w:eastAsia="Verdana" w:hAnsi="Verdana" w:cs="Verdana"/>
          <w:color w:val="000000" w:themeColor="text1"/>
        </w:rPr>
        <w:t xml:space="preserve"> Para establecer la calidad de autoridad ancestral se recomienda tener en cuenta la expedición que realiza el </w:t>
      </w:r>
      <w:r w:rsidR="008A1261">
        <w:rPr>
          <w:rFonts w:ascii="Verdana" w:eastAsia="Verdana" w:hAnsi="Verdana" w:cs="Verdana"/>
          <w:color w:val="000000" w:themeColor="text1"/>
        </w:rPr>
        <w:t>M</w:t>
      </w:r>
      <w:r w:rsidR="00787E1D" w:rsidRPr="006343DC">
        <w:rPr>
          <w:rFonts w:ascii="Verdana" w:eastAsia="Verdana" w:hAnsi="Verdana" w:cs="Verdana"/>
          <w:color w:val="000000" w:themeColor="text1"/>
        </w:rPr>
        <w:t xml:space="preserve">inisterio del </w:t>
      </w:r>
      <w:r w:rsidR="008A1261">
        <w:rPr>
          <w:rFonts w:ascii="Verdana" w:eastAsia="Verdana" w:hAnsi="Verdana" w:cs="Verdana"/>
          <w:color w:val="000000" w:themeColor="text1"/>
        </w:rPr>
        <w:t>I</w:t>
      </w:r>
      <w:r w:rsidR="00787E1D" w:rsidRPr="006343DC">
        <w:rPr>
          <w:rFonts w:ascii="Verdana" w:eastAsia="Verdana" w:hAnsi="Verdana" w:cs="Verdana"/>
          <w:color w:val="000000" w:themeColor="text1"/>
        </w:rPr>
        <w:t>nterior</w:t>
      </w:r>
      <w:r w:rsidR="008A1261">
        <w:rPr>
          <w:rFonts w:ascii="Verdana" w:eastAsia="Verdana" w:hAnsi="Verdana" w:cs="Verdana"/>
          <w:color w:val="000000" w:themeColor="text1"/>
        </w:rPr>
        <w:t>,</w:t>
      </w:r>
      <w:r w:rsidR="00787E1D" w:rsidRPr="006343DC">
        <w:rPr>
          <w:rFonts w:ascii="Verdana" w:eastAsia="Verdana" w:hAnsi="Verdana" w:cs="Verdana"/>
          <w:color w:val="000000" w:themeColor="text1"/>
        </w:rPr>
        <w:t>la asamblea y</w:t>
      </w:r>
      <w:r w:rsidR="008A1261">
        <w:rPr>
          <w:rFonts w:ascii="Verdana" w:eastAsia="Verdana" w:hAnsi="Verdana" w:cs="Verdana"/>
          <w:color w:val="000000" w:themeColor="text1"/>
        </w:rPr>
        <w:t xml:space="preserve"> la</w:t>
      </w:r>
      <w:r w:rsidR="00787E1D" w:rsidRPr="006343DC">
        <w:rPr>
          <w:rFonts w:ascii="Verdana" w:eastAsia="Verdana" w:hAnsi="Verdana" w:cs="Verdana"/>
          <w:color w:val="000000" w:themeColor="text1"/>
        </w:rPr>
        <w:t xml:space="preserve"> verificación en la comunidad directamente. En ningún caso se debe generar una acción con daño que impulse la generación de divisiones comunitarias y se tendrá que ser riguroso </w:t>
      </w:r>
      <w:r w:rsidR="00787E1D" w:rsidRPr="006343DC">
        <w:rPr>
          <w:rFonts w:ascii="Verdana" w:eastAsia="Verdana" w:hAnsi="Verdana" w:cs="Verdana"/>
          <w:color w:val="000000" w:themeColor="text1"/>
        </w:rPr>
        <w:lastRenderedPageBreak/>
        <w:t xml:space="preserve">en la metodología de refrendación de documentos de la autoridad ancestral ya sea con la documentación de las entidades a cargo, como en la asamblea documentada y debidamente realizada por las comunidades. </w:t>
      </w:r>
    </w:p>
    <w:p w14:paraId="1B9D8D3A" w14:textId="77777777" w:rsidR="008A1261" w:rsidRPr="006343DC" w:rsidRDefault="008A1261" w:rsidP="00787E1D">
      <w:pPr>
        <w:pStyle w:val="Prrafodelista"/>
        <w:numPr>
          <w:ilvl w:val="0"/>
          <w:numId w:val="3"/>
        </w:numPr>
        <w:spacing w:before="240" w:after="240"/>
        <w:jc w:val="both"/>
        <w:rPr>
          <w:rFonts w:ascii="Verdana" w:eastAsia="Verdana" w:hAnsi="Verdana" w:cs="Verdana"/>
          <w:color w:val="000000" w:themeColor="text1"/>
        </w:rPr>
      </w:pPr>
    </w:p>
    <w:p w14:paraId="5E403ED0" w14:textId="73225D66" w:rsidR="00A80BFA" w:rsidRDefault="00A80BFA"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Verificación:</w:t>
      </w:r>
      <w:r w:rsidRPr="006343DC">
        <w:rPr>
          <w:rFonts w:ascii="Verdana" w:eastAsia="Verdana" w:hAnsi="Verdana" w:cs="Verdana"/>
          <w:color w:val="000000" w:themeColor="text1"/>
        </w:rPr>
        <w:t xml:space="preserve"> Proceso de con</w:t>
      </w:r>
      <w:r w:rsidR="34438B61" w:rsidRPr="006343DC">
        <w:rPr>
          <w:rFonts w:ascii="Verdana" w:eastAsia="Verdana" w:hAnsi="Verdana" w:cs="Verdana"/>
          <w:color w:val="000000" w:themeColor="text1"/>
        </w:rPr>
        <w:t>statación</w:t>
      </w:r>
      <w:r w:rsidRPr="006343DC">
        <w:rPr>
          <w:rFonts w:ascii="Verdana" w:eastAsia="Verdana" w:hAnsi="Verdana" w:cs="Verdana"/>
          <w:color w:val="000000" w:themeColor="text1"/>
        </w:rPr>
        <w:t xml:space="preserve"> directo en la comunidad realizado exclusivamente por el </w:t>
      </w:r>
      <w:r w:rsidR="00892C2A">
        <w:rPr>
          <w:rFonts w:ascii="Verdana" w:eastAsia="Verdana" w:hAnsi="Verdana" w:cs="Verdana"/>
          <w:color w:val="000000" w:themeColor="text1"/>
        </w:rPr>
        <w:t>ICBF</w:t>
      </w:r>
      <w:r w:rsidRPr="006343DC">
        <w:rPr>
          <w:rFonts w:ascii="Verdana" w:eastAsia="Verdana" w:hAnsi="Verdana" w:cs="Verdana"/>
          <w:color w:val="000000" w:themeColor="text1"/>
        </w:rPr>
        <w:t xml:space="preserve">para corroborar con la autoridad tradicional la voluntad de la comunidad para la operación de servicios y para confirmar datos de la comunidad relevantes para la atención. </w:t>
      </w:r>
    </w:p>
    <w:p w14:paraId="6A5721B5" w14:textId="77777777" w:rsidR="008A1261" w:rsidRPr="006343DC" w:rsidRDefault="008A1261" w:rsidP="00787E1D">
      <w:pPr>
        <w:pStyle w:val="Prrafodelista"/>
        <w:numPr>
          <w:ilvl w:val="0"/>
          <w:numId w:val="3"/>
        </w:numPr>
        <w:spacing w:before="240" w:after="240"/>
        <w:jc w:val="both"/>
        <w:rPr>
          <w:rFonts w:ascii="Verdana" w:eastAsia="Verdana" w:hAnsi="Verdana" w:cs="Verdana"/>
          <w:color w:val="000000" w:themeColor="text1"/>
        </w:rPr>
      </w:pPr>
    </w:p>
    <w:p w14:paraId="47837E96" w14:textId="0DE0A079" w:rsidR="00A80BFA" w:rsidRDefault="00A80BFA" w:rsidP="00787E1D">
      <w:pPr>
        <w:pStyle w:val="Prrafodelista"/>
        <w:numPr>
          <w:ilvl w:val="0"/>
          <w:numId w:val="3"/>
        </w:num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Zonificación:</w:t>
      </w:r>
      <w:r w:rsidRPr="006343DC">
        <w:rPr>
          <w:rFonts w:ascii="Verdana" w:eastAsia="Verdana" w:hAnsi="Verdana" w:cs="Verdana"/>
          <w:color w:val="000000" w:themeColor="text1"/>
        </w:rPr>
        <w:t xml:space="preserve"> es el proceso de agrupación de comunidades cercanas que permita tener una acción conjunta dentro del modelo de atención integral, solo se puede desarrollar en trabajo con las comunidades y no depende de las organizaciones que se desempeñan como Unidades Ejecutora</w:t>
      </w:r>
      <w:r w:rsidR="005C7CF9" w:rsidRPr="006343DC">
        <w:rPr>
          <w:rFonts w:ascii="Verdana" w:eastAsia="Verdana" w:hAnsi="Verdana" w:cs="Verdana"/>
          <w:color w:val="000000" w:themeColor="text1"/>
        </w:rPr>
        <w:t xml:space="preserve">s sino de las coordenadas geográficas. </w:t>
      </w:r>
    </w:p>
    <w:p w14:paraId="5835EBB2" w14:textId="77777777" w:rsidR="008A1261" w:rsidRPr="006343DC" w:rsidRDefault="008A1261" w:rsidP="00787E1D">
      <w:pPr>
        <w:pStyle w:val="Prrafodelista"/>
        <w:numPr>
          <w:ilvl w:val="0"/>
          <w:numId w:val="3"/>
        </w:numPr>
        <w:spacing w:before="240" w:after="240"/>
        <w:jc w:val="both"/>
        <w:rPr>
          <w:rFonts w:ascii="Verdana" w:eastAsia="Verdana" w:hAnsi="Verdana" w:cs="Verdana"/>
          <w:color w:val="000000" w:themeColor="text1"/>
        </w:rPr>
      </w:pPr>
    </w:p>
    <w:p w14:paraId="4B684AF5" w14:textId="0866024D" w:rsidR="00DA6A69" w:rsidRDefault="005C7CF9">
      <w:pPr>
        <w:pStyle w:val="Prrafodelista"/>
        <w:numPr>
          <w:ilvl w:val="0"/>
          <w:numId w:val="3"/>
        </w:numPr>
        <w:spacing w:before="240" w:after="240"/>
        <w:jc w:val="both"/>
        <w:rPr>
          <w:rFonts w:ascii="Verdana" w:eastAsia="Verdana" w:hAnsi="Verdana" w:cs="Verdana"/>
          <w:color w:val="000000" w:themeColor="text1"/>
          <w:lang w:val="es-CO"/>
        </w:rPr>
      </w:pPr>
      <w:r w:rsidRPr="006343DC">
        <w:rPr>
          <w:rFonts w:ascii="Verdana" w:eastAsia="Verdana" w:hAnsi="Verdana" w:cs="Verdana"/>
          <w:b/>
          <w:bCs/>
          <w:color w:val="000000" w:themeColor="text1"/>
          <w:lang w:val="es-CO"/>
        </w:rPr>
        <w:t>Unidades Comunitarias de Atención (UCAS):</w:t>
      </w:r>
      <w:r w:rsidRPr="006343DC">
        <w:rPr>
          <w:rFonts w:ascii="Verdana" w:eastAsia="Verdana" w:hAnsi="Verdana" w:cs="Verdana"/>
          <w:color w:val="000000" w:themeColor="text1"/>
          <w:lang w:val="es-CO"/>
        </w:rPr>
        <w:t xml:space="preserve"> son espacios determinados por la comunidad para la atención de niños, niñas, </w:t>
      </w:r>
      <w:commentRangeStart w:id="11"/>
      <w:r w:rsidR="00892C2A" w:rsidRPr="006343DC">
        <w:rPr>
          <w:rFonts w:ascii="Verdana" w:eastAsia="Verdana" w:hAnsi="Verdana" w:cs="Verdana"/>
          <w:color w:val="000000" w:themeColor="text1"/>
          <w:lang w:val="es-CO"/>
        </w:rPr>
        <w:t xml:space="preserve"> </w:t>
      </w:r>
      <w:r w:rsidRPr="006343DC">
        <w:rPr>
          <w:rFonts w:ascii="Verdana" w:eastAsia="Verdana" w:hAnsi="Verdana" w:cs="Verdana"/>
          <w:color w:val="000000" w:themeColor="text1"/>
          <w:lang w:val="es-CO"/>
        </w:rPr>
        <w:t xml:space="preserve">gestantes </w:t>
      </w:r>
      <w:commentRangeEnd w:id="11"/>
      <w:r w:rsidR="00892C2A" w:rsidRPr="006343DC">
        <w:rPr>
          <w:rStyle w:val="Refdecomentario"/>
          <w:rFonts w:ascii="Verdana" w:eastAsia="Verdana" w:hAnsi="Verdana" w:cs="Verdana"/>
          <w:color w:val="000000" w:themeColor="text1"/>
          <w:sz w:val="22"/>
          <w:szCs w:val="22"/>
          <w:lang w:val="es-CO"/>
        </w:rPr>
        <w:commentReference w:id="11"/>
      </w:r>
      <w:r w:rsidRPr="006343DC">
        <w:rPr>
          <w:rFonts w:ascii="Verdana" w:eastAsia="Verdana" w:hAnsi="Verdana" w:cs="Verdana"/>
          <w:color w:val="000000" w:themeColor="text1"/>
          <w:lang w:val="es-CO"/>
        </w:rPr>
        <w:t xml:space="preserve">y comunidad. Estos espacios pueden ser usados en los encuentros diarios, semanales o mensuales cuando se requiera y podrán ser adaptados al modelo como lo necesite la comunidad. Su administración, diseño y mejora es de la comunidad y podrá concertarse con instituciones públicas o privadas su mejora continua. </w:t>
      </w:r>
    </w:p>
    <w:p w14:paraId="20996B72" w14:textId="3A66C74C" w:rsidR="008A1261" w:rsidRPr="006343DC" w:rsidRDefault="008A1261">
      <w:pPr>
        <w:pStyle w:val="Prrafodelista"/>
        <w:numPr>
          <w:ilvl w:val="0"/>
          <w:numId w:val="3"/>
        </w:numPr>
        <w:spacing w:before="240" w:after="240"/>
        <w:jc w:val="both"/>
        <w:rPr>
          <w:rFonts w:ascii="Verdana" w:eastAsia="Verdana" w:hAnsi="Verdana" w:cs="Verdana"/>
          <w:color w:val="000000" w:themeColor="text1"/>
          <w:lang w:val="es-CO"/>
        </w:rPr>
      </w:pPr>
    </w:p>
    <w:p w14:paraId="23E96222" w14:textId="144E37A6" w:rsidR="005C7CF9" w:rsidRDefault="005C7CF9">
      <w:pPr>
        <w:pStyle w:val="Prrafodelista"/>
        <w:numPr>
          <w:ilvl w:val="0"/>
          <w:numId w:val="3"/>
        </w:numPr>
        <w:spacing w:before="240" w:after="240"/>
        <w:jc w:val="both"/>
        <w:rPr>
          <w:rFonts w:ascii="Verdana" w:eastAsia="Verdana" w:hAnsi="Verdana" w:cs="Verdana"/>
          <w:color w:val="000000" w:themeColor="text1"/>
          <w:lang w:val="es-CO"/>
        </w:rPr>
      </w:pPr>
      <w:r w:rsidRPr="006343DC">
        <w:rPr>
          <w:rFonts w:ascii="Verdana" w:eastAsia="Verdana" w:hAnsi="Verdana" w:cs="Verdana"/>
          <w:b/>
          <w:bCs/>
          <w:color w:val="000000" w:themeColor="text1"/>
          <w:lang w:val="es-CO"/>
        </w:rPr>
        <w:t>Enlace étnico</w:t>
      </w:r>
      <w:r w:rsidR="00787E1D" w:rsidRPr="006343DC">
        <w:rPr>
          <w:rFonts w:ascii="Verdana" w:eastAsia="Verdana" w:hAnsi="Verdana" w:cs="Verdana"/>
          <w:b/>
          <w:bCs/>
          <w:color w:val="000000" w:themeColor="text1"/>
          <w:lang w:val="es-CO"/>
        </w:rPr>
        <w:t xml:space="preserve"> zonal:</w:t>
      </w:r>
      <w:r w:rsidR="00787E1D" w:rsidRPr="006343DC">
        <w:rPr>
          <w:rFonts w:ascii="Verdana" w:eastAsia="Verdana" w:hAnsi="Verdana" w:cs="Verdana"/>
          <w:color w:val="000000" w:themeColor="text1"/>
          <w:lang w:val="es-CO"/>
        </w:rPr>
        <w:t xml:space="preserve"> hace referencia a la persona elegida por las comunidades </w:t>
      </w:r>
      <w:commentRangeStart w:id="12"/>
      <w:r w:rsidR="008A1261">
        <w:rPr>
          <w:rFonts w:ascii="Verdana" w:eastAsia="Verdana" w:hAnsi="Verdana" w:cs="Verdana"/>
          <w:color w:val="000000" w:themeColor="text1"/>
          <w:lang w:val="es-CO"/>
        </w:rPr>
        <w:t>W</w:t>
      </w:r>
      <w:r w:rsidR="00787E1D" w:rsidRPr="006343DC">
        <w:rPr>
          <w:rFonts w:ascii="Verdana" w:eastAsia="Verdana" w:hAnsi="Verdana" w:cs="Verdana"/>
          <w:color w:val="000000" w:themeColor="text1"/>
          <w:lang w:val="es-CO"/>
        </w:rPr>
        <w:t>ayúu</w:t>
      </w:r>
      <w:commentRangeEnd w:id="12"/>
      <w:r w:rsidR="008A1261" w:rsidRPr="006343DC">
        <w:rPr>
          <w:rStyle w:val="Refdecomentario"/>
          <w:rFonts w:ascii="Verdana" w:eastAsia="Verdana" w:hAnsi="Verdana" w:cs="Verdana"/>
          <w:color w:val="000000" w:themeColor="text1"/>
          <w:sz w:val="22"/>
          <w:szCs w:val="22"/>
          <w:lang w:val="es-CO"/>
        </w:rPr>
        <w:commentReference w:id="12"/>
      </w:r>
      <w:r w:rsidR="00787E1D" w:rsidRPr="006343DC">
        <w:rPr>
          <w:rFonts w:ascii="Verdana" w:eastAsia="Verdana" w:hAnsi="Verdana" w:cs="Verdana"/>
          <w:color w:val="000000" w:themeColor="text1"/>
          <w:lang w:val="es-CO"/>
        </w:rPr>
        <w:t xml:space="preserve"> de influencia en el centro zonal </w:t>
      </w:r>
      <w:r w:rsidR="00DA6A69" w:rsidRPr="006343DC">
        <w:rPr>
          <w:rFonts w:ascii="Verdana" w:eastAsia="Verdana" w:hAnsi="Verdana" w:cs="Verdana"/>
          <w:color w:val="000000" w:themeColor="text1"/>
          <w:lang w:val="es-CO"/>
        </w:rPr>
        <w:t xml:space="preserve">de los municipios sentenciados </w:t>
      </w:r>
      <w:r w:rsidR="00787E1D" w:rsidRPr="006343DC">
        <w:rPr>
          <w:rFonts w:ascii="Verdana" w:eastAsia="Verdana" w:hAnsi="Verdana" w:cs="Verdana"/>
          <w:color w:val="000000" w:themeColor="text1"/>
          <w:lang w:val="es-CO"/>
        </w:rPr>
        <w:t xml:space="preserve">para servir de articulador entre </w:t>
      </w:r>
      <w:r w:rsidR="00D87C72" w:rsidRPr="006343DC">
        <w:rPr>
          <w:rFonts w:ascii="Verdana" w:eastAsia="Verdana" w:hAnsi="Verdana" w:cs="Verdana"/>
          <w:color w:val="000000" w:themeColor="text1"/>
          <w:lang w:val="es-CO"/>
        </w:rPr>
        <w:t xml:space="preserve"> la</w:t>
      </w:r>
      <w:r w:rsidR="00DA6A69" w:rsidRPr="006343DC">
        <w:rPr>
          <w:rFonts w:ascii="Verdana" w:eastAsia="Verdana" w:hAnsi="Verdana" w:cs="Verdana"/>
          <w:color w:val="000000" w:themeColor="text1"/>
          <w:lang w:val="es-CO"/>
        </w:rPr>
        <w:t xml:space="preserve"> comunidad </w:t>
      </w:r>
      <w:r w:rsidR="008A1261">
        <w:rPr>
          <w:rFonts w:ascii="Verdana" w:eastAsia="Verdana" w:hAnsi="Verdana" w:cs="Verdana"/>
          <w:color w:val="000000" w:themeColor="text1"/>
          <w:lang w:val="es-CO"/>
        </w:rPr>
        <w:t xml:space="preserve">y el ICBF </w:t>
      </w:r>
      <w:r w:rsidR="00DA6A69" w:rsidRPr="006343DC">
        <w:rPr>
          <w:rFonts w:ascii="Verdana" w:eastAsia="Verdana" w:hAnsi="Verdana" w:cs="Verdana"/>
          <w:color w:val="000000" w:themeColor="text1"/>
          <w:lang w:val="es-CO"/>
        </w:rPr>
        <w:t xml:space="preserve">en los procesos de verificación, zonificación y ejecución del modelo. Debe tener cualidades de diálogo social, ser indígena </w:t>
      </w:r>
      <w:r w:rsidR="006A3F84">
        <w:rPr>
          <w:rFonts w:ascii="Verdana" w:eastAsia="Verdana" w:hAnsi="Verdana" w:cs="Verdana"/>
          <w:color w:val="000000" w:themeColor="text1"/>
          <w:lang w:val="es-CO"/>
        </w:rPr>
        <w:t>Wayúu</w:t>
      </w:r>
      <w:r w:rsidR="00DA6A69" w:rsidRPr="006343DC">
        <w:rPr>
          <w:rFonts w:ascii="Verdana" w:eastAsia="Verdana" w:hAnsi="Verdana" w:cs="Verdana"/>
          <w:color w:val="000000" w:themeColor="text1"/>
          <w:lang w:val="es-CO"/>
        </w:rPr>
        <w:t xml:space="preserve"> hablante y ser elegido en consenso comunitario </w:t>
      </w:r>
      <w:r w:rsidR="00A66549" w:rsidRPr="006343DC">
        <w:rPr>
          <w:rFonts w:ascii="Verdana" w:eastAsia="Verdana" w:hAnsi="Verdana" w:cs="Verdana"/>
          <w:color w:val="000000" w:themeColor="text1"/>
          <w:lang w:val="es-CO"/>
        </w:rPr>
        <w:t>de acuerdo con</w:t>
      </w:r>
      <w:r w:rsidR="00DA6A69" w:rsidRPr="006343DC">
        <w:rPr>
          <w:rFonts w:ascii="Verdana" w:eastAsia="Verdana" w:hAnsi="Verdana" w:cs="Verdana"/>
          <w:color w:val="000000" w:themeColor="text1"/>
          <w:lang w:val="es-CO"/>
        </w:rPr>
        <w:t xml:space="preserve"> los usos y costumbres de la cultura. </w:t>
      </w:r>
    </w:p>
    <w:p w14:paraId="4A6BD5E8" w14:textId="77777777" w:rsidR="008A1261" w:rsidRPr="006343DC" w:rsidRDefault="008A1261">
      <w:pPr>
        <w:pStyle w:val="Prrafodelista"/>
        <w:numPr>
          <w:ilvl w:val="0"/>
          <w:numId w:val="3"/>
        </w:numPr>
        <w:spacing w:before="240" w:after="240"/>
        <w:jc w:val="both"/>
        <w:rPr>
          <w:rFonts w:ascii="Verdana" w:eastAsia="Verdana" w:hAnsi="Verdana" w:cs="Verdana"/>
          <w:color w:val="000000" w:themeColor="text1"/>
          <w:lang w:val="es-CO"/>
        </w:rPr>
      </w:pPr>
    </w:p>
    <w:p w14:paraId="3E1C9C7C" w14:textId="441636DC" w:rsidR="00F6233C" w:rsidRPr="006343DC" w:rsidRDefault="00F6233C" w:rsidP="000A1363">
      <w:pPr>
        <w:pStyle w:val="Prrafodelista"/>
        <w:numPr>
          <w:ilvl w:val="0"/>
          <w:numId w:val="3"/>
        </w:numPr>
        <w:spacing w:before="240" w:after="240"/>
        <w:jc w:val="both"/>
        <w:rPr>
          <w:rFonts w:ascii="Verdana" w:hAnsi="Verdana"/>
          <w:lang w:val="es-CO"/>
        </w:rPr>
      </w:pPr>
      <w:r w:rsidRPr="006343DC">
        <w:rPr>
          <w:rFonts w:ascii="Verdana" w:eastAsia="Verdana" w:hAnsi="Verdana" w:cs="Verdana"/>
          <w:b/>
          <w:bCs/>
          <w:color w:val="000000" w:themeColor="text1"/>
          <w:lang w:val="es-CO"/>
        </w:rPr>
        <w:t xml:space="preserve">Mandato </w:t>
      </w:r>
      <w:r w:rsidR="006A3F84">
        <w:rPr>
          <w:rFonts w:ascii="Verdana" w:eastAsia="Verdana" w:hAnsi="Verdana" w:cs="Verdana"/>
          <w:b/>
          <w:bCs/>
          <w:color w:val="000000" w:themeColor="text1"/>
          <w:lang w:val="es-CO"/>
        </w:rPr>
        <w:t>Wayúu</w:t>
      </w:r>
      <w:r w:rsidRPr="006343DC">
        <w:rPr>
          <w:rFonts w:ascii="Verdana" w:eastAsia="Verdana" w:hAnsi="Verdana" w:cs="Verdana"/>
          <w:b/>
          <w:bCs/>
          <w:color w:val="000000" w:themeColor="text1"/>
          <w:lang w:val="es-CO"/>
        </w:rPr>
        <w:t>:</w:t>
      </w:r>
      <w:r w:rsidRPr="006343DC">
        <w:rPr>
          <w:rFonts w:ascii="Verdana" w:eastAsia="Verdana" w:hAnsi="Verdana" w:cs="Verdana"/>
          <w:color w:val="000000" w:themeColor="text1"/>
          <w:lang w:val="es-CO"/>
        </w:rPr>
        <w:t xml:space="preserve"> </w:t>
      </w:r>
      <w:r w:rsidR="0EB90389" w:rsidRPr="006343DC">
        <w:rPr>
          <w:rFonts w:ascii="Verdana" w:eastAsia="Verdana" w:hAnsi="Verdana" w:cs="Verdana"/>
          <w:color w:val="000000" w:themeColor="text1"/>
          <w:lang w:val="es-CO"/>
        </w:rPr>
        <w:t xml:space="preserve">decisiones adoptadas por las autoridades tradicionales y ancestrales o por las instancias propias de organización del pueblo </w:t>
      </w:r>
      <w:r w:rsidR="006A3F84">
        <w:rPr>
          <w:rFonts w:ascii="Verdana" w:eastAsia="Verdana" w:hAnsi="Verdana" w:cs="Verdana"/>
          <w:color w:val="000000" w:themeColor="text1"/>
          <w:lang w:val="es-CO"/>
        </w:rPr>
        <w:t>Wayúu</w:t>
      </w:r>
      <w:r w:rsidR="0EB90389" w:rsidRPr="006343DC">
        <w:rPr>
          <w:rFonts w:ascii="Verdana" w:eastAsia="Verdana" w:hAnsi="Verdana" w:cs="Verdana"/>
          <w:color w:val="000000" w:themeColor="text1"/>
          <w:lang w:val="es-CO"/>
        </w:rPr>
        <w:t>, mediante las cuales se establecen orientaciones y acciones relevantes para la pervivencia cultural, la organización comunitaria y el desarrollo de la vida cotidiana en sus territorios. Los mandatos orientan el relacionamiento con las instituciones y el desarrollo de acciones, programas y estrategias en las comunidades, de acuerdo con sus formas propias de organización y toma de decisiones.</w:t>
      </w:r>
    </w:p>
    <w:p w14:paraId="083BE540" w14:textId="23436C6E" w:rsidR="000525E2" w:rsidRPr="006343DC" w:rsidRDefault="2D2814E0" w:rsidP="7583197F">
      <w:pPr>
        <w:spacing w:before="240" w:after="240"/>
        <w:jc w:val="both"/>
        <w:rPr>
          <w:rFonts w:ascii="Verdana" w:hAnsi="Verdana"/>
        </w:rPr>
      </w:pPr>
      <w:r w:rsidRPr="006343DC">
        <w:rPr>
          <w:rFonts w:ascii="Verdana" w:eastAsia="Verdana" w:hAnsi="Verdana" w:cs="Verdana"/>
          <w:b/>
          <w:bCs/>
          <w:color w:val="000000" w:themeColor="text1"/>
          <w:lang w:val="es-CO"/>
        </w:rPr>
        <w:t>PARÁGRAFO.</w:t>
      </w:r>
      <w:r w:rsidRPr="006343DC">
        <w:rPr>
          <w:rFonts w:ascii="Verdana" w:eastAsia="Verdana" w:hAnsi="Verdana" w:cs="Verdana"/>
          <w:color w:val="000000" w:themeColor="text1"/>
          <w:lang w:val="es-CO"/>
        </w:rPr>
        <w:t xml:space="preserve"> Las definiciones previstas en el presente artículo se complementarán con las demás definiciones contenidas en la Guía Operativa, de conformidad con el </w:t>
      </w:r>
      <w:r w:rsidRPr="006343DC">
        <w:rPr>
          <w:rFonts w:ascii="Verdana" w:eastAsia="Verdana" w:hAnsi="Verdana" w:cs="Verdana"/>
          <w:color w:val="000000" w:themeColor="text1"/>
          <w:lang w:val="es-CO"/>
        </w:rPr>
        <w:lastRenderedPageBreak/>
        <w:t>objeto, alcance y disposiciones de la presente Resolución</w:t>
      </w:r>
      <w:r w:rsidR="00970B56" w:rsidRPr="006343DC">
        <w:rPr>
          <w:rFonts w:ascii="Verdana" w:eastAsia="Verdana" w:hAnsi="Verdana" w:cs="Verdana"/>
          <w:color w:val="000000" w:themeColor="text1"/>
          <w:lang w:val="es-CO"/>
        </w:rPr>
        <w:t xml:space="preserve">, así como </w:t>
      </w:r>
      <w:r w:rsidR="685FFBF3" w:rsidRPr="006343DC">
        <w:rPr>
          <w:rFonts w:ascii="Verdana" w:eastAsia="Verdana" w:hAnsi="Verdana" w:cs="Verdana"/>
          <w:color w:val="000000" w:themeColor="text1"/>
          <w:lang w:val="es-CO"/>
        </w:rPr>
        <w:t xml:space="preserve">con </w:t>
      </w:r>
      <w:r w:rsidR="00970B56" w:rsidRPr="006343DC">
        <w:rPr>
          <w:rFonts w:ascii="Verdana" w:eastAsia="Verdana" w:hAnsi="Verdana" w:cs="Verdana"/>
          <w:color w:val="000000" w:themeColor="text1"/>
          <w:lang w:val="es-CO"/>
        </w:rPr>
        <w:t xml:space="preserve">los </w:t>
      </w:r>
      <w:r w:rsidR="685FFBF3" w:rsidRPr="006343DC">
        <w:rPr>
          <w:rFonts w:ascii="Verdana" w:eastAsia="Verdana" w:hAnsi="Verdana" w:cs="Verdana"/>
          <w:color w:val="000000" w:themeColor="text1"/>
          <w:lang w:val="es-CO"/>
        </w:rPr>
        <w:t xml:space="preserve">Mandatos </w:t>
      </w:r>
      <w:r w:rsidR="006A3F84">
        <w:rPr>
          <w:rFonts w:ascii="Verdana" w:eastAsia="Verdana" w:hAnsi="Verdana" w:cs="Verdana"/>
          <w:color w:val="000000" w:themeColor="text1"/>
          <w:lang w:val="es-CO"/>
        </w:rPr>
        <w:t>Wayúu</w:t>
      </w:r>
      <w:r w:rsidR="685FFBF3" w:rsidRPr="006343DC">
        <w:rPr>
          <w:rFonts w:ascii="Verdana" w:eastAsia="Verdana" w:hAnsi="Verdana" w:cs="Verdana"/>
          <w:color w:val="000000" w:themeColor="text1"/>
          <w:lang w:val="es-CO"/>
        </w:rPr>
        <w:t xml:space="preserve"> que </w:t>
      </w:r>
      <w:r w:rsidR="00970B56" w:rsidRPr="006343DC">
        <w:rPr>
          <w:rFonts w:ascii="Verdana" w:eastAsia="Verdana" w:hAnsi="Verdana" w:cs="Verdana"/>
          <w:color w:val="000000" w:themeColor="text1"/>
          <w:lang w:val="es-CO"/>
        </w:rPr>
        <w:t xml:space="preserve">contienen determinaciones específicas para </w:t>
      </w:r>
      <w:r w:rsidR="685FFBF3" w:rsidRPr="006343DC">
        <w:rPr>
          <w:rFonts w:ascii="Verdana" w:eastAsia="Verdana" w:hAnsi="Verdana" w:cs="Verdana"/>
          <w:color w:val="000000" w:themeColor="text1"/>
          <w:lang w:val="es-CO"/>
        </w:rPr>
        <w:t xml:space="preserve">determinados </w:t>
      </w:r>
      <w:r w:rsidR="00970B56" w:rsidRPr="006343DC">
        <w:rPr>
          <w:rFonts w:ascii="Verdana" w:eastAsia="Verdana" w:hAnsi="Verdana" w:cs="Verdana"/>
          <w:color w:val="000000" w:themeColor="text1"/>
          <w:lang w:val="es-CO"/>
        </w:rPr>
        <w:t xml:space="preserve">territorios </w:t>
      </w:r>
      <w:r w:rsidR="685FFBF3" w:rsidRPr="006343DC">
        <w:rPr>
          <w:rFonts w:ascii="Verdana" w:eastAsia="Verdana" w:hAnsi="Verdana" w:cs="Verdana"/>
          <w:color w:val="000000" w:themeColor="text1"/>
          <w:lang w:val="es-CO"/>
        </w:rPr>
        <w:t>y</w:t>
      </w:r>
      <w:r w:rsidR="00970B56" w:rsidRPr="006343DC">
        <w:rPr>
          <w:rFonts w:ascii="Verdana" w:eastAsia="Verdana" w:hAnsi="Verdana" w:cs="Verdana"/>
          <w:color w:val="000000" w:themeColor="text1"/>
          <w:lang w:val="es-CO"/>
        </w:rPr>
        <w:t xml:space="preserve"> comunidades.</w:t>
      </w:r>
    </w:p>
    <w:p w14:paraId="373567F9" w14:textId="5BE70668" w:rsidR="000525E2" w:rsidRPr="006343DC" w:rsidRDefault="2D2814E0" w:rsidP="7583197F">
      <w:pPr>
        <w:pStyle w:val="Ttulo3"/>
        <w:spacing w:before="270" w:after="270"/>
        <w:jc w:val="both"/>
        <w:rPr>
          <w:rFonts w:ascii="Verdana" w:eastAsia="Verdana" w:hAnsi="Verdana" w:cs="Verdana"/>
          <w:color w:val="000000" w:themeColor="text1"/>
          <w:sz w:val="22"/>
          <w:szCs w:val="22"/>
        </w:rPr>
      </w:pPr>
      <w:r w:rsidRPr="006343DC">
        <w:rPr>
          <w:rFonts w:ascii="Verdana" w:eastAsia="Verdana" w:hAnsi="Verdana" w:cs="Verdana"/>
          <w:b/>
          <w:bCs/>
          <w:color w:val="000000" w:themeColor="text1"/>
          <w:sz w:val="22"/>
          <w:szCs w:val="22"/>
        </w:rPr>
        <w:t>ARTÍCULO 4°. PRINCIPIOS Y CRITERIOS ORIENTADORES DE LA IMPLEMENTACIÓN.</w:t>
      </w:r>
      <w:r w:rsidR="45E0C88D" w:rsidRPr="006343DC">
        <w:rPr>
          <w:rFonts w:ascii="Verdana" w:eastAsia="Verdana" w:hAnsi="Verdana" w:cs="Verdana"/>
          <w:b/>
          <w:bCs/>
          <w:color w:val="000000" w:themeColor="text1"/>
          <w:sz w:val="22"/>
          <w:szCs w:val="22"/>
        </w:rPr>
        <w:t xml:space="preserve"> </w:t>
      </w:r>
      <w:r w:rsidRPr="006343DC">
        <w:rPr>
          <w:rFonts w:ascii="Verdana" w:eastAsia="Verdana" w:hAnsi="Verdana" w:cs="Verdana"/>
          <w:color w:val="000000" w:themeColor="text1"/>
          <w:sz w:val="22"/>
          <w:szCs w:val="22"/>
        </w:rPr>
        <w:t xml:space="preserve">En consonancia con el reconocimiento del pueblo </w:t>
      </w:r>
      <w:r w:rsidR="006A3F84">
        <w:rPr>
          <w:rFonts w:ascii="Verdana" w:eastAsia="Verdana" w:hAnsi="Verdana" w:cs="Verdana"/>
          <w:color w:val="000000" w:themeColor="text1"/>
          <w:sz w:val="22"/>
          <w:szCs w:val="22"/>
        </w:rPr>
        <w:t>Wayúu</w:t>
      </w:r>
      <w:r w:rsidRPr="006343DC">
        <w:rPr>
          <w:rFonts w:ascii="Verdana" w:eastAsia="Verdana" w:hAnsi="Verdana" w:cs="Verdana"/>
          <w:color w:val="000000" w:themeColor="text1"/>
          <w:sz w:val="22"/>
          <w:szCs w:val="22"/>
        </w:rPr>
        <w:t xml:space="preserve"> como sujeto de derechos en el marco de la Sentencia T-302 de 2017 y de las providencias proferidas durante su seguimiento, la implementación de la Guía Operativa del Modelo de Atención Integral al Pueblo </w:t>
      </w:r>
      <w:r w:rsidR="006A3F84">
        <w:rPr>
          <w:rFonts w:ascii="Verdana" w:eastAsia="Verdana" w:hAnsi="Verdana" w:cs="Verdana"/>
          <w:color w:val="000000" w:themeColor="text1"/>
          <w:sz w:val="22"/>
          <w:szCs w:val="22"/>
        </w:rPr>
        <w:t>Wayúu</w:t>
      </w:r>
      <w:r w:rsidRPr="006343DC">
        <w:rPr>
          <w:rFonts w:ascii="Verdana" w:eastAsia="Verdana" w:hAnsi="Verdana" w:cs="Verdana"/>
          <w:color w:val="000000" w:themeColor="text1"/>
          <w:sz w:val="22"/>
          <w:szCs w:val="22"/>
        </w:rPr>
        <w:t xml:space="preserve"> en sus Territorios Ancestrales en La Guajira se desarrollará con enfoque diferencial, étnico, intercultural y territorial, y con pertinencia cultural y territorial, reconociendo la diversidad cultural y las particularidades culturales, familiares, comunitarias y territoriales del pueblo </w:t>
      </w:r>
      <w:r w:rsidR="006A3F84">
        <w:rPr>
          <w:rFonts w:ascii="Verdana" w:eastAsia="Verdana" w:hAnsi="Verdana" w:cs="Verdana"/>
          <w:color w:val="000000" w:themeColor="text1"/>
          <w:sz w:val="22"/>
          <w:szCs w:val="22"/>
        </w:rPr>
        <w:t>Wayúu</w:t>
      </w:r>
      <w:r w:rsidRPr="006343DC">
        <w:rPr>
          <w:rFonts w:ascii="Verdana" w:eastAsia="Verdana" w:hAnsi="Verdana" w:cs="Verdana"/>
          <w:color w:val="000000" w:themeColor="text1"/>
          <w:sz w:val="22"/>
          <w:szCs w:val="22"/>
        </w:rPr>
        <w:t>, así como sus saberes, prácticas y formas propias de organización.</w:t>
      </w:r>
    </w:p>
    <w:p w14:paraId="39FFF0DD" w14:textId="5E37D4C5"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La implementación del Modelo estará orientada por la integralidad de la atención, el diálogo genuino, la participación y la construcción conjunta con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el respeto por su autonomía y sus formas propias de organización, representación y toma de decisiones; así como por la buena fe, </w:t>
      </w:r>
      <w:r w:rsidR="00D11AB3" w:rsidRPr="006343DC">
        <w:rPr>
          <w:rFonts w:ascii="Verdana" w:eastAsia="Verdana" w:hAnsi="Verdana" w:cs="Verdana"/>
          <w:color w:val="000000" w:themeColor="text1"/>
        </w:rPr>
        <w:t xml:space="preserve">la flexibilidad, </w:t>
      </w:r>
      <w:r w:rsidRPr="006343DC">
        <w:rPr>
          <w:rFonts w:ascii="Verdana" w:eastAsia="Verdana" w:hAnsi="Verdana" w:cs="Verdana"/>
          <w:color w:val="000000" w:themeColor="text1"/>
        </w:rPr>
        <w:t>la transparencia, la progresividad</w:t>
      </w:r>
      <w:r w:rsidR="00C606CB" w:rsidRPr="006343DC">
        <w:rPr>
          <w:rFonts w:ascii="Verdana" w:eastAsia="Verdana" w:hAnsi="Verdana" w:cs="Verdana"/>
          <w:color w:val="000000" w:themeColor="text1"/>
        </w:rPr>
        <w:t xml:space="preserve"> y</w:t>
      </w:r>
      <w:r w:rsidRPr="006343DC">
        <w:rPr>
          <w:rFonts w:ascii="Verdana" w:eastAsia="Verdana" w:hAnsi="Verdana" w:cs="Verdana"/>
          <w:color w:val="000000" w:themeColor="text1"/>
        </w:rPr>
        <w:t xml:space="preserve"> la no regresividad </w:t>
      </w:r>
      <w:r w:rsidR="00D11AB3" w:rsidRPr="006343DC">
        <w:rPr>
          <w:rFonts w:ascii="Verdana" w:eastAsia="Verdana" w:hAnsi="Verdana" w:cs="Verdana"/>
          <w:color w:val="000000" w:themeColor="text1"/>
        </w:rPr>
        <w:t xml:space="preserve">de los derechos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w:t>
      </w:r>
    </w:p>
    <w:p w14:paraId="4FC50246" w14:textId="1EEA6D13"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Estos principios y criterios orientarán la planeación, organización, implementación, seguimiento, evaluación y fortalecimiento del Modelo, procurando que las actuaciones institucionales respondan de manera flexible a las realidades, dinámicas y características sociales, culturales, familiares, comunitarias y territoriales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y favorezcan una atención integral y culturalmente pertinente, en el marco de las competencias del Instituto Colombiano de Bienestar Familiar.</w:t>
      </w:r>
    </w:p>
    <w:p w14:paraId="1F03A03F" w14:textId="22672DC6" w:rsidR="002A712B" w:rsidRPr="006343DC" w:rsidRDefault="26DD915F" w:rsidP="1F0720A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PARÁGRAFO.</w:t>
      </w:r>
      <w:r w:rsidRPr="006343DC">
        <w:rPr>
          <w:rFonts w:ascii="Verdana" w:eastAsia="Verdana" w:hAnsi="Verdana" w:cs="Verdana"/>
          <w:color w:val="000000" w:themeColor="text1"/>
        </w:rPr>
        <w:t xml:space="preserve"> Los principios y criterios previstos en el presente artículo se interpretarán y aplicarán de manera armónica con los enfoques, principios, criterios y orientaciones contenidos en la Guía Operativa, como instrumento técnico y operativo del Modelo</w:t>
      </w:r>
      <w:r w:rsidR="002A712B" w:rsidRPr="006343DC">
        <w:rPr>
          <w:rFonts w:ascii="Verdana" w:eastAsia="Verdana" w:hAnsi="Verdana" w:cs="Verdana"/>
          <w:color w:val="000000" w:themeColor="text1"/>
        </w:rPr>
        <w:t xml:space="preserve"> </w:t>
      </w:r>
      <w:r w:rsidR="60A4A80F" w:rsidRPr="006343DC">
        <w:rPr>
          <w:rFonts w:ascii="Verdana" w:eastAsia="Verdana" w:hAnsi="Verdana" w:cs="Verdana"/>
          <w:color w:val="000000" w:themeColor="text1"/>
        </w:rPr>
        <w:t xml:space="preserve">adoptado mediante </w:t>
      </w:r>
      <w:r w:rsidR="002A712B" w:rsidRPr="006343DC">
        <w:rPr>
          <w:rFonts w:ascii="Verdana" w:eastAsia="Verdana" w:hAnsi="Verdana" w:cs="Verdana"/>
          <w:color w:val="000000" w:themeColor="text1"/>
        </w:rPr>
        <w:t xml:space="preserve">la presente Resolución, así como </w:t>
      </w:r>
      <w:r w:rsidR="60A4A80F" w:rsidRPr="006343DC">
        <w:rPr>
          <w:rFonts w:ascii="Verdana" w:eastAsia="Verdana" w:hAnsi="Verdana" w:cs="Verdana"/>
          <w:color w:val="000000" w:themeColor="text1"/>
        </w:rPr>
        <w:t xml:space="preserve">con </w:t>
      </w:r>
      <w:r w:rsidR="002A712B" w:rsidRPr="006343DC">
        <w:rPr>
          <w:rFonts w:ascii="Verdana" w:eastAsia="Verdana" w:hAnsi="Verdana" w:cs="Verdana"/>
          <w:color w:val="000000" w:themeColor="text1"/>
        </w:rPr>
        <w:t xml:space="preserve">los </w:t>
      </w:r>
      <w:r w:rsidR="60A4A80F" w:rsidRPr="006343DC">
        <w:rPr>
          <w:rFonts w:ascii="Verdana" w:eastAsia="Verdana" w:hAnsi="Verdana" w:cs="Verdana"/>
          <w:color w:val="000000" w:themeColor="text1"/>
        </w:rPr>
        <w:t xml:space="preserve">Mandatos </w:t>
      </w:r>
      <w:r w:rsidR="006A3F84">
        <w:rPr>
          <w:rFonts w:ascii="Verdana" w:eastAsia="Verdana" w:hAnsi="Verdana" w:cs="Verdana"/>
          <w:color w:val="000000" w:themeColor="text1"/>
        </w:rPr>
        <w:t>Wayúu</w:t>
      </w:r>
      <w:r w:rsidR="60A4A80F" w:rsidRPr="006343DC">
        <w:rPr>
          <w:rFonts w:ascii="Verdana" w:eastAsia="Verdana" w:hAnsi="Verdana" w:cs="Verdana"/>
          <w:color w:val="000000" w:themeColor="text1"/>
        </w:rPr>
        <w:t xml:space="preserve"> que hacen parte integral de </w:t>
      </w:r>
      <w:r w:rsidR="002A712B" w:rsidRPr="006343DC">
        <w:rPr>
          <w:rFonts w:ascii="Verdana" w:eastAsia="Verdana" w:hAnsi="Verdana" w:cs="Verdana"/>
          <w:color w:val="000000" w:themeColor="text1"/>
        </w:rPr>
        <w:t xml:space="preserve">la </w:t>
      </w:r>
      <w:r w:rsidR="60A4A80F" w:rsidRPr="006343DC">
        <w:rPr>
          <w:rFonts w:ascii="Verdana" w:eastAsia="Verdana" w:hAnsi="Verdana" w:cs="Verdana"/>
          <w:color w:val="000000" w:themeColor="text1"/>
        </w:rPr>
        <w:t>presente Resolución y</w:t>
      </w:r>
      <w:r w:rsidR="002A712B" w:rsidRPr="006343DC">
        <w:rPr>
          <w:rFonts w:ascii="Verdana" w:eastAsia="Verdana" w:hAnsi="Verdana" w:cs="Verdana"/>
          <w:color w:val="000000" w:themeColor="text1"/>
        </w:rPr>
        <w:t xml:space="preserve"> contienen determinaciones específicas para </w:t>
      </w:r>
      <w:r w:rsidR="60A4A80F" w:rsidRPr="006343DC">
        <w:rPr>
          <w:rFonts w:ascii="Verdana" w:eastAsia="Verdana" w:hAnsi="Verdana" w:cs="Verdana"/>
          <w:color w:val="000000" w:themeColor="text1"/>
        </w:rPr>
        <w:t xml:space="preserve">determinados </w:t>
      </w:r>
      <w:r w:rsidR="002A712B" w:rsidRPr="006343DC">
        <w:rPr>
          <w:rFonts w:ascii="Verdana" w:eastAsia="Verdana" w:hAnsi="Verdana" w:cs="Verdana"/>
          <w:color w:val="000000" w:themeColor="text1"/>
        </w:rPr>
        <w:t xml:space="preserve">territorios </w:t>
      </w:r>
      <w:r w:rsidR="60A4A80F" w:rsidRPr="006343DC">
        <w:rPr>
          <w:rFonts w:ascii="Verdana" w:eastAsia="Verdana" w:hAnsi="Verdana" w:cs="Verdana"/>
          <w:color w:val="000000" w:themeColor="text1"/>
        </w:rPr>
        <w:t>y</w:t>
      </w:r>
      <w:r w:rsidR="002A712B" w:rsidRPr="006343DC">
        <w:rPr>
          <w:rFonts w:ascii="Verdana" w:eastAsia="Verdana" w:hAnsi="Verdana" w:cs="Verdana"/>
          <w:color w:val="000000" w:themeColor="text1"/>
        </w:rPr>
        <w:t xml:space="preserve"> comunidades.</w:t>
      </w:r>
    </w:p>
    <w:p w14:paraId="31774BB1" w14:textId="0696D6CB"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5°. DIÁLOGO GENUINO, PARTICIPACIÓN Y CONSTRUCCIÓN CONJUNTA.</w:t>
      </w:r>
      <w:r w:rsidRPr="006343DC">
        <w:rPr>
          <w:rFonts w:ascii="Verdana" w:eastAsia="Verdana" w:hAnsi="Verdana" w:cs="Verdana"/>
          <w:color w:val="000000" w:themeColor="text1"/>
        </w:rPr>
        <w:t xml:space="preserve"> En desarrollo del octavo objetivo constitucional mínimo de la Sentencia T-302 de 2017, el </w:t>
      </w:r>
      <w:r w:rsidR="007A472B">
        <w:rPr>
          <w:rFonts w:ascii="Verdana" w:eastAsia="Verdana" w:hAnsi="Verdana" w:cs="Verdana"/>
          <w:color w:val="000000" w:themeColor="text1"/>
        </w:rPr>
        <w:t>ICBF</w:t>
      </w:r>
      <w:r w:rsidRPr="006343DC">
        <w:rPr>
          <w:rFonts w:ascii="Verdana" w:eastAsia="Verdana" w:hAnsi="Verdana" w:cs="Verdana"/>
          <w:color w:val="000000" w:themeColor="text1"/>
        </w:rPr>
        <w:t xml:space="preserve">garantizará y promoverá el diálogo genuino con las autoridades legítimas,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como elemento transversal de la implementación, seguimiento, evaluación y fortalecimiento progresivo del Modelo.</w:t>
      </w:r>
    </w:p>
    <w:p w14:paraId="0B3EB031" w14:textId="1194F317"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lastRenderedPageBreak/>
        <w:t xml:space="preserve">El diálogo y la participación se desarrollarán reconociendo la autonomía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sus prácticas sociales y culturales, sus formas propias de organización territorial, representación y toma de decisiones, bajo criterios de buena fe, respeto, participación efectiva y construcción conjunta. Los espacios y mecanismos de interlocución responderán a las dinámicas y particularidades de las comunidades y los territorios, reconociendo las formas propias mediante las cuales 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dialoga, participa y construye colectivamente.</w:t>
      </w:r>
    </w:p>
    <w:p w14:paraId="62216369" w14:textId="1A3E7B38"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A través de estos procesos se propiciará el intercambio de saberes, la identificación de necesidades y particularidades territoriales, la expresión de opiniones, propuestas y recomendaciones, la construcción de acuerdos y el seguimiento a la atención. Los saberes, aportes, propuestas y acuerdos que surjan serán considerados en la implementación y el fortalecimiento progresivo del Modelo, procurando su incorporación cuando resulte procedente, dentro de las competencias del </w:t>
      </w:r>
      <w:r w:rsidR="007A472B">
        <w:rPr>
          <w:rFonts w:ascii="Verdana" w:eastAsia="Verdana" w:hAnsi="Verdana" w:cs="Verdana"/>
          <w:color w:val="000000" w:themeColor="text1"/>
        </w:rPr>
        <w:t xml:space="preserve">ICBF </w:t>
      </w:r>
      <w:r w:rsidRPr="006343DC">
        <w:rPr>
          <w:rFonts w:ascii="Verdana" w:eastAsia="Verdana" w:hAnsi="Verdana" w:cs="Verdana"/>
          <w:color w:val="000000" w:themeColor="text1"/>
        </w:rPr>
        <w:t>y de conformidad con el ordenamiento jurídico aplicable.</w:t>
      </w:r>
    </w:p>
    <w:p w14:paraId="7734893A" w14:textId="17EBAC1F" w:rsidR="002A712B" w:rsidRPr="006343DC" w:rsidRDefault="3951A62D" w:rsidP="002A712B">
      <w:pPr>
        <w:spacing w:before="240" w:after="240"/>
        <w:jc w:val="both"/>
        <w:rPr>
          <w:rFonts w:ascii="Verdana" w:hAnsi="Verdana"/>
        </w:rPr>
      </w:pPr>
      <w:r w:rsidRPr="006343DC">
        <w:rPr>
          <w:rFonts w:ascii="Verdana" w:eastAsia="Verdana" w:hAnsi="Verdana" w:cs="Verdana"/>
          <w:b/>
          <w:bCs/>
          <w:color w:val="000000" w:themeColor="text1"/>
        </w:rPr>
        <w:t>PARÁGRAFO 1°.</w:t>
      </w:r>
      <w:r w:rsidRPr="006343DC">
        <w:rPr>
          <w:rFonts w:ascii="Verdana" w:eastAsia="Verdana" w:hAnsi="Verdana" w:cs="Verdana"/>
          <w:color w:val="000000" w:themeColor="text1"/>
        </w:rPr>
        <w:t xml:space="preserve"> Los procesos de diálogo, participación y construcción conjunta previstos en el presente artículo se desarrollarán de manera articulada con las metodologías, mecanismos y orientaciones establecidas en la Guía Operativa, atendiendo las particularidades y dinámicas propias de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y de sus territorios</w:t>
      </w:r>
      <w:r w:rsidR="2F7FFB06" w:rsidRPr="006343DC">
        <w:rPr>
          <w:rFonts w:ascii="Verdana" w:eastAsia="Verdana" w:hAnsi="Verdana" w:cs="Verdana"/>
          <w:color w:val="000000" w:themeColor="text1"/>
        </w:rPr>
        <w:t>, así</w:t>
      </w:r>
      <w:r w:rsidR="002A712B" w:rsidRPr="006343DC">
        <w:rPr>
          <w:rFonts w:ascii="Verdana" w:eastAsia="Verdana" w:hAnsi="Verdana" w:cs="Verdana"/>
          <w:color w:val="000000" w:themeColor="text1"/>
        </w:rPr>
        <w:t xml:space="preserve"> como </w:t>
      </w:r>
      <w:r w:rsidR="2F7FFB06" w:rsidRPr="006343DC">
        <w:rPr>
          <w:rFonts w:ascii="Verdana" w:eastAsia="Verdana" w:hAnsi="Verdana" w:cs="Verdana"/>
          <w:color w:val="000000" w:themeColor="text1"/>
        </w:rPr>
        <w:t xml:space="preserve">con </w:t>
      </w:r>
      <w:r w:rsidR="002A712B" w:rsidRPr="006343DC">
        <w:rPr>
          <w:rFonts w:ascii="Verdana" w:eastAsia="Verdana" w:hAnsi="Verdana" w:cs="Verdana"/>
          <w:color w:val="000000" w:themeColor="text1"/>
        </w:rPr>
        <w:t xml:space="preserve">los </w:t>
      </w:r>
      <w:r w:rsidR="2F7FFB06" w:rsidRPr="006343DC">
        <w:rPr>
          <w:rFonts w:ascii="Verdana" w:eastAsia="Verdana" w:hAnsi="Verdana" w:cs="Verdana"/>
          <w:color w:val="000000" w:themeColor="text1"/>
        </w:rPr>
        <w:t xml:space="preserve">Mandatos </w:t>
      </w:r>
      <w:r w:rsidR="006A3F84">
        <w:rPr>
          <w:rFonts w:ascii="Verdana" w:eastAsia="Verdana" w:hAnsi="Verdana" w:cs="Verdana"/>
          <w:color w:val="000000" w:themeColor="text1"/>
        </w:rPr>
        <w:t>Wayúu</w:t>
      </w:r>
      <w:r w:rsidR="2F7FFB06" w:rsidRPr="006343DC">
        <w:rPr>
          <w:rFonts w:ascii="Verdana" w:eastAsia="Verdana" w:hAnsi="Verdana" w:cs="Verdana"/>
          <w:color w:val="000000" w:themeColor="text1"/>
        </w:rPr>
        <w:t xml:space="preserve"> </w:t>
      </w:r>
      <w:r w:rsidR="002A712B" w:rsidRPr="006343DC">
        <w:rPr>
          <w:rFonts w:ascii="Verdana" w:eastAsia="Verdana" w:hAnsi="Verdana" w:cs="Verdana"/>
          <w:color w:val="000000" w:themeColor="text1"/>
        </w:rPr>
        <w:t xml:space="preserve">los cuales contienen determinaciones específicas para </w:t>
      </w:r>
      <w:r w:rsidR="2F7FFB06" w:rsidRPr="006343DC">
        <w:rPr>
          <w:rFonts w:ascii="Verdana" w:eastAsia="Verdana" w:hAnsi="Verdana" w:cs="Verdana"/>
          <w:color w:val="000000" w:themeColor="text1"/>
        </w:rPr>
        <w:t xml:space="preserve">determinados </w:t>
      </w:r>
      <w:r w:rsidR="002A712B" w:rsidRPr="006343DC">
        <w:rPr>
          <w:rFonts w:ascii="Verdana" w:eastAsia="Verdana" w:hAnsi="Verdana" w:cs="Verdana"/>
          <w:color w:val="000000" w:themeColor="text1"/>
        </w:rPr>
        <w:t xml:space="preserve">territorios </w:t>
      </w:r>
      <w:r w:rsidR="2F7FFB06" w:rsidRPr="006343DC">
        <w:rPr>
          <w:rFonts w:ascii="Verdana" w:eastAsia="Verdana" w:hAnsi="Verdana" w:cs="Verdana"/>
          <w:color w:val="000000" w:themeColor="text1"/>
        </w:rPr>
        <w:t>y</w:t>
      </w:r>
      <w:r w:rsidR="002A712B" w:rsidRPr="006343DC">
        <w:rPr>
          <w:rFonts w:ascii="Verdana" w:eastAsia="Verdana" w:hAnsi="Verdana" w:cs="Verdana"/>
          <w:color w:val="000000" w:themeColor="text1"/>
        </w:rPr>
        <w:t xml:space="preserve"> comunidades.</w:t>
      </w:r>
    </w:p>
    <w:p w14:paraId="506217BC" w14:textId="20D66271" w:rsidR="000525E2" w:rsidRPr="006343DC" w:rsidRDefault="3951A62D"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PARÁGRAFO 2°.</w:t>
      </w:r>
      <w:r w:rsidRPr="006343DC">
        <w:rPr>
          <w:rFonts w:ascii="Verdana" w:eastAsia="Verdana" w:hAnsi="Verdana" w:cs="Verdana"/>
          <w:color w:val="000000" w:themeColor="text1"/>
        </w:rPr>
        <w:t xml:space="preserve"> Los procesos de diálogo, participación y construcción conjunta tendrán en cuenta, en lo que resulte pertinente para el Modelo y en el marco de las competencias del</w:t>
      </w:r>
      <w:r w:rsidR="007A472B">
        <w:rPr>
          <w:rFonts w:ascii="Verdana" w:eastAsia="Verdana" w:hAnsi="Verdana" w:cs="Verdana"/>
          <w:color w:val="000000" w:themeColor="text1"/>
        </w:rPr>
        <w:t>icbf</w:t>
      </w:r>
      <w:r w:rsidRPr="006343DC">
        <w:rPr>
          <w:rFonts w:ascii="Verdana" w:eastAsia="Verdana" w:hAnsi="Verdana" w:cs="Verdana"/>
          <w:color w:val="000000" w:themeColor="text1"/>
        </w:rPr>
        <w:t>, los avances y desarrollos que se produzcan en el proceso de formulación e implementación del Plan Estructural de Acción derivado del seguimiento a la Sentencia T-302 de 2017.</w:t>
      </w:r>
    </w:p>
    <w:p w14:paraId="752E29DA" w14:textId="5B8B503B" w:rsidR="000525E2" w:rsidRPr="006343DC" w:rsidRDefault="3951A62D"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PARÁGRAFO 3°.</w:t>
      </w:r>
      <w:r w:rsidRPr="006343DC">
        <w:rPr>
          <w:rFonts w:ascii="Verdana" w:eastAsia="Verdana" w:hAnsi="Verdana" w:cs="Verdana"/>
          <w:color w:val="000000" w:themeColor="text1"/>
        </w:rPr>
        <w:t xml:space="preserve"> </w:t>
      </w:r>
      <w:r w:rsidR="00F86A2A" w:rsidRPr="006343DC">
        <w:rPr>
          <w:rFonts w:ascii="Verdana" w:eastAsia="Verdana" w:hAnsi="Verdana" w:cs="Verdana"/>
          <w:color w:val="000000" w:themeColor="text1"/>
        </w:rPr>
        <w:t>Para facilitar los procesos de diálogo genuino</w:t>
      </w:r>
      <w:r w:rsidR="008A1B34" w:rsidRPr="006343DC">
        <w:rPr>
          <w:rFonts w:ascii="Verdana" w:eastAsia="Verdana" w:hAnsi="Verdana" w:cs="Verdana"/>
          <w:color w:val="000000" w:themeColor="text1"/>
        </w:rPr>
        <w:t xml:space="preserve">, así como la implementación del sistema normativo </w:t>
      </w:r>
      <w:r w:rsidR="006A3F84">
        <w:rPr>
          <w:rFonts w:ascii="Verdana" w:eastAsia="Verdana" w:hAnsi="Verdana" w:cs="Verdana"/>
          <w:color w:val="000000" w:themeColor="text1"/>
        </w:rPr>
        <w:t>Wayúu</w:t>
      </w:r>
      <w:r w:rsidR="008A1B34" w:rsidRPr="006343DC">
        <w:rPr>
          <w:rFonts w:ascii="Verdana" w:eastAsia="Verdana" w:hAnsi="Verdana" w:cs="Verdana"/>
          <w:color w:val="000000" w:themeColor="text1"/>
        </w:rPr>
        <w:t xml:space="preserve">, </w:t>
      </w:r>
      <w:r w:rsidR="00B03D22" w:rsidRPr="006343DC">
        <w:rPr>
          <w:rFonts w:ascii="Verdana" w:eastAsia="Verdana" w:hAnsi="Verdana" w:cs="Verdana"/>
          <w:color w:val="000000" w:themeColor="text1"/>
        </w:rPr>
        <w:t>mejorando</w:t>
      </w:r>
      <w:r w:rsidR="008A1B34" w:rsidRPr="006343DC">
        <w:rPr>
          <w:rFonts w:ascii="Verdana" w:eastAsia="Verdana" w:hAnsi="Verdana" w:cs="Verdana"/>
          <w:color w:val="000000" w:themeColor="text1"/>
        </w:rPr>
        <w:t xml:space="preserve"> de la interrelación cultural en los procesos de verificación, caracterización, zonificación y ejecución del modelo, los centros zonales contarán con un enlace étnico zonal elegido de manera </w:t>
      </w:r>
      <w:r w:rsidR="00956343" w:rsidRPr="006343DC">
        <w:rPr>
          <w:rFonts w:ascii="Verdana" w:eastAsia="Verdana" w:hAnsi="Verdana" w:cs="Verdana"/>
          <w:color w:val="000000" w:themeColor="text1"/>
        </w:rPr>
        <w:t xml:space="preserve">democrática </w:t>
      </w:r>
      <w:r w:rsidR="008A1B34" w:rsidRPr="006343DC">
        <w:rPr>
          <w:rFonts w:ascii="Verdana" w:eastAsia="Verdana" w:hAnsi="Verdana" w:cs="Verdana"/>
          <w:color w:val="000000" w:themeColor="text1"/>
        </w:rPr>
        <w:t xml:space="preserve">con las comunidades </w:t>
      </w:r>
      <w:r w:rsidR="00334133" w:rsidRPr="006343DC">
        <w:rPr>
          <w:rFonts w:ascii="Verdana" w:eastAsia="Verdana" w:hAnsi="Verdana" w:cs="Verdana"/>
          <w:color w:val="000000" w:themeColor="text1"/>
        </w:rPr>
        <w:t xml:space="preserve">que tenga influencia el centro zonal. </w:t>
      </w:r>
    </w:p>
    <w:p w14:paraId="2E73471F" w14:textId="0A91D6B5" w:rsidR="000525E2" w:rsidRPr="006343DC" w:rsidRDefault="2D2814E0" w:rsidP="7583197F">
      <w:pPr>
        <w:pStyle w:val="Ttulo3"/>
        <w:spacing w:before="270" w:after="270"/>
        <w:jc w:val="both"/>
        <w:rPr>
          <w:rFonts w:ascii="Verdana" w:eastAsia="Verdana" w:hAnsi="Verdana" w:cs="Verdana"/>
          <w:color w:val="000000" w:themeColor="text1"/>
          <w:sz w:val="22"/>
          <w:szCs w:val="22"/>
        </w:rPr>
      </w:pPr>
      <w:r w:rsidRPr="006343DC">
        <w:rPr>
          <w:rFonts w:ascii="Verdana" w:eastAsia="Verdana" w:hAnsi="Verdana" w:cs="Verdana"/>
          <w:b/>
          <w:bCs/>
          <w:color w:val="000000" w:themeColor="text1"/>
          <w:sz w:val="22"/>
          <w:szCs w:val="22"/>
        </w:rPr>
        <w:t xml:space="preserve">ARTÍCULO 6°. FINES DEL MODELO. </w:t>
      </w:r>
      <w:r w:rsidRPr="006343DC">
        <w:rPr>
          <w:rFonts w:ascii="Verdana" w:eastAsia="Verdana" w:hAnsi="Verdana" w:cs="Verdana"/>
          <w:color w:val="000000" w:themeColor="text1"/>
          <w:sz w:val="22"/>
          <w:szCs w:val="22"/>
        </w:rPr>
        <w:t xml:space="preserve">Son fines del Modelo de Atención Integral al Pueblo </w:t>
      </w:r>
      <w:r w:rsidR="006A3F84">
        <w:rPr>
          <w:rFonts w:ascii="Verdana" w:eastAsia="Verdana" w:hAnsi="Verdana" w:cs="Verdana"/>
          <w:color w:val="000000" w:themeColor="text1"/>
          <w:sz w:val="22"/>
          <w:szCs w:val="22"/>
        </w:rPr>
        <w:t>Wayúu</w:t>
      </w:r>
      <w:r w:rsidRPr="006343DC">
        <w:rPr>
          <w:rFonts w:ascii="Verdana" w:eastAsia="Verdana" w:hAnsi="Verdana" w:cs="Verdana"/>
          <w:color w:val="000000" w:themeColor="text1"/>
          <w:sz w:val="22"/>
          <w:szCs w:val="22"/>
        </w:rPr>
        <w:t xml:space="preserve"> en sus Territorios Ancestrales en La Guajira</w:t>
      </w:r>
      <w:r w:rsidR="008C2D67" w:rsidRPr="006343DC">
        <w:rPr>
          <w:rFonts w:ascii="Verdana" w:eastAsia="Verdana" w:hAnsi="Verdana" w:cs="Verdana"/>
          <w:color w:val="000000" w:themeColor="text1"/>
          <w:sz w:val="22"/>
          <w:szCs w:val="22"/>
        </w:rPr>
        <w:t>:</w:t>
      </w:r>
    </w:p>
    <w:p w14:paraId="4F430C8A" w14:textId="2DF84BF6"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1.</w:t>
      </w:r>
      <w:r w:rsidRPr="006343DC">
        <w:rPr>
          <w:rFonts w:ascii="Verdana" w:eastAsia="Verdana" w:hAnsi="Verdana" w:cs="Verdana"/>
          <w:color w:val="000000" w:themeColor="text1"/>
        </w:rPr>
        <w:t xml:space="preserve"> Contribuir, en el marco de las competencias del Instituto Colombiano de Bienestar Familiar, a la superación del estado de cosas inconstitucional declarado mediante la </w:t>
      </w:r>
      <w:r w:rsidRPr="006343DC">
        <w:rPr>
          <w:rFonts w:ascii="Verdana" w:eastAsia="Verdana" w:hAnsi="Verdana" w:cs="Verdana"/>
          <w:color w:val="000000" w:themeColor="text1"/>
        </w:rPr>
        <w:lastRenderedPageBreak/>
        <w:t xml:space="preserve">Sentencia T-302 de 2017, a través de acciones orientadas a la garantía, protección y realización efectiva de los derechos de las niñas, niños, adolescentes, jóvenes, </w:t>
      </w:r>
      <w:r w:rsidR="00943DA2" w:rsidRPr="0051665A">
        <w:rPr>
          <w:rFonts w:ascii="Verdana" w:eastAsia="Verdana" w:hAnsi="Verdana" w:cs="Verdana"/>
          <w:color w:val="000000" w:themeColor="text1"/>
        </w:rPr>
        <w:t>mujeres que están en periodo de lactancia</w:t>
      </w:r>
      <w:r w:rsidR="00EB589C"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atendiendo sus particularidades sociales, culturales, familiares, comunitarias y territoriales.</w:t>
      </w:r>
    </w:p>
    <w:p w14:paraId="3035D1CE" w14:textId="2986DE62"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2.</w:t>
      </w:r>
      <w:r w:rsidRPr="006343DC">
        <w:rPr>
          <w:rFonts w:ascii="Verdana" w:eastAsia="Verdana" w:hAnsi="Verdana" w:cs="Verdana"/>
          <w:color w:val="000000" w:themeColor="text1"/>
        </w:rPr>
        <w:t xml:space="preserve"> Contribuir a generar condiciones para que las oportunidades de las niñas y niños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de construir autónomamente un proyecto de vida en condiciones de dignidad sean, por lo menos, equivalentes a aquellas de las que disfrutan, en promedio, las niñas y niños del resto del país, de conformidad con lo señalado por la Corte Constitucional en el marco de la Sentencia T-302 de 2017.</w:t>
      </w:r>
    </w:p>
    <w:p w14:paraId="1AD94AB8" w14:textId="0DA76B6A"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3.</w:t>
      </w:r>
      <w:r w:rsidRPr="006343DC">
        <w:rPr>
          <w:rFonts w:ascii="Verdana" w:eastAsia="Verdana" w:hAnsi="Verdana" w:cs="Verdana"/>
          <w:color w:val="000000" w:themeColor="text1"/>
        </w:rPr>
        <w:t xml:space="preserve"> Contribuir al cumplimiento del objetivo mínimo constitucional de mejorar la efectividad de los programas de atención alimentaria y aumentar la cobertura de los programas de seguridad alimentaria, mediante el desarrollo de acciones de atención integral con pertinencia cultural y territorial, en el marco de las competencias del Instituto Colombiano de Bienestar Familiar.</w:t>
      </w:r>
    </w:p>
    <w:p w14:paraId="575103DF" w14:textId="360E210E"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4.</w:t>
      </w:r>
      <w:r w:rsidRPr="006343DC">
        <w:rPr>
          <w:rFonts w:ascii="Verdana" w:eastAsia="Verdana" w:hAnsi="Verdana" w:cs="Verdana"/>
          <w:color w:val="000000" w:themeColor="text1"/>
        </w:rPr>
        <w:t xml:space="preserve"> Fortalecer el papel de las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el cuidado, protección y desarrollo integral de sus integrantes, reconociendo sus capacidades, saberes, prácticas y formas propias de organización y relacionamiento.</w:t>
      </w:r>
    </w:p>
    <w:p w14:paraId="79FD3C54" w14:textId="5716EC8D"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5.</w:t>
      </w:r>
      <w:r w:rsidRPr="006343DC">
        <w:rPr>
          <w:rFonts w:ascii="Verdana" w:eastAsia="Verdana" w:hAnsi="Verdana" w:cs="Verdana"/>
          <w:color w:val="000000" w:themeColor="text1"/>
        </w:rPr>
        <w:t xml:space="preserve"> Promover una atención integral con pertinencia cultural y territorial que reconozca y respete la identidad cultural, los saberes y prácticas propias, la relación con el territorio y las dinámicas familiares y comunitarias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en armonía con los principios de diálogo genuino, participación y construcción conjunta previstos en la presente Resolución.</w:t>
      </w:r>
    </w:p>
    <w:p w14:paraId="6D6F327C" w14:textId="666B49E0"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6.</w:t>
      </w:r>
      <w:r w:rsidRPr="006343DC">
        <w:rPr>
          <w:rFonts w:ascii="Verdana" w:eastAsia="Verdana" w:hAnsi="Verdana" w:cs="Verdana"/>
          <w:color w:val="000000" w:themeColor="text1"/>
        </w:rPr>
        <w:t xml:space="preserve"> Propender por el fortalecimiento progresivo y la mejora continua del Modelo, a partir de las realidades y necesidades de los territorios, los resultados de su implementación y seguimiento y los aportes de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con observancia de los principios de progresividad y no regresividad</w:t>
      </w:r>
      <w:r w:rsidR="00C606CB" w:rsidRPr="006343DC">
        <w:rPr>
          <w:rFonts w:ascii="Verdana" w:eastAsia="Verdana" w:hAnsi="Verdana" w:cs="Verdana"/>
          <w:color w:val="000000" w:themeColor="text1"/>
        </w:rPr>
        <w:t xml:space="preserve"> de los derechos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w:t>
      </w:r>
    </w:p>
    <w:p w14:paraId="39130F55" w14:textId="7670AE94" w:rsidR="000525E2" w:rsidRPr="006343DC" w:rsidRDefault="2D2814E0" w:rsidP="7583197F">
      <w:pPr>
        <w:spacing w:before="240" w:after="240"/>
        <w:jc w:val="both"/>
        <w:rPr>
          <w:rFonts w:ascii="Verdana" w:hAnsi="Verdana"/>
        </w:rPr>
      </w:pPr>
      <w:r w:rsidRPr="006343DC">
        <w:rPr>
          <w:rFonts w:ascii="Verdana" w:eastAsia="Verdana" w:hAnsi="Verdana" w:cs="Verdana"/>
          <w:b/>
          <w:bCs/>
          <w:color w:val="000000" w:themeColor="text1"/>
        </w:rPr>
        <w:t xml:space="preserve">ARTÍCULO 7°. RECONOCIMIENTO Y RESPETO DE LAS AUTORIDADES TRADICIONALES Y ANCESTRALES. </w:t>
      </w:r>
      <w:r w:rsidR="6C3C0C83" w:rsidRPr="006343DC">
        <w:rPr>
          <w:rFonts w:ascii="Verdana" w:eastAsia="Verdana" w:hAnsi="Verdana" w:cs="Verdana"/>
          <w:color w:val="000000" w:themeColor="text1"/>
        </w:rPr>
        <w:t xml:space="preserve">El desarrollo del Modelo reconocerá y respetará a las autoridades tradicionales y ancestrales del pueblo </w:t>
      </w:r>
      <w:r w:rsidR="006A3F84">
        <w:rPr>
          <w:rFonts w:ascii="Verdana" w:eastAsia="Verdana" w:hAnsi="Verdana" w:cs="Verdana"/>
          <w:color w:val="000000" w:themeColor="text1"/>
        </w:rPr>
        <w:t>Wayúu</w:t>
      </w:r>
      <w:r w:rsidR="6C3C0C83" w:rsidRPr="006343DC">
        <w:rPr>
          <w:rFonts w:ascii="Verdana" w:eastAsia="Verdana" w:hAnsi="Verdana" w:cs="Verdana"/>
          <w:color w:val="000000" w:themeColor="text1"/>
        </w:rPr>
        <w:t xml:space="preserve">, de acuerdo con sus formas propias de organización, representación y toma de decisiones. Este reconocimiento será transversal a las actuaciones que se adelanten durante el desarrollo de la atención, desde su planeación y alistamiento hasta la implementación, seguimiento, evaluación y cierre, de conformidad con la Guía Operativa y atendiendo </w:t>
      </w:r>
      <w:r w:rsidR="6C3C0C83" w:rsidRPr="006343DC">
        <w:rPr>
          <w:rFonts w:ascii="Verdana" w:eastAsia="Verdana" w:hAnsi="Verdana" w:cs="Verdana"/>
          <w:color w:val="000000" w:themeColor="text1"/>
        </w:rPr>
        <w:lastRenderedPageBreak/>
        <w:t xml:space="preserve">las particularidades sociales, culturales, comunitarias y territoriales del pueblo </w:t>
      </w:r>
      <w:r w:rsidR="006A3F84">
        <w:rPr>
          <w:rFonts w:ascii="Verdana" w:eastAsia="Verdana" w:hAnsi="Verdana" w:cs="Verdana"/>
          <w:color w:val="000000" w:themeColor="text1"/>
        </w:rPr>
        <w:t>Wayúu</w:t>
      </w:r>
      <w:r w:rsidR="6C3C0C83" w:rsidRPr="006343DC">
        <w:rPr>
          <w:rFonts w:ascii="Verdana" w:eastAsia="Verdana" w:hAnsi="Verdana" w:cs="Verdana"/>
          <w:color w:val="000000" w:themeColor="text1"/>
        </w:rPr>
        <w:t>.</w:t>
      </w:r>
    </w:p>
    <w:p w14:paraId="632F96A6" w14:textId="04CC691C" w:rsidR="000525E2" w:rsidRPr="006343DC" w:rsidRDefault="6C3C0C83" w:rsidP="7583197F">
      <w:pPr>
        <w:spacing w:before="240" w:after="240"/>
        <w:jc w:val="both"/>
        <w:rPr>
          <w:rFonts w:ascii="Verdana" w:hAnsi="Verdana"/>
        </w:rPr>
      </w:pPr>
      <w:r w:rsidRPr="006343DC">
        <w:rPr>
          <w:rFonts w:ascii="Verdana" w:eastAsia="Verdana" w:hAnsi="Verdana" w:cs="Verdana"/>
          <w:color w:val="000000" w:themeColor="text1"/>
        </w:rPr>
        <w:t>El Instituto Colombiano de Bienestar Familiar garantizará que el relacionamiento con las autoridades tradicionales y ancestrales durante el desarrollo del Modelo reconozca su participación y aporte en las decisiones relacionadas con la atención, de acuerdo con sus formas propias de organización y dentro del marco de las competencias institucionales y del ordenamiento jurídico aplicable.</w:t>
      </w:r>
    </w:p>
    <w:p w14:paraId="78627CE8" w14:textId="5BE65CA0" w:rsidR="000525E2" w:rsidRPr="006343DC" w:rsidRDefault="6C3C0C83" w:rsidP="7583197F">
      <w:pPr>
        <w:spacing w:before="240" w:after="240"/>
        <w:jc w:val="both"/>
        <w:rPr>
          <w:rFonts w:ascii="Verdana" w:hAnsi="Verdana"/>
        </w:rPr>
      </w:pPr>
      <w:r w:rsidRPr="006343DC">
        <w:rPr>
          <w:rFonts w:ascii="Verdana" w:eastAsia="Verdana" w:hAnsi="Verdana" w:cs="Verdana"/>
          <w:b/>
          <w:bCs/>
          <w:color w:val="000000" w:themeColor="text1"/>
        </w:rPr>
        <w:t>PARÁGRAFO.</w:t>
      </w:r>
      <w:r w:rsidRPr="006343DC">
        <w:rPr>
          <w:rFonts w:ascii="Verdana" w:eastAsia="Verdana" w:hAnsi="Verdana" w:cs="Verdana"/>
          <w:color w:val="000000" w:themeColor="text1"/>
        </w:rPr>
        <w:t xml:space="preserve"> En los ejercicios de verificación y constatación que se adelanten en territorio, particularmente aquellos relacionados con los procesos de zonificación territorial previstos para la implementación del Modelo, se garantizará la participación de las autoridades tradicionales y ancestrales en la definición y desarrollo de dichos ejercicios, reconociendo su conocimiento del territorio y respetando las dinámicas comunitarias y las formas propias de organización y representación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de conformidad con la Guía Operativa.</w:t>
      </w:r>
    </w:p>
    <w:p w14:paraId="46AA2CDB" w14:textId="4C9D792E" w:rsidR="000525E2" w:rsidRPr="006343DC" w:rsidRDefault="2D2814E0" w:rsidP="7583197F">
      <w:pPr>
        <w:spacing w:after="0"/>
        <w:jc w:val="both"/>
        <w:rPr>
          <w:rFonts w:ascii="Verdana" w:eastAsia="Verdana" w:hAnsi="Verdana" w:cs="Verdana"/>
          <w:color w:val="000000" w:themeColor="text1"/>
        </w:rPr>
      </w:pPr>
      <w:r w:rsidRPr="006343DC">
        <w:rPr>
          <w:rFonts w:ascii="Verdana" w:eastAsia="Verdana" w:hAnsi="Verdana" w:cs="Verdana"/>
          <w:b/>
          <w:bCs/>
          <w:color w:val="000000" w:themeColor="text1"/>
        </w:rPr>
        <w:t>ARTÍCULO 8°. IMPLEMENTACIÓN, SEGUIMIENTO Y FORTALECIMIENTO DE LA ATENCIÓN</w:t>
      </w:r>
      <w:r w:rsidR="6D63AE29" w:rsidRPr="006343DC">
        <w:rPr>
          <w:rFonts w:ascii="Verdana" w:eastAsia="Verdana" w:hAnsi="Verdana" w:cs="Verdana"/>
          <w:b/>
          <w:bCs/>
          <w:color w:val="000000" w:themeColor="text1"/>
        </w:rPr>
        <w:t xml:space="preserve">. </w:t>
      </w:r>
      <w:r w:rsidRPr="006343DC">
        <w:rPr>
          <w:rFonts w:ascii="Verdana" w:eastAsia="Verdana" w:hAnsi="Verdana" w:cs="Verdana"/>
          <w:color w:val="000000" w:themeColor="text1"/>
        </w:rPr>
        <w:t xml:space="preserve">La Subdirección General, las Direcciones Misionales, las Direcciones Regionales, los Centros Zonales y los prestadores del servicio público de bienestar familiar del Instituto Colombiano de Bienestar Familiar </w:t>
      </w:r>
      <w:r w:rsidR="004A5DC7">
        <w:rPr>
          <w:rFonts w:ascii="Verdana" w:eastAsia="Verdana" w:hAnsi="Verdana" w:cs="Verdana"/>
          <w:color w:val="000000" w:themeColor="text1"/>
        </w:rPr>
        <w:t>-</w:t>
      </w:r>
      <w:r w:rsidRPr="006343DC">
        <w:rPr>
          <w:rFonts w:ascii="Verdana" w:eastAsia="Verdana" w:hAnsi="Verdana" w:cs="Verdana"/>
          <w:color w:val="000000" w:themeColor="text1"/>
        </w:rPr>
        <w:t>ICBF</w:t>
      </w:r>
      <w:r w:rsidR="004A5DC7">
        <w:rPr>
          <w:rFonts w:ascii="Verdana" w:eastAsia="Verdana" w:hAnsi="Verdana" w:cs="Verdana"/>
          <w:color w:val="000000" w:themeColor="text1"/>
        </w:rPr>
        <w:t>-</w:t>
      </w:r>
      <w:r w:rsidRPr="006343DC">
        <w:rPr>
          <w:rFonts w:ascii="Verdana" w:eastAsia="Verdana" w:hAnsi="Verdana" w:cs="Verdana"/>
          <w:color w:val="000000" w:themeColor="text1"/>
        </w:rPr>
        <w:t>, en el marco de sus respectivas competencias y responsabilidades, adelantarán las acciones requeridas para la implementación, seguimiento y verificación de la Guía Operativa, de conformidad con los principios, criterios y disposiciones previstos en la presente Resolución.</w:t>
      </w:r>
    </w:p>
    <w:p w14:paraId="7A9A9B31" w14:textId="4B2B496E" w:rsidR="000525E2" w:rsidRPr="006343DC" w:rsidRDefault="000525E2" w:rsidP="7583197F">
      <w:pPr>
        <w:spacing w:after="0"/>
        <w:jc w:val="both"/>
        <w:rPr>
          <w:rFonts w:ascii="Verdana" w:eastAsia="Verdana" w:hAnsi="Verdana" w:cs="Verdana"/>
          <w:color w:val="000000" w:themeColor="text1"/>
        </w:rPr>
      </w:pPr>
    </w:p>
    <w:p w14:paraId="4F510908" w14:textId="503EA576" w:rsidR="000525E2" w:rsidRPr="006343DC" w:rsidRDefault="2D2814E0" w:rsidP="7583197F">
      <w:pPr>
        <w:spacing w:after="0"/>
        <w:jc w:val="both"/>
        <w:rPr>
          <w:rFonts w:ascii="Verdana" w:eastAsia="Verdana" w:hAnsi="Verdana" w:cs="Verdana"/>
          <w:color w:val="000000" w:themeColor="text1"/>
        </w:rPr>
      </w:pPr>
      <w:r w:rsidRPr="006343DC">
        <w:rPr>
          <w:rFonts w:ascii="Verdana" w:eastAsia="Verdana" w:hAnsi="Verdana" w:cs="Verdana"/>
          <w:color w:val="000000" w:themeColor="text1"/>
        </w:rPr>
        <w:t xml:space="preserve">Las actuaciones que se adelanten para la implementación del Modelo partirán del reconocimiento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como sujeto de derechos y atenderán sus particularidades sociales, culturales, familiares, comunitarias y territoriales, de manera que la atención responda a las realidades de los territorios y reconozca sus saberes, prácticas y formas propias de organización.</w:t>
      </w:r>
    </w:p>
    <w:p w14:paraId="4C805E8A" w14:textId="0733CB55" w:rsidR="000525E2" w:rsidRPr="006343DC" w:rsidRDefault="000525E2" w:rsidP="7583197F">
      <w:pPr>
        <w:spacing w:after="0"/>
        <w:jc w:val="both"/>
        <w:rPr>
          <w:rFonts w:ascii="Verdana" w:eastAsia="Verdana" w:hAnsi="Verdana" w:cs="Verdana"/>
          <w:color w:val="000000" w:themeColor="text1"/>
        </w:rPr>
      </w:pPr>
    </w:p>
    <w:p w14:paraId="6FC0533A" w14:textId="5D1BDC22" w:rsidR="000525E2" w:rsidRPr="006343DC" w:rsidRDefault="2D2814E0" w:rsidP="7583197F">
      <w:pPr>
        <w:spacing w:after="0"/>
        <w:jc w:val="both"/>
        <w:rPr>
          <w:rFonts w:ascii="Verdana" w:eastAsia="Verdana" w:hAnsi="Verdana" w:cs="Verdana"/>
          <w:color w:val="000000" w:themeColor="text1"/>
        </w:rPr>
      </w:pPr>
      <w:r w:rsidRPr="006343DC">
        <w:rPr>
          <w:rFonts w:ascii="Verdana" w:eastAsia="Verdana" w:hAnsi="Verdana" w:cs="Verdana"/>
          <w:color w:val="000000" w:themeColor="text1"/>
        </w:rPr>
        <w:t xml:space="preserve">Para fortalecer la implementación territorial del Modelo y facilitar el diálogo con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el Instituto Colombiano de Bienestar Familiar propenderá por contar con talento humano cualificado, con conocimiento de las dinámicas sociales, culturales, comunitarias y territoriales propias 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que favorezca la interlocución, orientación y comunicación durante el desarrollo de la atención y cumpla una función de enlace entre las comunidades y el Instituto, en armonía con los principios de diálogo genuino, </w:t>
      </w:r>
      <w:r w:rsidRPr="006343DC">
        <w:rPr>
          <w:rFonts w:ascii="Verdana" w:eastAsia="Verdana" w:hAnsi="Verdana" w:cs="Verdana"/>
          <w:color w:val="000000" w:themeColor="text1"/>
        </w:rPr>
        <w:lastRenderedPageBreak/>
        <w:t>participación y construcción conjunta previstos en la presente Resolución y en la Guía Operativa.</w:t>
      </w:r>
    </w:p>
    <w:p w14:paraId="347B861D" w14:textId="2E506200" w:rsidR="000525E2" w:rsidRPr="006343DC" w:rsidRDefault="000525E2" w:rsidP="7583197F">
      <w:pPr>
        <w:spacing w:after="0"/>
        <w:jc w:val="both"/>
        <w:rPr>
          <w:rFonts w:ascii="Verdana" w:eastAsia="Verdana" w:hAnsi="Verdana" w:cs="Verdana"/>
          <w:color w:val="000000" w:themeColor="text1"/>
        </w:rPr>
      </w:pPr>
    </w:p>
    <w:p w14:paraId="0717521E" w14:textId="10D8FF3D" w:rsidR="000525E2" w:rsidRPr="006343DC" w:rsidRDefault="2D2814E0" w:rsidP="7583197F">
      <w:pPr>
        <w:spacing w:after="0"/>
        <w:jc w:val="both"/>
        <w:rPr>
          <w:rFonts w:ascii="Verdana" w:eastAsia="Verdana" w:hAnsi="Verdana" w:cs="Verdana"/>
          <w:color w:val="000000" w:themeColor="text1"/>
        </w:rPr>
      </w:pPr>
      <w:r w:rsidRPr="006343DC">
        <w:rPr>
          <w:rFonts w:ascii="Verdana" w:eastAsia="Verdana" w:hAnsi="Verdana" w:cs="Verdana"/>
          <w:color w:val="000000" w:themeColor="text1"/>
        </w:rPr>
        <w:t xml:space="preserve">El seguimiento al Modelo promoverá la participación de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de manera que sus saberes, observaciones, propuestas y valoraciones sobre el desarrollo de la atención contribuyan a identificar avances, necesidades, dificultades y oportunidades de mejora, y constituyan insumos para su evaluación y fortalecimiento progresivo.</w:t>
      </w:r>
    </w:p>
    <w:p w14:paraId="14F588A8" w14:textId="50069ACE" w:rsidR="000525E2" w:rsidRPr="006343DC" w:rsidRDefault="000525E2" w:rsidP="7583197F">
      <w:pPr>
        <w:spacing w:after="0"/>
        <w:jc w:val="both"/>
        <w:rPr>
          <w:rFonts w:ascii="Verdana" w:eastAsia="Verdana" w:hAnsi="Verdana" w:cs="Verdana"/>
          <w:color w:val="000000" w:themeColor="text1"/>
        </w:rPr>
      </w:pPr>
    </w:p>
    <w:p w14:paraId="19F362F3" w14:textId="02113509" w:rsidR="000525E2" w:rsidRPr="006343DC" w:rsidRDefault="2D2814E0" w:rsidP="7583197F">
      <w:pPr>
        <w:spacing w:after="0"/>
        <w:jc w:val="both"/>
        <w:rPr>
          <w:rFonts w:ascii="Verdana" w:eastAsia="Verdana" w:hAnsi="Verdana" w:cs="Verdana"/>
          <w:color w:val="000000" w:themeColor="text1"/>
        </w:rPr>
      </w:pPr>
      <w:r w:rsidRPr="006343DC">
        <w:rPr>
          <w:rFonts w:ascii="Verdana" w:eastAsia="Verdana" w:hAnsi="Verdana" w:cs="Verdana"/>
          <w:color w:val="000000" w:themeColor="text1"/>
        </w:rPr>
        <w:t>Los resultados del seguimiento, junto con los aportes derivados de los procesos de diálogo y participación, orientarán las acciones de mejora y fortalecimiento del Modelo que resulten procedentes, dentro de las competencias del Instituto Colombiano de Bienestar Familiar y de conformidad con la Guía Operativa.</w:t>
      </w:r>
    </w:p>
    <w:p w14:paraId="45824A62" w14:textId="6FC47670"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9°. TRANSPARENCIA, INFORMACIÓN Y BUENAS PRÁCTICAS.</w:t>
      </w:r>
      <w:r w:rsidRPr="006343DC">
        <w:rPr>
          <w:rFonts w:ascii="Verdana" w:eastAsia="Verdana" w:hAnsi="Verdana" w:cs="Verdana"/>
          <w:color w:val="000000" w:themeColor="text1"/>
        </w:rPr>
        <w:t xml:space="preserve"> Las actuaciones que se adelanten en desarrollo del Modelo observarán criterios de transparencia, acceso a la información y buenas prácticas, favoreciendo que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accedan a información clara, suficiente, comprensible, oportuna y pertinente sobre el desarrollo de la atención.</w:t>
      </w:r>
    </w:p>
    <w:p w14:paraId="6C093298" w14:textId="34D90421"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El </w:t>
      </w:r>
      <w:r w:rsidR="004A5DC7">
        <w:rPr>
          <w:rFonts w:ascii="Verdana" w:eastAsia="Verdana" w:hAnsi="Verdana" w:cs="Verdana"/>
          <w:color w:val="000000" w:themeColor="text1"/>
        </w:rPr>
        <w:t xml:space="preserve">ICBF </w:t>
      </w:r>
      <w:r w:rsidRPr="006343DC">
        <w:rPr>
          <w:rFonts w:ascii="Verdana" w:eastAsia="Verdana" w:hAnsi="Verdana" w:cs="Verdana"/>
          <w:color w:val="000000" w:themeColor="text1"/>
        </w:rPr>
        <w:t xml:space="preserve">promoverá mecanismos de información, seguimiento y rendición de cuentas que faciliten el conocimiento y comprensión de las actuaciones desarrolladas en el marco del Modelo y favorezcan la participación y el control social de las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atendiendo sus particularidades culturales, territoriales y comunicativas.</w:t>
      </w:r>
    </w:p>
    <w:p w14:paraId="6764373A" w14:textId="26FCC83B"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Para tal efecto, se observarán las medidas, protocolos y demás instrumentos aplicables en materia de transparencia y buenas prácticas adoptados en el marco del cumplimiento de la Sentencia T-302 de 2017 y de las providencias proferidas durante su seguimiento, sin perjuicio de las demás disposiciones que regulen la materia.</w:t>
      </w:r>
    </w:p>
    <w:p w14:paraId="780CAD28" w14:textId="233B9B4B"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10°. TRANSICIÓN PARA LA IMPLEMENTACIÓN DE LA GUÍA OPERATIVA.</w:t>
      </w:r>
      <w:r w:rsidRPr="006343DC">
        <w:rPr>
          <w:rFonts w:ascii="Verdana" w:eastAsia="Verdana" w:hAnsi="Verdana" w:cs="Verdana"/>
          <w:color w:val="000000" w:themeColor="text1"/>
        </w:rPr>
        <w:t xml:space="preserve"> Establézcase un período de transición</w:t>
      </w:r>
      <w:r w:rsidR="00EB4B0D" w:rsidRPr="006343DC">
        <w:rPr>
          <w:rFonts w:ascii="Verdana" w:eastAsia="Verdana" w:hAnsi="Verdana" w:cs="Verdana"/>
          <w:color w:val="000000" w:themeColor="text1"/>
        </w:rPr>
        <w:t>, desde la fecha de expedición de la presente Resolución y</w:t>
      </w:r>
      <w:r w:rsidRPr="006343DC">
        <w:rPr>
          <w:rFonts w:ascii="Verdana" w:eastAsia="Verdana" w:hAnsi="Verdana" w:cs="Verdana"/>
          <w:color w:val="000000" w:themeColor="text1"/>
        </w:rPr>
        <w:t xml:space="preserve"> hasta el 31 de diciembre de 2026 para la implementación de la Guía Operativa adoptada mediante </w:t>
      </w:r>
      <w:r w:rsidR="00EB4B0D" w:rsidRPr="006343DC">
        <w:rPr>
          <w:rFonts w:ascii="Verdana" w:eastAsia="Verdana" w:hAnsi="Verdana" w:cs="Verdana"/>
          <w:color w:val="000000" w:themeColor="text1"/>
        </w:rPr>
        <w:t xml:space="preserve">el </w:t>
      </w:r>
      <w:r w:rsidRPr="006343DC">
        <w:rPr>
          <w:rFonts w:ascii="Verdana" w:eastAsia="Verdana" w:hAnsi="Verdana" w:cs="Verdana"/>
          <w:color w:val="000000" w:themeColor="text1"/>
        </w:rPr>
        <w:t xml:space="preserve">presente </w:t>
      </w:r>
      <w:r w:rsidR="00EB4B0D" w:rsidRPr="006343DC">
        <w:rPr>
          <w:rFonts w:ascii="Verdana" w:eastAsia="Verdana" w:hAnsi="Verdana" w:cs="Verdana"/>
          <w:color w:val="000000" w:themeColor="text1"/>
        </w:rPr>
        <w:t>acto administrativo</w:t>
      </w:r>
      <w:r w:rsidRPr="006343DC">
        <w:rPr>
          <w:rFonts w:ascii="Verdana" w:eastAsia="Verdana" w:hAnsi="Verdana" w:cs="Verdana"/>
          <w:color w:val="000000" w:themeColor="text1"/>
        </w:rPr>
        <w:t>, con el propósito de garantizar la continuidad de la atención y adelantar las acciones necesarias para su aplicación.</w:t>
      </w:r>
    </w:p>
    <w:p w14:paraId="7A9CC58D" w14:textId="04802D2D"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Durante este período, las acciones, servicios y estrategias dirigidas a las niñas, niños, adolescentes, jóvenes, </w:t>
      </w:r>
      <w:commentRangeStart w:id="13"/>
      <w:r w:rsidR="00EB589C" w:rsidRPr="006343DC">
        <w:rPr>
          <w:rFonts w:ascii="Verdana" w:eastAsia="Verdana" w:hAnsi="Verdana" w:cs="Verdana"/>
          <w:color w:val="000000" w:themeColor="text1"/>
        </w:rPr>
        <w:t xml:space="preserve">mujeres gestantes </w:t>
      </w:r>
      <w:commentRangeEnd w:id="13"/>
      <w:r w:rsidR="004A5DC7" w:rsidRPr="006343DC">
        <w:rPr>
          <w:rStyle w:val="Refdecomentario"/>
          <w:rFonts w:ascii="Verdana" w:eastAsia="Verdana" w:hAnsi="Verdana" w:cs="Verdana"/>
          <w:color w:val="000000" w:themeColor="text1"/>
          <w:sz w:val="22"/>
          <w:szCs w:val="22"/>
        </w:rPr>
        <w:commentReference w:id="13"/>
      </w:r>
      <w:r w:rsidR="00EB589C" w:rsidRPr="006343DC">
        <w:rPr>
          <w:rFonts w:ascii="Verdana" w:eastAsia="Verdana" w:hAnsi="Verdana" w:cs="Verdana"/>
          <w:color w:val="000000" w:themeColor="text1"/>
        </w:rPr>
        <w:t xml:space="preserve">y que se encuentren en periodo de </w:t>
      </w:r>
      <w:r w:rsidR="00EB589C" w:rsidRPr="006343DC">
        <w:rPr>
          <w:rFonts w:ascii="Verdana" w:eastAsia="Verdana" w:hAnsi="Verdana" w:cs="Verdana"/>
          <w:color w:val="000000" w:themeColor="text1"/>
        </w:rPr>
        <w:lastRenderedPageBreak/>
        <w:t xml:space="preserve">lactancia </w:t>
      </w:r>
      <w:r w:rsidRPr="006343DC">
        <w:rPr>
          <w:rFonts w:ascii="Verdana" w:eastAsia="Verdana" w:hAnsi="Verdana" w:cs="Verdana"/>
          <w:color w:val="000000" w:themeColor="text1"/>
        </w:rPr>
        <w:t xml:space="preserve">del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así como a sus familias y comunidades, continuarán desarrollándose conforme a las definiciones técnicas y operativas y a las condiciones bajo las cuales fueron estructuradas y se encuentran en ejecución, y se regirán hasta el 31 de diciembre de 2026 por la Resolución No. 2008 del 13 de mayo de 2025 y la Guía Operativa aprobada mediante dicho acto administrativo.</w:t>
      </w:r>
    </w:p>
    <w:p w14:paraId="67A28067" w14:textId="0E552F8E"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Durante la transición, el </w:t>
      </w:r>
      <w:r w:rsidR="004A5DC7">
        <w:rPr>
          <w:rFonts w:ascii="Verdana" w:eastAsia="Verdana" w:hAnsi="Verdana" w:cs="Verdana"/>
          <w:color w:val="000000" w:themeColor="text1"/>
        </w:rPr>
        <w:t xml:space="preserve">ICBF </w:t>
      </w:r>
      <w:r w:rsidRPr="006343DC">
        <w:rPr>
          <w:rFonts w:ascii="Verdana" w:eastAsia="Verdana" w:hAnsi="Verdana" w:cs="Verdana"/>
          <w:color w:val="000000" w:themeColor="text1"/>
        </w:rPr>
        <w:t xml:space="preserve">las acciones de socialización, preparación, articulación y alistamiento necesarias para la implementación de la nueva Guía Operativa, en armonía con los principios y criterios establecidos en la presente Resolución y con participación de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en los asuntos que correspondan.</w:t>
      </w:r>
    </w:p>
    <w:p w14:paraId="611B7962" w14:textId="750E1840"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A partir del 1° de enero de 2027, las acciones de atención que se desarrollen en el marco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se regirán por la Guía Operativa adoptada mediante la presente Resolución y por los demás instrumentos institucionales que resulten aplicables.</w:t>
      </w:r>
    </w:p>
    <w:p w14:paraId="3394C056" w14:textId="38C53BE6"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11°. ACTUALIZACIÓN Y FORTALECIMIENTO PROGRESIVO DEL MODELO.</w:t>
      </w:r>
      <w:r w:rsidRPr="006343DC">
        <w:rPr>
          <w:rFonts w:ascii="Verdana" w:eastAsia="Verdana" w:hAnsi="Verdana" w:cs="Verdana"/>
          <w:color w:val="000000" w:themeColor="text1"/>
        </w:rPr>
        <w:t xml:space="preserve"> La Guía Operativa </w:t>
      </w:r>
      <w:r w:rsidR="00EB4B0D" w:rsidRPr="006343DC">
        <w:rPr>
          <w:rFonts w:ascii="Verdana" w:eastAsia="Verdana" w:hAnsi="Verdana" w:cs="Verdana"/>
          <w:color w:val="000000" w:themeColor="text1"/>
        </w:rPr>
        <w:t xml:space="preserve">adoptada en el artículo 1 de esta resolución </w:t>
      </w:r>
      <w:r w:rsidRPr="006343DC">
        <w:rPr>
          <w:rFonts w:ascii="Verdana" w:eastAsia="Verdana" w:hAnsi="Verdana" w:cs="Verdana"/>
          <w:color w:val="000000" w:themeColor="text1"/>
        </w:rPr>
        <w:t xml:space="preserve">podrá ser objeto de ajustes y actualizaciones orientados a su mejoramiento y al fortalecimiento progresivo del Modelo, en observancia de los principios de progresividad y </w:t>
      </w:r>
      <w:r w:rsidR="00D02DE2" w:rsidRPr="006343DC">
        <w:rPr>
          <w:rFonts w:ascii="Verdana" w:eastAsia="Verdana" w:hAnsi="Verdana" w:cs="Verdana"/>
          <w:color w:val="000000" w:themeColor="text1"/>
        </w:rPr>
        <w:t>no regresividades</w:t>
      </w:r>
      <w:r w:rsidR="00C606CB" w:rsidRPr="006343DC">
        <w:rPr>
          <w:rFonts w:ascii="Verdana" w:eastAsia="Verdana" w:hAnsi="Verdana" w:cs="Verdana"/>
          <w:color w:val="000000" w:themeColor="text1"/>
        </w:rPr>
        <w:t xml:space="preserve"> de los derechos del Pueblo </w:t>
      </w:r>
      <w:r w:rsidR="006A3F84">
        <w:rPr>
          <w:rFonts w:ascii="Verdana" w:eastAsia="Verdana" w:hAnsi="Verdana" w:cs="Verdana"/>
          <w:color w:val="000000" w:themeColor="text1"/>
        </w:rPr>
        <w:t>Wayúu</w:t>
      </w:r>
      <w:r w:rsidR="00C606CB" w:rsidRPr="006343DC">
        <w:rPr>
          <w:rFonts w:ascii="Verdana" w:eastAsia="Verdana" w:hAnsi="Verdana" w:cs="Verdana"/>
          <w:color w:val="000000" w:themeColor="text1"/>
        </w:rPr>
        <w:t>,</w:t>
      </w:r>
      <w:r w:rsidR="00D02DE2" w:rsidRPr="006343DC">
        <w:rPr>
          <w:rFonts w:ascii="Verdana" w:eastAsia="Verdana" w:hAnsi="Verdana" w:cs="Verdana"/>
          <w:color w:val="000000" w:themeColor="text1"/>
        </w:rPr>
        <w:t xml:space="preserve"> aplicables</w:t>
      </w:r>
      <w:r w:rsidRPr="006343DC">
        <w:rPr>
          <w:rFonts w:ascii="Verdana" w:eastAsia="Verdana" w:hAnsi="Verdana" w:cs="Verdana"/>
          <w:color w:val="000000" w:themeColor="text1"/>
        </w:rPr>
        <w:t xml:space="preserve"> a la garantía de los derechos protegidos en el marco de la Sentencia T-302 de 2017.</w:t>
      </w:r>
    </w:p>
    <w:p w14:paraId="79F2C668" w14:textId="0197A8B8"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 xml:space="preserve">Para tal efecto, los resultados de su implementación y seguimiento, las dinámicas y particularidades territoriales, los aportes derivados de los procesos de diálogo y participación con las autoridades tradicionales y ancestrales, familias y comunidades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así como los desarrollos que correspondan en el marco de la formulación e implementación del Plan Estructural de Acción, podrán dar lugar a la identificación y formulación de los ajustes que resulten procedentes.</w:t>
      </w:r>
    </w:p>
    <w:p w14:paraId="4B0E556F" w14:textId="2DE96664"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Los ajustes de carácter técnico, operativo, metodológico, documental o de forma que no alteren el objeto, alcance, población destinataria, ámbito territorial o componentes esenciales de la Guía Operativa podrán efectuarse conforme a los procedimientos internos establecidos por el Instituto Colombiano de Bienestar Familiar.</w:t>
      </w:r>
    </w:p>
    <w:p w14:paraId="0AA4A548" w14:textId="5A097B71"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color w:val="000000" w:themeColor="text1"/>
        </w:rPr>
        <w:t>Las modificaciones sustanciales que recaigan sobre dichos elementos requerirán la expedición del correspondiente acto administrativo y deberán observar los principios y criterios establecidos en la presente Resolución, así como las disposiciones constitucionales, legales y jurisprudenciales aplicables.</w:t>
      </w:r>
    </w:p>
    <w:p w14:paraId="771817C9" w14:textId="32305D3B"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lastRenderedPageBreak/>
        <w:t>ARTÍCULO 12°. COMUNICACIÓN.</w:t>
      </w:r>
      <w:r w:rsidRPr="006343DC">
        <w:rPr>
          <w:rFonts w:ascii="Verdana" w:eastAsia="Verdana" w:hAnsi="Verdana" w:cs="Verdana"/>
          <w:color w:val="000000" w:themeColor="text1"/>
        </w:rPr>
        <w:t xml:space="preserve"> A través de la Subdirección General, </w:t>
      </w:r>
      <w:r w:rsidR="00B11004" w:rsidRPr="006343DC">
        <w:rPr>
          <w:rFonts w:ascii="Verdana" w:eastAsia="Verdana" w:hAnsi="Verdana" w:cs="Verdana"/>
          <w:b/>
          <w:bCs/>
          <w:color w:val="000000" w:themeColor="text1"/>
        </w:rPr>
        <w:t>COMUNÍQUESE</w:t>
      </w:r>
      <w:r w:rsidR="00B11004"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 xml:space="preserve">la presente Resolución a las dependencias del Instituto Colombiano de Bienestar Familiar y a los prestadores del servicio público de bienestar familiar que, en el marco de sus respectivas competencias y responsabilidades, intervengan en la implementación, seguimiento y fortalecimiento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w:t>
      </w:r>
    </w:p>
    <w:p w14:paraId="4F261977" w14:textId="047577BB"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13°. PUBLICACIÓN EN LA PÁGINA WEB INSTITUCIONAL.</w:t>
      </w:r>
      <w:r w:rsidRPr="006343DC">
        <w:rPr>
          <w:rFonts w:ascii="Verdana" w:eastAsia="Verdana" w:hAnsi="Verdana" w:cs="Verdana"/>
          <w:color w:val="000000" w:themeColor="text1"/>
        </w:rPr>
        <w:t xml:space="preserve"> A través de la Subdirección de Mejoramiento Organizacional, publíquense la presente Resolución y la Guía Operativa del Modelo de Atención Integral al Pueblo </w:t>
      </w:r>
      <w:r w:rsidR="006A3F84">
        <w:rPr>
          <w:rFonts w:ascii="Verdana" w:eastAsia="Verdana" w:hAnsi="Verdana" w:cs="Verdana"/>
          <w:color w:val="000000" w:themeColor="text1"/>
        </w:rPr>
        <w:t>Wayúu</w:t>
      </w:r>
      <w:r w:rsidRPr="006343DC">
        <w:rPr>
          <w:rFonts w:ascii="Verdana" w:eastAsia="Verdana" w:hAnsi="Verdana" w:cs="Verdana"/>
          <w:color w:val="000000" w:themeColor="text1"/>
        </w:rPr>
        <w:t xml:space="preserve"> en sus Territorios Ancestrales en La Guajira en la página web del Instituto Colombiano de Bienestar Familiar para su consulta y acceso público.</w:t>
      </w:r>
    </w:p>
    <w:p w14:paraId="1B3294C5" w14:textId="0CDA728C"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14°. PUBLICACIÓN EN EL DIARIO OFICIAL.</w:t>
      </w:r>
      <w:r w:rsidRPr="006343DC">
        <w:rPr>
          <w:rFonts w:ascii="Verdana" w:eastAsia="Verdana" w:hAnsi="Verdana" w:cs="Verdana"/>
          <w:color w:val="000000" w:themeColor="text1"/>
        </w:rPr>
        <w:t xml:space="preserve"> A través de la Oficina Asesora de Comunicaciones, publíquese la presente Resolución en el Diario Oficial, de conformidad con lo dispuesto en el artículo 65 de la Ley 1437 de 2011.</w:t>
      </w:r>
    </w:p>
    <w:p w14:paraId="003FBD63" w14:textId="219CA14C" w:rsidR="000525E2" w:rsidRPr="006343DC" w:rsidRDefault="2D2814E0" w:rsidP="7583197F">
      <w:pPr>
        <w:spacing w:before="240" w:after="240"/>
        <w:jc w:val="both"/>
        <w:rPr>
          <w:rFonts w:ascii="Verdana" w:eastAsia="Verdana" w:hAnsi="Verdana" w:cs="Verdana"/>
          <w:color w:val="000000" w:themeColor="text1"/>
        </w:rPr>
      </w:pPr>
      <w:r w:rsidRPr="006343DC">
        <w:rPr>
          <w:rFonts w:ascii="Verdana" w:eastAsia="Verdana" w:hAnsi="Verdana" w:cs="Verdana"/>
          <w:b/>
          <w:bCs/>
          <w:color w:val="000000" w:themeColor="text1"/>
        </w:rPr>
        <w:t>ARTÍCULO 15°. VIGENCIA Y DEROGATORIA.</w:t>
      </w:r>
      <w:r w:rsidRPr="006343DC">
        <w:rPr>
          <w:rFonts w:ascii="Verdana" w:eastAsia="Verdana" w:hAnsi="Verdana" w:cs="Verdana"/>
          <w:color w:val="000000" w:themeColor="text1"/>
        </w:rPr>
        <w:t xml:space="preserve"> </w:t>
      </w:r>
      <w:r w:rsidR="00FD3036" w:rsidRPr="006343DC">
        <w:rPr>
          <w:rFonts w:ascii="Verdana" w:eastAsia="Verdana" w:hAnsi="Verdana" w:cs="Verdana"/>
          <w:color w:val="000000" w:themeColor="text1"/>
        </w:rPr>
        <w:t>S</w:t>
      </w:r>
      <w:r w:rsidRPr="006343DC">
        <w:rPr>
          <w:rFonts w:ascii="Verdana" w:eastAsia="Verdana" w:hAnsi="Verdana" w:cs="Verdana"/>
          <w:color w:val="000000" w:themeColor="text1"/>
        </w:rPr>
        <w:t xml:space="preserve">in perjuicio del período de transición previsto en el artículo </w:t>
      </w:r>
      <w:r w:rsidR="00FD3036" w:rsidRPr="006343DC">
        <w:rPr>
          <w:rFonts w:ascii="Verdana" w:eastAsia="Verdana" w:hAnsi="Verdana" w:cs="Verdana"/>
          <w:color w:val="000000" w:themeColor="text1"/>
        </w:rPr>
        <w:t>10</w:t>
      </w:r>
      <w:r w:rsidRPr="006343DC">
        <w:rPr>
          <w:rFonts w:ascii="Verdana" w:eastAsia="Verdana" w:hAnsi="Verdana" w:cs="Verdana"/>
          <w:color w:val="000000" w:themeColor="text1"/>
        </w:rPr>
        <w:t>° y de la aplicación de la Guía Operativa adoptada</w:t>
      </w:r>
      <w:r w:rsidR="00143A8A" w:rsidRPr="006343DC">
        <w:rPr>
          <w:rFonts w:ascii="Verdana" w:eastAsia="Verdana" w:hAnsi="Verdana" w:cs="Verdana"/>
          <w:color w:val="000000" w:themeColor="text1"/>
        </w:rPr>
        <w:t>, l</w:t>
      </w:r>
      <w:r w:rsidR="00FD3036" w:rsidRPr="006343DC">
        <w:rPr>
          <w:rFonts w:ascii="Verdana" w:eastAsia="Verdana" w:hAnsi="Verdana" w:cs="Verdana"/>
          <w:color w:val="000000" w:themeColor="text1"/>
        </w:rPr>
        <w:t>a presente Resolución rige a partir de la fecha de su publicación en el Diario Oficial</w:t>
      </w:r>
      <w:r w:rsidR="00E638D0" w:rsidRPr="006343DC">
        <w:rPr>
          <w:rFonts w:ascii="Verdana" w:eastAsia="Verdana" w:hAnsi="Verdana" w:cs="Verdana"/>
          <w:color w:val="000000" w:themeColor="text1"/>
        </w:rPr>
        <w:t>; en consecuencia, l</w:t>
      </w:r>
      <w:r w:rsidRPr="006343DC">
        <w:rPr>
          <w:rFonts w:ascii="Verdana" w:eastAsia="Verdana" w:hAnsi="Verdana" w:cs="Verdana"/>
          <w:color w:val="000000" w:themeColor="text1"/>
        </w:rPr>
        <w:t>a Resolución No. 2008 del 13 de mayo de 2025 continuará produciendo efectos hasta el 31 de diciembre de 2026</w:t>
      </w:r>
      <w:r w:rsidR="0063528D" w:rsidRPr="006343DC">
        <w:rPr>
          <w:rFonts w:ascii="Verdana" w:eastAsia="Verdana" w:hAnsi="Verdana" w:cs="Verdana"/>
          <w:color w:val="000000" w:themeColor="text1"/>
        </w:rPr>
        <w:t xml:space="preserve">, </w:t>
      </w:r>
      <w:r w:rsidR="000E49E4" w:rsidRPr="006343DC">
        <w:rPr>
          <w:rFonts w:ascii="Verdana" w:eastAsia="Verdana" w:hAnsi="Verdana" w:cs="Verdana"/>
          <w:color w:val="000000" w:themeColor="text1"/>
        </w:rPr>
        <w:t>fecha a partir de la cual</w:t>
      </w:r>
      <w:r w:rsidR="00D36375" w:rsidRPr="006343DC">
        <w:rPr>
          <w:rFonts w:ascii="Verdana" w:eastAsia="Verdana" w:hAnsi="Verdana" w:cs="Verdana"/>
          <w:color w:val="000000" w:themeColor="text1"/>
        </w:rPr>
        <w:t xml:space="preserve"> </w:t>
      </w:r>
      <w:r w:rsidR="00E638D0" w:rsidRPr="006343DC">
        <w:rPr>
          <w:rFonts w:ascii="Verdana" w:eastAsia="Verdana" w:hAnsi="Verdana" w:cs="Verdana"/>
          <w:color w:val="000000" w:themeColor="text1"/>
        </w:rPr>
        <w:t>quedará</w:t>
      </w:r>
      <w:r w:rsidR="00147BDD" w:rsidRPr="006343DC">
        <w:rPr>
          <w:rFonts w:ascii="Verdana" w:eastAsia="Verdana" w:hAnsi="Verdana" w:cs="Verdana"/>
          <w:color w:val="000000" w:themeColor="text1"/>
        </w:rPr>
        <w:t xml:space="preserve"> </w:t>
      </w:r>
      <w:r w:rsidRPr="006343DC">
        <w:rPr>
          <w:rFonts w:ascii="Verdana" w:eastAsia="Verdana" w:hAnsi="Verdana" w:cs="Verdana"/>
          <w:color w:val="000000" w:themeColor="text1"/>
        </w:rPr>
        <w:t>derogada</w:t>
      </w:r>
      <w:r w:rsidR="00E638D0" w:rsidRPr="006343DC">
        <w:rPr>
          <w:rFonts w:ascii="Verdana" w:eastAsia="Verdana" w:hAnsi="Verdana" w:cs="Verdana"/>
          <w:color w:val="000000" w:themeColor="text1"/>
        </w:rPr>
        <w:t>.</w:t>
      </w:r>
    </w:p>
    <w:p w14:paraId="3E6ABF36" w14:textId="2CFE23AF" w:rsidR="000525E2" w:rsidRDefault="6064D3A9" w:rsidP="000A1363">
      <w:pPr>
        <w:spacing w:after="0"/>
        <w:jc w:val="center"/>
        <w:rPr>
          <w:rFonts w:ascii="Verdana" w:eastAsia="Verdana" w:hAnsi="Verdana" w:cs="Verdana"/>
          <w:b/>
          <w:bCs/>
          <w:color w:val="000000" w:themeColor="text1"/>
        </w:rPr>
      </w:pPr>
      <w:r w:rsidRPr="006343DC">
        <w:rPr>
          <w:rFonts w:ascii="Verdana" w:eastAsia="Verdana" w:hAnsi="Verdana" w:cs="Verdana"/>
          <w:color w:val="000000" w:themeColor="text1"/>
        </w:rPr>
        <w:t xml:space="preserve"> </w:t>
      </w:r>
      <w:r w:rsidRPr="006343DC">
        <w:rPr>
          <w:rFonts w:ascii="Verdana" w:eastAsia="Verdana" w:hAnsi="Verdana" w:cs="Verdana"/>
          <w:b/>
          <w:bCs/>
          <w:color w:val="000000" w:themeColor="text1"/>
          <w:lang w:val="es"/>
        </w:rPr>
        <w:t xml:space="preserve">PUBLÍQUESE, </w:t>
      </w:r>
      <w:r w:rsidRPr="006343DC">
        <w:rPr>
          <w:rFonts w:ascii="Verdana" w:eastAsia="Verdana" w:hAnsi="Verdana" w:cs="Verdana"/>
          <w:b/>
          <w:bCs/>
          <w:color w:val="000000" w:themeColor="text1"/>
        </w:rPr>
        <w:t>COMUNÍQUESE Y CÚMPLASE</w:t>
      </w:r>
    </w:p>
    <w:p w14:paraId="136383EB" w14:textId="77777777" w:rsidR="007F68C1" w:rsidRPr="006343DC" w:rsidRDefault="007F68C1" w:rsidP="000A1363">
      <w:pPr>
        <w:spacing w:after="0"/>
        <w:jc w:val="center"/>
        <w:rPr>
          <w:rFonts w:ascii="Verdana" w:eastAsia="Verdana" w:hAnsi="Verdana" w:cs="Verdana"/>
          <w:b/>
          <w:bCs/>
          <w:color w:val="000000" w:themeColor="text1"/>
        </w:rPr>
      </w:pPr>
    </w:p>
    <w:p w14:paraId="2AE1C5AF" w14:textId="3E6F3A51" w:rsidR="000525E2" w:rsidRPr="006343DC" w:rsidRDefault="6064D3A9" w:rsidP="00F901AD">
      <w:pPr>
        <w:spacing w:after="0"/>
        <w:jc w:val="center"/>
        <w:rPr>
          <w:rFonts w:ascii="Verdana" w:eastAsia="Verdana" w:hAnsi="Verdana" w:cs="Verdana"/>
          <w:color w:val="000000" w:themeColor="text1"/>
        </w:rPr>
      </w:pPr>
      <w:r w:rsidRPr="006343DC">
        <w:rPr>
          <w:rFonts w:ascii="Verdana" w:eastAsia="Verdana" w:hAnsi="Verdana" w:cs="Verdana"/>
          <w:color w:val="000000" w:themeColor="text1"/>
        </w:rPr>
        <w:t>Dada en la ciudad de Bogotá D.C., a los</w:t>
      </w:r>
      <w:r w:rsidR="007F68C1">
        <w:rPr>
          <w:rFonts w:ascii="Verdana" w:eastAsia="Verdana" w:hAnsi="Verdana" w:cs="Verdana"/>
          <w:color w:val="000000" w:themeColor="text1"/>
        </w:rPr>
        <w:t xml:space="preserve"> 5 días del mes de agosto de 2026</w:t>
      </w:r>
    </w:p>
    <w:p w14:paraId="7852D733" w14:textId="64982A40" w:rsidR="000525E2" w:rsidRPr="006343DC" w:rsidRDefault="6064D3A9" w:rsidP="000A1363">
      <w:pPr>
        <w:spacing w:after="0"/>
        <w:jc w:val="center"/>
        <w:rPr>
          <w:rFonts w:ascii="Verdana" w:hAnsi="Verdana"/>
        </w:rPr>
      </w:pPr>
      <w:r w:rsidRPr="006343DC">
        <w:rPr>
          <w:rFonts w:ascii="Verdana" w:eastAsia="Verdana" w:hAnsi="Verdana" w:cs="Verdana"/>
          <w:color w:val="000000" w:themeColor="text1"/>
        </w:rPr>
        <w:t xml:space="preserve"> </w:t>
      </w:r>
    </w:p>
    <w:p w14:paraId="12D0F322" w14:textId="0E177F41" w:rsidR="000525E2" w:rsidRPr="006343DC" w:rsidRDefault="6064D3A9" w:rsidP="00AE32C9">
      <w:pPr>
        <w:jc w:val="center"/>
        <w:rPr>
          <w:rFonts w:ascii="Verdana" w:eastAsia="Verdana" w:hAnsi="Verdana" w:cs="Verdana"/>
          <w:color w:val="000000" w:themeColor="text1"/>
        </w:rPr>
      </w:pPr>
      <w:r w:rsidRPr="006343DC">
        <w:rPr>
          <w:rFonts w:ascii="Verdana" w:eastAsia="Verdana" w:hAnsi="Verdana" w:cs="Verdana"/>
          <w:color w:val="000000" w:themeColor="text1"/>
        </w:rPr>
        <w:t xml:space="preserve"> </w:t>
      </w:r>
    </w:p>
    <w:p w14:paraId="363C3514" w14:textId="290B31EF" w:rsidR="000525E2" w:rsidRPr="006343DC" w:rsidRDefault="6064D3A9" w:rsidP="00976B35">
      <w:pPr>
        <w:spacing w:after="0" w:line="240" w:lineRule="auto"/>
        <w:jc w:val="center"/>
        <w:rPr>
          <w:rFonts w:ascii="Verdana" w:eastAsia="Verdana" w:hAnsi="Verdana" w:cs="Verdana"/>
          <w:b/>
          <w:bCs/>
          <w:color w:val="000000" w:themeColor="text1"/>
        </w:rPr>
      </w:pPr>
      <w:r w:rsidRPr="006343DC">
        <w:rPr>
          <w:rFonts w:ascii="Verdana" w:eastAsia="Verdana" w:hAnsi="Verdana" w:cs="Verdana"/>
          <w:color w:val="000000" w:themeColor="text1"/>
        </w:rPr>
        <w:t xml:space="preserve"> </w:t>
      </w:r>
      <w:r w:rsidRPr="006343DC">
        <w:rPr>
          <w:rFonts w:ascii="Verdana" w:eastAsia="Verdana" w:hAnsi="Verdana" w:cs="Verdana"/>
          <w:b/>
          <w:bCs/>
          <w:color w:val="000000" w:themeColor="text1"/>
        </w:rPr>
        <w:t>ASTRID ELIANA CACERES CARDENAS</w:t>
      </w:r>
    </w:p>
    <w:p w14:paraId="5803256F" w14:textId="5BB67A85" w:rsidR="000525E2" w:rsidRPr="006343DC" w:rsidRDefault="6064D3A9" w:rsidP="00976B35">
      <w:pPr>
        <w:spacing w:after="0"/>
        <w:jc w:val="center"/>
        <w:rPr>
          <w:rFonts w:ascii="Verdana" w:eastAsia="Verdana" w:hAnsi="Verdana" w:cs="Verdana"/>
          <w:color w:val="000000" w:themeColor="text1"/>
        </w:rPr>
      </w:pPr>
      <w:r w:rsidRPr="006343DC">
        <w:rPr>
          <w:rFonts w:ascii="Verdana" w:eastAsia="Verdana" w:hAnsi="Verdana" w:cs="Verdana"/>
          <w:color w:val="000000" w:themeColor="text1"/>
        </w:rPr>
        <w:t>Directora General</w:t>
      </w:r>
    </w:p>
    <w:p w14:paraId="70189A89" w14:textId="180238D4" w:rsidR="000525E2" w:rsidRPr="006343DC" w:rsidRDefault="6064D3A9" w:rsidP="00AE32C9">
      <w:pPr>
        <w:spacing w:after="0"/>
        <w:jc w:val="both"/>
        <w:rPr>
          <w:rFonts w:ascii="Verdana" w:eastAsia="Verdana" w:hAnsi="Verdana" w:cs="Verdana"/>
          <w:b/>
          <w:bCs/>
          <w:color w:val="000000" w:themeColor="text1"/>
        </w:rPr>
      </w:pPr>
      <w:r w:rsidRPr="006343DC">
        <w:rPr>
          <w:rFonts w:ascii="Verdana" w:eastAsia="Verdana" w:hAnsi="Verdana" w:cs="Verdana"/>
          <w:b/>
          <w:bCs/>
          <w:color w:val="000000" w:themeColor="text1"/>
        </w:rPr>
        <w:t xml:space="preserve"> </w:t>
      </w:r>
    </w:p>
    <w:p w14:paraId="20C70C59" w14:textId="5C044469" w:rsidR="000525E2" w:rsidRPr="006343DC" w:rsidRDefault="6064D3A9" w:rsidP="00AE32C9">
      <w:pPr>
        <w:spacing w:after="0"/>
        <w:jc w:val="both"/>
        <w:rPr>
          <w:rFonts w:ascii="Verdana" w:eastAsia="Verdana" w:hAnsi="Verdana" w:cs="Verdana"/>
          <w:color w:val="000000" w:themeColor="text1"/>
          <w:lang w:val="es"/>
        </w:rPr>
      </w:pPr>
      <w:r w:rsidRPr="006343DC">
        <w:rPr>
          <w:rFonts w:ascii="Verdana" w:eastAsia="Verdana" w:hAnsi="Verdana" w:cs="Verdana"/>
          <w:b/>
          <w:bCs/>
          <w:color w:val="000000" w:themeColor="text1"/>
        </w:rPr>
        <w:t xml:space="preserve"> </w:t>
      </w:r>
      <w:r w:rsidRPr="006343DC">
        <w:rPr>
          <w:rFonts w:ascii="Verdana" w:eastAsia="Verdana" w:hAnsi="Verdana" w:cs="Verdana"/>
          <w:color w:val="000000" w:themeColor="text1"/>
          <w:lang w:val="es"/>
        </w:rPr>
        <w:t xml:space="preserve"> </w:t>
      </w:r>
    </w:p>
    <w:p w14:paraId="79D52566" w14:textId="0F10B2F6" w:rsidR="000525E2" w:rsidRPr="000A1363" w:rsidRDefault="000525E2" w:rsidP="00AE32C9">
      <w:pPr>
        <w:spacing w:after="0"/>
        <w:jc w:val="both"/>
        <w:rPr>
          <w:rFonts w:ascii="Verdana" w:eastAsia="Verdana" w:hAnsi="Verdana" w:cs="Verdana"/>
          <w:color w:val="000000" w:themeColor="text1"/>
          <w:lang w:val="es"/>
        </w:rPr>
      </w:pPr>
    </w:p>
    <w:p w14:paraId="086912EC" w14:textId="04421970" w:rsidR="000525E2" w:rsidRPr="000A1363" w:rsidRDefault="000525E2" w:rsidP="00AE32C9">
      <w:pPr>
        <w:spacing w:after="0"/>
        <w:jc w:val="both"/>
        <w:rPr>
          <w:rFonts w:ascii="Verdana" w:eastAsia="Verdana" w:hAnsi="Verdana" w:cs="Verdana"/>
        </w:rPr>
      </w:pPr>
    </w:p>
    <w:sectPr w:rsidR="000525E2" w:rsidRPr="000A1363" w:rsidSect="007F68C1">
      <w:headerReference w:type="even" r:id="rId15"/>
      <w:pgSz w:w="12240" w:h="15840" w:code="1"/>
      <w:pgMar w:top="1418" w:right="1134" w:bottom="2410" w:left="1701" w:header="1531" w:footer="21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a Carolina Baloy" w:date="2026-08-03T17:20:00Z" w:initials="DB">
    <w:p w14:paraId="2B35E1DC" w14:textId="77777777" w:rsidR="00711355" w:rsidRDefault="00711355" w:rsidP="00711355">
      <w:pPr>
        <w:pStyle w:val="Textocomentario"/>
      </w:pPr>
      <w:r>
        <w:rPr>
          <w:rStyle w:val="Refdecomentario"/>
        </w:rPr>
        <w:annotationRef/>
      </w:r>
      <w:r>
        <w:rPr>
          <w:lang w:val="es-CO"/>
        </w:rPr>
        <w:t>Por favor antes de las siglas, colocar que es el MESEPP</w:t>
      </w:r>
    </w:p>
  </w:comment>
  <w:comment w:id="1" w:author="Diana Carolina Baloy" w:date="2026-08-03T17:25:00Z" w:initials="DB">
    <w:p w14:paraId="218AEF92" w14:textId="77777777" w:rsidR="00711355" w:rsidRDefault="00711355" w:rsidP="00711355">
      <w:pPr>
        <w:pStyle w:val="Textocomentario"/>
      </w:pPr>
      <w:r>
        <w:rPr>
          <w:rStyle w:val="Refdecomentario"/>
        </w:rPr>
        <w:annotationRef/>
      </w:r>
      <w:r>
        <w:rPr>
          <w:lang w:val="es-CO"/>
        </w:rPr>
        <w:t>¿Qué es una autoridad legitima?</w:t>
      </w:r>
    </w:p>
  </w:comment>
  <w:comment w:id="2" w:author="Diana Carolina Baloy" w:date="2026-08-03T17:31:00Z" w:initials="DB">
    <w:p w14:paraId="223AA14C" w14:textId="77777777" w:rsidR="007716B6" w:rsidRDefault="007716B6" w:rsidP="007716B6">
      <w:pPr>
        <w:pStyle w:val="Textocomentario"/>
      </w:pPr>
      <w:r>
        <w:rPr>
          <w:rStyle w:val="Refdecomentario"/>
        </w:rPr>
        <w:annotationRef/>
      </w:r>
      <w:r>
        <w:rPr>
          <w:lang w:val="es-CO"/>
        </w:rPr>
        <w:t>A que se refiere?</w:t>
      </w:r>
    </w:p>
  </w:comment>
  <w:comment w:id="3" w:author="juan antonio mejia arias" w:date="2026-08-03T19:05:00Z" w:initials="jm">
    <w:p w14:paraId="580C229B" w14:textId="77777777" w:rsidR="00F73F9B" w:rsidRDefault="00F73F9B" w:rsidP="00F73F9B">
      <w:pPr>
        <w:pStyle w:val="Textocomentario"/>
      </w:pPr>
      <w:r>
        <w:rPr>
          <w:rStyle w:val="Refdecomentario"/>
        </w:rPr>
        <w:annotationRef/>
      </w:r>
      <w:r>
        <w:rPr>
          <w:lang w:val="es-CO"/>
        </w:rPr>
        <w:t>La Sentencia T 302 está dividida en “objetivos mínimos constitucionales” que la corte definió como los estándares que deben satisfacerse para garantizar los derechos de los niños.</w:t>
      </w:r>
    </w:p>
  </w:comment>
  <w:comment w:id="4" w:author="Diana Carolina Baloy" w:date="2026-08-03T17:39:00Z" w:initials="DB">
    <w:p w14:paraId="62F93E1C" w14:textId="77777777" w:rsidR="00C9225F" w:rsidRDefault="00C9225F" w:rsidP="00C9225F">
      <w:pPr>
        <w:pStyle w:val="Textocomentario"/>
      </w:pPr>
      <w:r>
        <w:rPr>
          <w:rStyle w:val="Refdecomentario"/>
        </w:rPr>
        <w:annotationRef/>
      </w:r>
      <w:r>
        <w:rPr>
          <w:lang w:val="es-CO"/>
        </w:rPr>
        <w:t>Son las ordenes?</w:t>
      </w:r>
    </w:p>
  </w:comment>
  <w:comment w:id="5" w:author="juan antonio mejia arias" w:date="2026-08-03T19:12:00Z" w:initials="jm">
    <w:p w14:paraId="61AC62A5" w14:textId="77777777" w:rsidR="00050DD3" w:rsidRDefault="00050DD3" w:rsidP="00050DD3">
      <w:pPr>
        <w:pStyle w:val="Textocomentario"/>
      </w:pPr>
      <w:r>
        <w:rPr>
          <w:rStyle w:val="Refdecomentario"/>
        </w:rPr>
        <w:annotationRef/>
      </w:r>
      <w:r>
        <w:rPr>
          <w:lang w:val="es-CO"/>
        </w:rPr>
        <w:t>No exactamente. La T 302 define una serie de “objetivos mínimos constitucionales” que deben ser satisfechos para superar el estado de cosas inconstitucional. Entonces, en el cuarto punto de la parte resolutiva, la Corte ordena “</w:t>
      </w:r>
      <w:r>
        <w:rPr>
          <w:b/>
          <w:bCs/>
          <w:color w:val="2D2D2D"/>
          <w:highlight w:val="white"/>
          <w:lang w:val="es-CO"/>
        </w:rPr>
        <w:t>ADOPTAR </w:t>
      </w:r>
      <w:r>
        <w:rPr>
          <w:color w:val="2D2D2D"/>
          <w:highlight w:val="white"/>
          <w:lang w:val="es-CO"/>
        </w:rPr>
        <w:t>los siguientes objetivos constitucionales mínimos, los cuales deberán ser cumplidos por medio de las acciones que establezcan las entidades públicas en el marco del Mecanismo Especial, en los términos y plazos señalados en el apartado 9 de las consideraciones, y cuyas metas serán medidas de acuerdo con los indicadores que se establezcan en el marco del Mecanismo Especial:</w:t>
      </w:r>
      <w:r>
        <w:rPr>
          <w:lang w:val="es-CO"/>
        </w:rPr>
        <w:t xml:space="preserve"> “</w:t>
      </w:r>
    </w:p>
  </w:comment>
  <w:comment w:id="6" w:author="Diana Carolina Baloy" w:date="2026-08-03T17:44:00Z" w:initials="DB">
    <w:p w14:paraId="329F9576" w14:textId="77777777" w:rsidR="00C9225F" w:rsidRDefault="00C9225F" w:rsidP="00C9225F">
      <w:pPr>
        <w:pStyle w:val="Textocomentario"/>
      </w:pPr>
      <w:r>
        <w:rPr>
          <w:rStyle w:val="Refdecomentario"/>
        </w:rPr>
        <w:annotationRef/>
      </w:r>
      <w:r>
        <w:rPr>
          <w:lang w:val="es-CO"/>
        </w:rPr>
        <w:t>Por favor revisar, si va en línea o si es un comentario aparte</w:t>
      </w:r>
    </w:p>
  </w:comment>
  <w:comment w:id="7" w:author="Diana Carolina Baloy" w:date="2026-08-03T17:47:00Z" w:initials="DB">
    <w:p w14:paraId="24CA271E" w14:textId="77777777" w:rsidR="00C9225F" w:rsidRDefault="00C9225F" w:rsidP="00C9225F">
      <w:pPr>
        <w:pStyle w:val="Textocomentario"/>
      </w:pPr>
      <w:r>
        <w:rPr>
          <w:rStyle w:val="Refdecomentario"/>
        </w:rPr>
        <w:annotationRef/>
      </w:r>
      <w:r>
        <w:rPr>
          <w:lang w:val="es-CO"/>
        </w:rPr>
        <w:t>Va en linea o es un comentario, si no retirar por favor</w:t>
      </w:r>
    </w:p>
  </w:comment>
  <w:comment w:id="8" w:author="Diana Carolina Baloy" w:date="2026-08-03T17:48:00Z" w:initials="DB">
    <w:p w14:paraId="19D071FC" w14:textId="77777777" w:rsidR="008A1261" w:rsidRDefault="008A1261" w:rsidP="008A1261">
      <w:pPr>
        <w:pStyle w:val="Textocomentario"/>
      </w:pPr>
      <w:r>
        <w:rPr>
          <w:rStyle w:val="Refdecomentario"/>
        </w:rPr>
        <w:annotationRef/>
      </w:r>
      <w:r>
        <w:rPr>
          <w:lang w:val="es-CO"/>
        </w:rPr>
        <w:t>Por favor describir cual modelo?</w:t>
      </w:r>
    </w:p>
  </w:comment>
  <w:comment w:id="9" w:author="Diana Carolina Baloy" w:date="2026-08-03T17:48:00Z" w:initials="DB">
    <w:p w14:paraId="4628021D" w14:textId="77777777" w:rsidR="008A1261" w:rsidRDefault="008A1261" w:rsidP="008A1261">
      <w:pPr>
        <w:pStyle w:val="Textocomentario"/>
      </w:pPr>
      <w:r>
        <w:rPr>
          <w:rStyle w:val="Refdecomentario"/>
        </w:rPr>
        <w:annotationRef/>
      </w:r>
      <w:r>
        <w:rPr>
          <w:lang w:val="es-CO"/>
        </w:rPr>
        <w:t>Ibidem</w:t>
      </w:r>
    </w:p>
  </w:comment>
  <w:comment w:id="10" w:author="Diana Carolina Baloy" w:date="2026-08-03T17:49:00Z" w:initials="DB">
    <w:p w14:paraId="52A894AA" w14:textId="77777777" w:rsidR="008A1261" w:rsidRDefault="008A1261" w:rsidP="008A1261">
      <w:pPr>
        <w:pStyle w:val="Textocomentario"/>
      </w:pPr>
      <w:r>
        <w:rPr>
          <w:rStyle w:val="Refdecomentario"/>
        </w:rPr>
        <w:annotationRef/>
      </w:r>
      <w:r>
        <w:rPr>
          <w:lang w:val="es-CO"/>
        </w:rPr>
        <w:t>Ibidem</w:t>
      </w:r>
    </w:p>
  </w:comment>
  <w:comment w:id="11" w:author="Diana Carolina Baloy" w:date="2026-08-03T17:52:00Z" w:initials="DB">
    <w:p w14:paraId="6DD24A38" w14:textId="77777777" w:rsidR="008A1261" w:rsidRDefault="008A1261" w:rsidP="008A1261">
      <w:pPr>
        <w:pStyle w:val="Textocomentario"/>
      </w:pPr>
      <w:r>
        <w:rPr>
          <w:rStyle w:val="Refdecomentario"/>
        </w:rPr>
        <w:annotationRef/>
      </w:r>
      <w:r>
        <w:rPr>
          <w:lang w:val="es-CO"/>
        </w:rPr>
        <w:t>Por favor cambiar la definición</w:t>
      </w:r>
    </w:p>
  </w:comment>
  <w:comment w:id="12" w:author="Diana Carolina Baloy" w:date="2026-08-03T17:53:00Z" w:initials="DB">
    <w:p w14:paraId="47B4EECC" w14:textId="77777777" w:rsidR="008A1261" w:rsidRDefault="008A1261" w:rsidP="008A1261">
      <w:pPr>
        <w:pStyle w:val="Textocomentario"/>
      </w:pPr>
      <w:r>
        <w:rPr>
          <w:rStyle w:val="Refdecomentario"/>
        </w:rPr>
        <w:annotationRef/>
      </w:r>
      <w:r>
        <w:rPr>
          <w:lang w:val="es-CO"/>
        </w:rPr>
        <w:t>Va con tilde o si, por favor unificar</w:t>
      </w:r>
    </w:p>
  </w:comment>
  <w:comment w:id="13" w:author="Diana Carolina Baloy" w:date="2026-08-03T18:00:00Z" w:initials="DB">
    <w:p w14:paraId="7FE0A1E2" w14:textId="77777777" w:rsidR="004A5DC7" w:rsidRDefault="004A5DC7" w:rsidP="004A5DC7">
      <w:pPr>
        <w:pStyle w:val="Textocomentario"/>
      </w:pPr>
      <w:r>
        <w:rPr>
          <w:rStyle w:val="Refdecomentario"/>
        </w:rPr>
        <w:annotationRef/>
      </w:r>
      <w:r>
        <w:rPr>
          <w:lang w:val="es-CO"/>
        </w:rPr>
        <w:t>Modificar por favor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35E1DC" w15:done="0"/>
  <w15:commentEx w15:paraId="218AEF92" w15:done="0"/>
  <w15:commentEx w15:paraId="223AA14C" w15:done="0"/>
  <w15:commentEx w15:paraId="580C229B" w15:paraIdParent="223AA14C" w15:done="0"/>
  <w15:commentEx w15:paraId="62F93E1C" w15:done="0"/>
  <w15:commentEx w15:paraId="61AC62A5" w15:paraIdParent="62F93E1C" w15:done="0"/>
  <w15:commentEx w15:paraId="329F9576" w15:done="0"/>
  <w15:commentEx w15:paraId="24CA271E" w15:done="0"/>
  <w15:commentEx w15:paraId="19D071FC" w15:done="0"/>
  <w15:commentEx w15:paraId="4628021D" w15:done="0"/>
  <w15:commentEx w15:paraId="52A894AA" w15:done="0"/>
  <w15:commentEx w15:paraId="6DD24A38" w15:done="0"/>
  <w15:commentEx w15:paraId="47B4EECC" w15:done="0"/>
  <w15:commentEx w15:paraId="7FE0A1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F43775" w16cex:dateUtc="2026-08-03T22:20:00Z"/>
  <w16cex:commentExtensible w16cex:durableId="2D68A4A7" w16cex:dateUtc="2026-08-03T22:25:00Z"/>
  <w16cex:commentExtensible w16cex:durableId="4ECAD2E5" w16cex:dateUtc="2026-08-03T22:31:00Z"/>
  <w16cex:commentExtensible w16cex:durableId="639D205B" w16cex:dateUtc="2026-08-04T00:05:00Z"/>
  <w16cex:commentExtensible w16cex:durableId="30CEFB2F" w16cex:dateUtc="2026-08-03T22:39:00Z"/>
  <w16cex:commentExtensible w16cex:durableId="03188CE4" w16cex:dateUtc="2026-08-04T00:12:00Z"/>
  <w16cex:commentExtensible w16cex:durableId="69948CB1" w16cex:dateUtc="2026-08-03T22:44:00Z"/>
  <w16cex:commentExtensible w16cex:durableId="6737AF8E" w16cex:dateUtc="2026-08-03T22:47:00Z"/>
  <w16cex:commentExtensible w16cex:durableId="3119A5B1" w16cex:dateUtc="2026-08-03T22:48:00Z"/>
  <w16cex:commentExtensible w16cex:durableId="4B3203BE" w16cex:dateUtc="2026-08-03T22:48:00Z"/>
  <w16cex:commentExtensible w16cex:durableId="0F0A7744" w16cex:dateUtc="2026-08-03T22:49:00Z"/>
  <w16cex:commentExtensible w16cex:durableId="324D25EC" w16cex:dateUtc="2026-08-03T22:52:00Z"/>
  <w16cex:commentExtensible w16cex:durableId="17E64F2E" w16cex:dateUtc="2026-08-03T22:53:00Z"/>
  <w16cex:commentExtensible w16cex:durableId="33B59720" w16cex:dateUtc="2026-08-03T2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35E1DC" w16cid:durableId="14F43775"/>
  <w16cid:commentId w16cid:paraId="218AEF92" w16cid:durableId="2D68A4A7"/>
  <w16cid:commentId w16cid:paraId="223AA14C" w16cid:durableId="4ECAD2E5"/>
  <w16cid:commentId w16cid:paraId="580C229B" w16cid:durableId="639D205B"/>
  <w16cid:commentId w16cid:paraId="62F93E1C" w16cid:durableId="30CEFB2F"/>
  <w16cid:commentId w16cid:paraId="61AC62A5" w16cid:durableId="03188CE4"/>
  <w16cid:commentId w16cid:paraId="329F9576" w16cid:durableId="69948CB1"/>
  <w16cid:commentId w16cid:paraId="24CA271E" w16cid:durableId="6737AF8E"/>
  <w16cid:commentId w16cid:paraId="19D071FC" w16cid:durableId="3119A5B1"/>
  <w16cid:commentId w16cid:paraId="4628021D" w16cid:durableId="4B3203BE"/>
  <w16cid:commentId w16cid:paraId="52A894AA" w16cid:durableId="0F0A7744"/>
  <w16cid:commentId w16cid:paraId="6DD24A38" w16cid:durableId="324D25EC"/>
  <w16cid:commentId w16cid:paraId="47B4EECC" w16cid:durableId="17E64F2E"/>
  <w16cid:commentId w16cid:paraId="7FE0A1E2" w16cid:durableId="33B597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59F7B" w14:textId="77777777" w:rsidR="00245C92" w:rsidRDefault="00245C92" w:rsidP="00855163">
      <w:pPr>
        <w:spacing w:after="0" w:line="240" w:lineRule="auto"/>
      </w:pPr>
      <w:r>
        <w:separator/>
      </w:r>
    </w:p>
  </w:endnote>
  <w:endnote w:type="continuationSeparator" w:id="0">
    <w:p w14:paraId="1D107556" w14:textId="77777777" w:rsidR="00245C92" w:rsidRDefault="00245C92" w:rsidP="00855163">
      <w:pPr>
        <w:spacing w:after="0" w:line="240" w:lineRule="auto"/>
      </w:pPr>
      <w:r>
        <w:continuationSeparator/>
      </w:r>
    </w:p>
  </w:endnote>
  <w:endnote w:type="continuationNotice" w:id="1">
    <w:p w14:paraId="03D3B635" w14:textId="77777777" w:rsidR="00245C92" w:rsidRDefault="00245C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FF3FC" w14:textId="77777777" w:rsidR="00245C92" w:rsidRDefault="00245C92" w:rsidP="00855163">
      <w:pPr>
        <w:spacing w:after="0" w:line="240" w:lineRule="auto"/>
      </w:pPr>
      <w:r>
        <w:separator/>
      </w:r>
    </w:p>
  </w:footnote>
  <w:footnote w:type="continuationSeparator" w:id="0">
    <w:p w14:paraId="4FCB68E6" w14:textId="77777777" w:rsidR="00245C92" w:rsidRDefault="00245C92" w:rsidP="00855163">
      <w:pPr>
        <w:spacing w:after="0" w:line="240" w:lineRule="auto"/>
      </w:pPr>
      <w:r>
        <w:continuationSeparator/>
      </w:r>
    </w:p>
  </w:footnote>
  <w:footnote w:type="continuationNotice" w:id="1">
    <w:p w14:paraId="6F2D6290" w14:textId="77777777" w:rsidR="00245C92" w:rsidRDefault="00245C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B226F" w14:textId="10FD10C5" w:rsidR="00A107AA" w:rsidRDefault="007F68C1">
    <w:pPr>
      <w:pStyle w:val="Encabezado"/>
    </w:pPr>
    <w:r>
      <w:rPr>
        <w:noProof/>
      </w:rPr>
      <mc:AlternateContent>
        <mc:Choice Requires="wps">
          <w:drawing>
            <wp:anchor distT="0" distB="0" distL="114300" distR="114300" simplePos="0" relativeHeight="251658248" behindDoc="1" locked="0" layoutInCell="0" allowOverlap="1" wp14:anchorId="48CFD397" wp14:editId="10D9DCEC">
              <wp:simplePos x="0" y="0"/>
              <wp:positionH relativeFrom="margin">
                <wp:align>center</wp:align>
              </wp:positionH>
              <wp:positionV relativeFrom="margin">
                <wp:align>center</wp:align>
              </wp:positionV>
              <wp:extent cx="5894070" cy="2526030"/>
              <wp:effectExtent l="0" t="1247775" r="0" b="1131570"/>
              <wp:wrapNone/>
              <wp:docPr id="186979467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4070" cy="25260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19D472" w14:textId="77777777" w:rsidR="007F68C1" w:rsidRDefault="007F68C1" w:rsidP="007F68C1">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CFD397" id="_x0000_t202" coordsize="21600,21600" o:spt="202" path="m,l,21600r21600,l21600,xe">
              <v:stroke joinstyle="miter"/>
              <v:path gradientshapeok="t" o:connecttype="rect"/>
            </v:shapetype>
            <v:shape id="Cuadro de texto 7" o:spid="_x0000_s1027" type="#_x0000_t202" style="position:absolute;margin-left:0;margin-top:0;width:464.1pt;height:198.9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Wo9AEAAMUDAAAOAAAAZHJzL2Uyb0RvYy54bWysU02P0zAQvSPxHyzfadJCl27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" o:allowincell="f" filled="f" stroked="f">
              <v:stroke joinstyle="round"/>
              <o:lock v:ext="edit" shapetype="t"/>
              <v:textbox style="mso-fit-shape-to-text:t">
                <w:txbxContent>
                  <w:p w14:paraId="3619D472" w14:textId="77777777" w:rsidR="007F68C1" w:rsidRDefault="007F68C1" w:rsidP="007F68C1">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305C1"/>
    <w:multiLevelType w:val="hybridMultilevel"/>
    <w:tmpl w:val="D57466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4A270B49"/>
    <w:multiLevelType w:val="hybridMultilevel"/>
    <w:tmpl w:val="23F033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61CB6E99"/>
    <w:multiLevelType w:val="hybridMultilevel"/>
    <w:tmpl w:val="84CAE222"/>
    <w:lvl w:ilvl="0" w:tplc="AA7CF95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F7F2456"/>
    <w:multiLevelType w:val="hybridMultilevel"/>
    <w:tmpl w:val="0E284FDC"/>
    <w:lvl w:ilvl="0" w:tplc="2F5EB834">
      <w:start w:val="1"/>
      <w:numFmt w:val="decimal"/>
      <w:lvlText w:val="%1."/>
      <w:lvlJc w:val="left"/>
      <w:pPr>
        <w:ind w:left="360" w:hanging="360"/>
      </w:pPr>
      <w:rPr>
        <w:rFonts w:hint="default"/>
        <w:b/>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431559150">
    <w:abstractNumId w:val="0"/>
  </w:num>
  <w:num w:numId="2" w16cid:durableId="136724477">
    <w:abstractNumId w:val="3"/>
  </w:num>
  <w:num w:numId="3" w16cid:durableId="459686247">
    <w:abstractNumId w:val="1"/>
  </w:num>
  <w:num w:numId="4" w16cid:durableId="10085596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a Carolina Baloy">
    <w15:presenceInfo w15:providerId="AD" w15:userId="S::Diana.Baloy@icbf.gov.co::f766872e-3d2d-405e-ab2f-366cee0a8abd"/>
  </w15:person>
  <w15:person w15:author="juan antonio mejia arias">
    <w15:presenceInfo w15:providerId="Windows Live" w15:userId="22d12185987028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AAF"/>
    <w:rsid w:val="0001089C"/>
    <w:rsid w:val="000118A4"/>
    <w:rsid w:val="00015826"/>
    <w:rsid w:val="000207DD"/>
    <w:rsid w:val="00022C59"/>
    <w:rsid w:val="0002387B"/>
    <w:rsid w:val="00023A93"/>
    <w:rsid w:val="0002698F"/>
    <w:rsid w:val="00037410"/>
    <w:rsid w:val="00040306"/>
    <w:rsid w:val="0004061A"/>
    <w:rsid w:val="00041663"/>
    <w:rsid w:val="000452F3"/>
    <w:rsid w:val="00045DCA"/>
    <w:rsid w:val="00050DD3"/>
    <w:rsid w:val="00051A18"/>
    <w:rsid w:val="000525E2"/>
    <w:rsid w:val="00057C42"/>
    <w:rsid w:val="00062065"/>
    <w:rsid w:val="000629B5"/>
    <w:rsid w:val="00063FBE"/>
    <w:rsid w:val="000640F3"/>
    <w:rsid w:val="00064AD7"/>
    <w:rsid w:val="00066843"/>
    <w:rsid w:val="00070471"/>
    <w:rsid w:val="000719CA"/>
    <w:rsid w:val="00072925"/>
    <w:rsid w:val="000731B8"/>
    <w:rsid w:val="000757E6"/>
    <w:rsid w:val="00076474"/>
    <w:rsid w:val="00082808"/>
    <w:rsid w:val="00082ECB"/>
    <w:rsid w:val="000848CF"/>
    <w:rsid w:val="000852CB"/>
    <w:rsid w:val="00090D4A"/>
    <w:rsid w:val="00091A64"/>
    <w:rsid w:val="0009399B"/>
    <w:rsid w:val="00096A80"/>
    <w:rsid w:val="0009770B"/>
    <w:rsid w:val="000A0E39"/>
    <w:rsid w:val="000A1363"/>
    <w:rsid w:val="000A3D5D"/>
    <w:rsid w:val="000A4788"/>
    <w:rsid w:val="000A58E7"/>
    <w:rsid w:val="000A5FF5"/>
    <w:rsid w:val="000A6CAE"/>
    <w:rsid w:val="000A6DFA"/>
    <w:rsid w:val="000B0379"/>
    <w:rsid w:val="000B06BF"/>
    <w:rsid w:val="000B0934"/>
    <w:rsid w:val="000B182F"/>
    <w:rsid w:val="000B4FCC"/>
    <w:rsid w:val="000B58B3"/>
    <w:rsid w:val="000B5E66"/>
    <w:rsid w:val="000B6F89"/>
    <w:rsid w:val="000B7822"/>
    <w:rsid w:val="000C00F2"/>
    <w:rsid w:val="000C10C4"/>
    <w:rsid w:val="000C3276"/>
    <w:rsid w:val="000C5CC7"/>
    <w:rsid w:val="000C5CD5"/>
    <w:rsid w:val="000C6AF9"/>
    <w:rsid w:val="000C6FF1"/>
    <w:rsid w:val="000D7905"/>
    <w:rsid w:val="000D7B6B"/>
    <w:rsid w:val="000E2EFB"/>
    <w:rsid w:val="000E3C68"/>
    <w:rsid w:val="000E4266"/>
    <w:rsid w:val="000E49E4"/>
    <w:rsid w:val="000E793A"/>
    <w:rsid w:val="000F26CF"/>
    <w:rsid w:val="000F34F7"/>
    <w:rsid w:val="000F5C75"/>
    <w:rsid w:val="00100E4F"/>
    <w:rsid w:val="001014F6"/>
    <w:rsid w:val="00102774"/>
    <w:rsid w:val="00104EF2"/>
    <w:rsid w:val="00105565"/>
    <w:rsid w:val="00106D29"/>
    <w:rsid w:val="0011386A"/>
    <w:rsid w:val="00115BDE"/>
    <w:rsid w:val="00121A42"/>
    <w:rsid w:val="00122702"/>
    <w:rsid w:val="00127E6D"/>
    <w:rsid w:val="00130A1B"/>
    <w:rsid w:val="0013114D"/>
    <w:rsid w:val="001340C4"/>
    <w:rsid w:val="001363FD"/>
    <w:rsid w:val="00137BD6"/>
    <w:rsid w:val="00140B0A"/>
    <w:rsid w:val="00143A8A"/>
    <w:rsid w:val="00144C9F"/>
    <w:rsid w:val="00145F6E"/>
    <w:rsid w:val="00147BDD"/>
    <w:rsid w:val="00147C4F"/>
    <w:rsid w:val="00150FF8"/>
    <w:rsid w:val="001527BD"/>
    <w:rsid w:val="001531B9"/>
    <w:rsid w:val="00160BB6"/>
    <w:rsid w:val="00161287"/>
    <w:rsid w:val="00161F23"/>
    <w:rsid w:val="00162B39"/>
    <w:rsid w:val="00162CA7"/>
    <w:rsid w:val="00163631"/>
    <w:rsid w:val="00164B1B"/>
    <w:rsid w:val="001706F2"/>
    <w:rsid w:val="00170B9B"/>
    <w:rsid w:val="00176BD2"/>
    <w:rsid w:val="0018201C"/>
    <w:rsid w:val="001824AC"/>
    <w:rsid w:val="00184F3E"/>
    <w:rsid w:val="001903A1"/>
    <w:rsid w:val="001903AB"/>
    <w:rsid w:val="00193C36"/>
    <w:rsid w:val="00193DB2"/>
    <w:rsid w:val="00194EA0"/>
    <w:rsid w:val="00194FA0"/>
    <w:rsid w:val="00195854"/>
    <w:rsid w:val="0019737B"/>
    <w:rsid w:val="001A0BE8"/>
    <w:rsid w:val="001A2EE1"/>
    <w:rsid w:val="001A7A16"/>
    <w:rsid w:val="001B1972"/>
    <w:rsid w:val="001B22F7"/>
    <w:rsid w:val="001B239F"/>
    <w:rsid w:val="001B32A9"/>
    <w:rsid w:val="001B67D7"/>
    <w:rsid w:val="001C012D"/>
    <w:rsid w:val="001C0DBE"/>
    <w:rsid w:val="001C22D7"/>
    <w:rsid w:val="001C5AC2"/>
    <w:rsid w:val="001C7A29"/>
    <w:rsid w:val="001C7EB4"/>
    <w:rsid w:val="001D4B68"/>
    <w:rsid w:val="001D4EED"/>
    <w:rsid w:val="001E1F10"/>
    <w:rsid w:val="001E2C51"/>
    <w:rsid w:val="001E2E9C"/>
    <w:rsid w:val="001E48D6"/>
    <w:rsid w:val="001E7169"/>
    <w:rsid w:val="001E7B24"/>
    <w:rsid w:val="001F0357"/>
    <w:rsid w:val="001F1049"/>
    <w:rsid w:val="001F108F"/>
    <w:rsid w:val="001F128E"/>
    <w:rsid w:val="001F3246"/>
    <w:rsid w:val="001F49A8"/>
    <w:rsid w:val="001F4BB9"/>
    <w:rsid w:val="001F7115"/>
    <w:rsid w:val="001F77B1"/>
    <w:rsid w:val="00202241"/>
    <w:rsid w:val="0020231C"/>
    <w:rsid w:val="00202416"/>
    <w:rsid w:val="00202789"/>
    <w:rsid w:val="00203EC8"/>
    <w:rsid w:val="00206FDF"/>
    <w:rsid w:val="00207321"/>
    <w:rsid w:val="0021026A"/>
    <w:rsid w:val="00213B84"/>
    <w:rsid w:val="0021598C"/>
    <w:rsid w:val="00215EB9"/>
    <w:rsid w:val="00216E08"/>
    <w:rsid w:val="00221024"/>
    <w:rsid w:val="00222A63"/>
    <w:rsid w:val="00223419"/>
    <w:rsid w:val="0022385E"/>
    <w:rsid w:val="00226B0E"/>
    <w:rsid w:val="00231529"/>
    <w:rsid w:val="00232988"/>
    <w:rsid w:val="00234341"/>
    <w:rsid w:val="0023583C"/>
    <w:rsid w:val="00235917"/>
    <w:rsid w:val="00237850"/>
    <w:rsid w:val="00243ADA"/>
    <w:rsid w:val="00245C92"/>
    <w:rsid w:val="00250A1A"/>
    <w:rsid w:val="002510E6"/>
    <w:rsid w:val="0025142D"/>
    <w:rsid w:val="00254C94"/>
    <w:rsid w:val="00257BD2"/>
    <w:rsid w:val="00261AD1"/>
    <w:rsid w:val="00262613"/>
    <w:rsid w:val="00262851"/>
    <w:rsid w:val="00262AED"/>
    <w:rsid w:val="0027010F"/>
    <w:rsid w:val="00270B0D"/>
    <w:rsid w:val="00272515"/>
    <w:rsid w:val="002731FA"/>
    <w:rsid w:val="00274E7D"/>
    <w:rsid w:val="002767FB"/>
    <w:rsid w:val="00277A58"/>
    <w:rsid w:val="00284269"/>
    <w:rsid w:val="002867D3"/>
    <w:rsid w:val="002907C0"/>
    <w:rsid w:val="00291F9B"/>
    <w:rsid w:val="00293868"/>
    <w:rsid w:val="002969C3"/>
    <w:rsid w:val="002A3B98"/>
    <w:rsid w:val="002A59C4"/>
    <w:rsid w:val="002A63BC"/>
    <w:rsid w:val="002A712B"/>
    <w:rsid w:val="002A7B5D"/>
    <w:rsid w:val="002B23F3"/>
    <w:rsid w:val="002C0EA3"/>
    <w:rsid w:val="002C4626"/>
    <w:rsid w:val="002C490D"/>
    <w:rsid w:val="002C77F8"/>
    <w:rsid w:val="002D00F7"/>
    <w:rsid w:val="002D0BC3"/>
    <w:rsid w:val="002D478D"/>
    <w:rsid w:val="002D721B"/>
    <w:rsid w:val="002D76BD"/>
    <w:rsid w:val="002D7FA8"/>
    <w:rsid w:val="002E13C7"/>
    <w:rsid w:val="002E2841"/>
    <w:rsid w:val="002E2856"/>
    <w:rsid w:val="002E2E5E"/>
    <w:rsid w:val="002E33B6"/>
    <w:rsid w:val="002E49EC"/>
    <w:rsid w:val="002E5CE3"/>
    <w:rsid w:val="002E70C5"/>
    <w:rsid w:val="002F0A65"/>
    <w:rsid w:val="002F115F"/>
    <w:rsid w:val="002F5285"/>
    <w:rsid w:val="002F5A8B"/>
    <w:rsid w:val="002F7F77"/>
    <w:rsid w:val="00302C7B"/>
    <w:rsid w:val="00304D52"/>
    <w:rsid w:val="003053C6"/>
    <w:rsid w:val="00310473"/>
    <w:rsid w:val="00311D3F"/>
    <w:rsid w:val="00312485"/>
    <w:rsid w:val="003128E4"/>
    <w:rsid w:val="003130AB"/>
    <w:rsid w:val="00315169"/>
    <w:rsid w:val="0031545F"/>
    <w:rsid w:val="003175B0"/>
    <w:rsid w:val="0032060B"/>
    <w:rsid w:val="003220FD"/>
    <w:rsid w:val="003231DB"/>
    <w:rsid w:val="00324150"/>
    <w:rsid w:val="00324439"/>
    <w:rsid w:val="00324E76"/>
    <w:rsid w:val="003260C4"/>
    <w:rsid w:val="0032704E"/>
    <w:rsid w:val="00327CA9"/>
    <w:rsid w:val="00331390"/>
    <w:rsid w:val="003318B2"/>
    <w:rsid w:val="00332D3E"/>
    <w:rsid w:val="0033355D"/>
    <w:rsid w:val="00334133"/>
    <w:rsid w:val="0034228D"/>
    <w:rsid w:val="00342453"/>
    <w:rsid w:val="003446CE"/>
    <w:rsid w:val="003457A2"/>
    <w:rsid w:val="003467BE"/>
    <w:rsid w:val="00351B36"/>
    <w:rsid w:val="003520DC"/>
    <w:rsid w:val="003527A1"/>
    <w:rsid w:val="0035326D"/>
    <w:rsid w:val="0035500C"/>
    <w:rsid w:val="00355785"/>
    <w:rsid w:val="00356264"/>
    <w:rsid w:val="00362CD7"/>
    <w:rsid w:val="00363967"/>
    <w:rsid w:val="00365CCD"/>
    <w:rsid w:val="00365FD6"/>
    <w:rsid w:val="00367F3B"/>
    <w:rsid w:val="003777D4"/>
    <w:rsid w:val="00380AE0"/>
    <w:rsid w:val="00382465"/>
    <w:rsid w:val="00383663"/>
    <w:rsid w:val="00384209"/>
    <w:rsid w:val="00387670"/>
    <w:rsid w:val="0039043D"/>
    <w:rsid w:val="00392B52"/>
    <w:rsid w:val="003A3ACF"/>
    <w:rsid w:val="003A3F10"/>
    <w:rsid w:val="003A5F12"/>
    <w:rsid w:val="003A7A0A"/>
    <w:rsid w:val="003B080E"/>
    <w:rsid w:val="003B2ADE"/>
    <w:rsid w:val="003B5B6D"/>
    <w:rsid w:val="003B5EE1"/>
    <w:rsid w:val="003B6492"/>
    <w:rsid w:val="003B71E5"/>
    <w:rsid w:val="003C0691"/>
    <w:rsid w:val="003C0A34"/>
    <w:rsid w:val="003C0EF7"/>
    <w:rsid w:val="003C279D"/>
    <w:rsid w:val="003C3789"/>
    <w:rsid w:val="003C42C8"/>
    <w:rsid w:val="003C6CF2"/>
    <w:rsid w:val="003D0E75"/>
    <w:rsid w:val="003D1586"/>
    <w:rsid w:val="003D28EA"/>
    <w:rsid w:val="003D2DCE"/>
    <w:rsid w:val="003D333B"/>
    <w:rsid w:val="003D39D4"/>
    <w:rsid w:val="003D5A12"/>
    <w:rsid w:val="003D6132"/>
    <w:rsid w:val="003D61F4"/>
    <w:rsid w:val="003D6F71"/>
    <w:rsid w:val="003D7371"/>
    <w:rsid w:val="003D7B3C"/>
    <w:rsid w:val="003E1495"/>
    <w:rsid w:val="003E1DA8"/>
    <w:rsid w:val="003E2A72"/>
    <w:rsid w:val="003E3A73"/>
    <w:rsid w:val="003E44BE"/>
    <w:rsid w:val="003E6ABC"/>
    <w:rsid w:val="003F04CC"/>
    <w:rsid w:val="003F0CFC"/>
    <w:rsid w:val="003F37CF"/>
    <w:rsid w:val="003F507C"/>
    <w:rsid w:val="003F5802"/>
    <w:rsid w:val="003F6BEE"/>
    <w:rsid w:val="003F7E01"/>
    <w:rsid w:val="00400F13"/>
    <w:rsid w:val="004014BF"/>
    <w:rsid w:val="00401620"/>
    <w:rsid w:val="00403F0D"/>
    <w:rsid w:val="00405904"/>
    <w:rsid w:val="0041326B"/>
    <w:rsid w:val="00414A0B"/>
    <w:rsid w:val="00414F57"/>
    <w:rsid w:val="00415368"/>
    <w:rsid w:val="0041634B"/>
    <w:rsid w:val="0041675F"/>
    <w:rsid w:val="0041698E"/>
    <w:rsid w:val="00417B4F"/>
    <w:rsid w:val="00424B1C"/>
    <w:rsid w:val="00424E66"/>
    <w:rsid w:val="00425CCC"/>
    <w:rsid w:val="0042679E"/>
    <w:rsid w:val="004303F8"/>
    <w:rsid w:val="00433B0E"/>
    <w:rsid w:val="00436139"/>
    <w:rsid w:val="0043638D"/>
    <w:rsid w:val="00442630"/>
    <w:rsid w:val="004432F7"/>
    <w:rsid w:val="00446E92"/>
    <w:rsid w:val="00447380"/>
    <w:rsid w:val="00450629"/>
    <w:rsid w:val="004507FF"/>
    <w:rsid w:val="00451091"/>
    <w:rsid w:val="00452B05"/>
    <w:rsid w:val="00453332"/>
    <w:rsid w:val="004536A2"/>
    <w:rsid w:val="0045469D"/>
    <w:rsid w:val="00454708"/>
    <w:rsid w:val="0046267D"/>
    <w:rsid w:val="00465CD4"/>
    <w:rsid w:val="00467633"/>
    <w:rsid w:val="00467F54"/>
    <w:rsid w:val="00470034"/>
    <w:rsid w:val="004722C6"/>
    <w:rsid w:val="0047424C"/>
    <w:rsid w:val="00475F54"/>
    <w:rsid w:val="004765C8"/>
    <w:rsid w:val="004814D2"/>
    <w:rsid w:val="00486251"/>
    <w:rsid w:val="00487BA6"/>
    <w:rsid w:val="00490A26"/>
    <w:rsid w:val="00491842"/>
    <w:rsid w:val="0049305C"/>
    <w:rsid w:val="0049369B"/>
    <w:rsid w:val="0049539C"/>
    <w:rsid w:val="004953C7"/>
    <w:rsid w:val="00497247"/>
    <w:rsid w:val="004A5DC7"/>
    <w:rsid w:val="004A7B8B"/>
    <w:rsid w:val="004A7EE6"/>
    <w:rsid w:val="004B062A"/>
    <w:rsid w:val="004B2820"/>
    <w:rsid w:val="004B4B4C"/>
    <w:rsid w:val="004B5BAA"/>
    <w:rsid w:val="004B5E65"/>
    <w:rsid w:val="004B7AC8"/>
    <w:rsid w:val="004C1649"/>
    <w:rsid w:val="004C3880"/>
    <w:rsid w:val="004C4F44"/>
    <w:rsid w:val="004D1153"/>
    <w:rsid w:val="004D3061"/>
    <w:rsid w:val="004D31FA"/>
    <w:rsid w:val="004D33C4"/>
    <w:rsid w:val="004D47BF"/>
    <w:rsid w:val="004D6D45"/>
    <w:rsid w:val="004D71FE"/>
    <w:rsid w:val="004E096E"/>
    <w:rsid w:val="004E693A"/>
    <w:rsid w:val="004E6A42"/>
    <w:rsid w:val="004F26A2"/>
    <w:rsid w:val="004F3511"/>
    <w:rsid w:val="004F3853"/>
    <w:rsid w:val="004F3CE7"/>
    <w:rsid w:val="00502643"/>
    <w:rsid w:val="00502BF1"/>
    <w:rsid w:val="00502EC8"/>
    <w:rsid w:val="005031AD"/>
    <w:rsid w:val="00503541"/>
    <w:rsid w:val="0050407D"/>
    <w:rsid w:val="005043DF"/>
    <w:rsid w:val="0050504C"/>
    <w:rsid w:val="00507D08"/>
    <w:rsid w:val="00513F6E"/>
    <w:rsid w:val="005144DB"/>
    <w:rsid w:val="0051665A"/>
    <w:rsid w:val="00516B9C"/>
    <w:rsid w:val="0052096D"/>
    <w:rsid w:val="005216F9"/>
    <w:rsid w:val="00522374"/>
    <w:rsid w:val="00522A0C"/>
    <w:rsid w:val="0052464B"/>
    <w:rsid w:val="005254F2"/>
    <w:rsid w:val="00526488"/>
    <w:rsid w:val="00526CB5"/>
    <w:rsid w:val="00530238"/>
    <w:rsid w:val="00531748"/>
    <w:rsid w:val="005327D9"/>
    <w:rsid w:val="005363F7"/>
    <w:rsid w:val="005442A5"/>
    <w:rsid w:val="005450CF"/>
    <w:rsid w:val="00545AC1"/>
    <w:rsid w:val="00545E2F"/>
    <w:rsid w:val="00547190"/>
    <w:rsid w:val="00547EB1"/>
    <w:rsid w:val="00550DFE"/>
    <w:rsid w:val="0055179D"/>
    <w:rsid w:val="00551984"/>
    <w:rsid w:val="00553313"/>
    <w:rsid w:val="00553878"/>
    <w:rsid w:val="00553CE9"/>
    <w:rsid w:val="00561175"/>
    <w:rsid w:val="0056627D"/>
    <w:rsid w:val="00566A3A"/>
    <w:rsid w:val="00566AB3"/>
    <w:rsid w:val="00567B8E"/>
    <w:rsid w:val="00571FC5"/>
    <w:rsid w:val="005726D3"/>
    <w:rsid w:val="0057318D"/>
    <w:rsid w:val="00575309"/>
    <w:rsid w:val="00576E00"/>
    <w:rsid w:val="00577ED0"/>
    <w:rsid w:val="005838B6"/>
    <w:rsid w:val="005838E2"/>
    <w:rsid w:val="00583A60"/>
    <w:rsid w:val="00583F4D"/>
    <w:rsid w:val="00590333"/>
    <w:rsid w:val="0059082A"/>
    <w:rsid w:val="00590990"/>
    <w:rsid w:val="00590FF6"/>
    <w:rsid w:val="005934A9"/>
    <w:rsid w:val="00594970"/>
    <w:rsid w:val="005968AC"/>
    <w:rsid w:val="00596E20"/>
    <w:rsid w:val="005977FC"/>
    <w:rsid w:val="005A2E1E"/>
    <w:rsid w:val="005A3EF9"/>
    <w:rsid w:val="005A5216"/>
    <w:rsid w:val="005A5FB0"/>
    <w:rsid w:val="005B0364"/>
    <w:rsid w:val="005B4C91"/>
    <w:rsid w:val="005C10D9"/>
    <w:rsid w:val="005C24B2"/>
    <w:rsid w:val="005C32D0"/>
    <w:rsid w:val="005C3E59"/>
    <w:rsid w:val="005C4EED"/>
    <w:rsid w:val="005C6A5B"/>
    <w:rsid w:val="005C79A6"/>
    <w:rsid w:val="005C7CF9"/>
    <w:rsid w:val="005D043D"/>
    <w:rsid w:val="005D0691"/>
    <w:rsid w:val="005D265A"/>
    <w:rsid w:val="005D3BB5"/>
    <w:rsid w:val="005D5D70"/>
    <w:rsid w:val="005E1514"/>
    <w:rsid w:val="005E1EC6"/>
    <w:rsid w:val="005E2D4D"/>
    <w:rsid w:val="005E4784"/>
    <w:rsid w:val="005E5FD1"/>
    <w:rsid w:val="005E67BA"/>
    <w:rsid w:val="005F0411"/>
    <w:rsid w:val="005F1BEC"/>
    <w:rsid w:val="005F2DD1"/>
    <w:rsid w:val="005F4401"/>
    <w:rsid w:val="005F7253"/>
    <w:rsid w:val="005F72C8"/>
    <w:rsid w:val="00600274"/>
    <w:rsid w:val="00600982"/>
    <w:rsid w:val="00601D2C"/>
    <w:rsid w:val="00601FF4"/>
    <w:rsid w:val="00602065"/>
    <w:rsid w:val="00613647"/>
    <w:rsid w:val="00616578"/>
    <w:rsid w:val="00620DF3"/>
    <w:rsid w:val="00623F1C"/>
    <w:rsid w:val="00623FF0"/>
    <w:rsid w:val="006264AD"/>
    <w:rsid w:val="00626A72"/>
    <w:rsid w:val="00626DB1"/>
    <w:rsid w:val="00626EEC"/>
    <w:rsid w:val="006327E2"/>
    <w:rsid w:val="006343DC"/>
    <w:rsid w:val="006346CE"/>
    <w:rsid w:val="0063528D"/>
    <w:rsid w:val="006360F9"/>
    <w:rsid w:val="006373C3"/>
    <w:rsid w:val="0063779C"/>
    <w:rsid w:val="00640D92"/>
    <w:rsid w:val="00641516"/>
    <w:rsid w:val="0064248C"/>
    <w:rsid w:val="00642839"/>
    <w:rsid w:val="00644385"/>
    <w:rsid w:val="00644B35"/>
    <w:rsid w:val="00644DEE"/>
    <w:rsid w:val="0064731F"/>
    <w:rsid w:val="00650889"/>
    <w:rsid w:val="0065372E"/>
    <w:rsid w:val="00653792"/>
    <w:rsid w:val="00657797"/>
    <w:rsid w:val="00657EF5"/>
    <w:rsid w:val="006624A2"/>
    <w:rsid w:val="006630C9"/>
    <w:rsid w:val="0066342A"/>
    <w:rsid w:val="006634BD"/>
    <w:rsid w:val="0066407A"/>
    <w:rsid w:val="00664D23"/>
    <w:rsid w:val="0066566D"/>
    <w:rsid w:val="006660C4"/>
    <w:rsid w:val="00666624"/>
    <w:rsid w:val="0067297E"/>
    <w:rsid w:val="00673048"/>
    <w:rsid w:val="00676F10"/>
    <w:rsid w:val="00677555"/>
    <w:rsid w:val="006805D5"/>
    <w:rsid w:val="006834B9"/>
    <w:rsid w:val="00683F21"/>
    <w:rsid w:val="00684CD0"/>
    <w:rsid w:val="00687BA1"/>
    <w:rsid w:val="006909DC"/>
    <w:rsid w:val="00690A15"/>
    <w:rsid w:val="006910F9"/>
    <w:rsid w:val="00693609"/>
    <w:rsid w:val="00695892"/>
    <w:rsid w:val="006972A3"/>
    <w:rsid w:val="006A0992"/>
    <w:rsid w:val="006A09B5"/>
    <w:rsid w:val="006A20C8"/>
    <w:rsid w:val="006A25E2"/>
    <w:rsid w:val="006A3F84"/>
    <w:rsid w:val="006A5528"/>
    <w:rsid w:val="006A7DE3"/>
    <w:rsid w:val="006B0E57"/>
    <w:rsid w:val="006B350F"/>
    <w:rsid w:val="006B5338"/>
    <w:rsid w:val="006B56DB"/>
    <w:rsid w:val="006C0A19"/>
    <w:rsid w:val="006C15D8"/>
    <w:rsid w:val="006C1D98"/>
    <w:rsid w:val="006C3804"/>
    <w:rsid w:val="006C4655"/>
    <w:rsid w:val="006D051C"/>
    <w:rsid w:val="006D36C5"/>
    <w:rsid w:val="006D5730"/>
    <w:rsid w:val="006E0141"/>
    <w:rsid w:val="006E1998"/>
    <w:rsid w:val="006E48CC"/>
    <w:rsid w:val="006E6CC7"/>
    <w:rsid w:val="006E79D7"/>
    <w:rsid w:val="006F053F"/>
    <w:rsid w:val="006F24B8"/>
    <w:rsid w:val="006F2F29"/>
    <w:rsid w:val="006F36B7"/>
    <w:rsid w:val="006F3765"/>
    <w:rsid w:val="006F4E14"/>
    <w:rsid w:val="006F6C0C"/>
    <w:rsid w:val="006F7119"/>
    <w:rsid w:val="00700C87"/>
    <w:rsid w:val="00701917"/>
    <w:rsid w:val="007031AF"/>
    <w:rsid w:val="00703F39"/>
    <w:rsid w:val="0070439C"/>
    <w:rsid w:val="00706609"/>
    <w:rsid w:val="00706A1C"/>
    <w:rsid w:val="00710932"/>
    <w:rsid w:val="00711355"/>
    <w:rsid w:val="007114A9"/>
    <w:rsid w:val="00712003"/>
    <w:rsid w:val="0071433A"/>
    <w:rsid w:val="007148DB"/>
    <w:rsid w:val="00715E4C"/>
    <w:rsid w:val="00720300"/>
    <w:rsid w:val="00721D32"/>
    <w:rsid w:val="007252C7"/>
    <w:rsid w:val="007264AB"/>
    <w:rsid w:val="00726998"/>
    <w:rsid w:val="0073020E"/>
    <w:rsid w:val="00730497"/>
    <w:rsid w:val="007320D1"/>
    <w:rsid w:val="00732278"/>
    <w:rsid w:val="007324B1"/>
    <w:rsid w:val="007347B0"/>
    <w:rsid w:val="007365C0"/>
    <w:rsid w:val="00741496"/>
    <w:rsid w:val="007438DB"/>
    <w:rsid w:val="00750194"/>
    <w:rsid w:val="0075325D"/>
    <w:rsid w:val="007541D7"/>
    <w:rsid w:val="00754241"/>
    <w:rsid w:val="007542B9"/>
    <w:rsid w:val="0075494E"/>
    <w:rsid w:val="0075617D"/>
    <w:rsid w:val="00757966"/>
    <w:rsid w:val="00757C6B"/>
    <w:rsid w:val="007639C9"/>
    <w:rsid w:val="007678D3"/>
    <w:rsid w:val="00770D7A"/>
    <w:rsid w:val="007716B6"/>
    <w:rsid w:val="00772A60"/>
    <w:rsid w:val="0077478E"/>
    <w:rsid w:val="00775B6A"/>
    <w:rsid w:val="00780B84"/>
    <w:rsid w:val="00781BA4"/>
    <w:rsid w:val="00785549"/>
    <w:rsid w:val="00785BBB"/>
    <w:rsid w:val="00785F2E"/>
    <w:rsid w:val="00786224"/>
    <w:rsid w:val="007873D8"/>
    <w:rsid w:val="00787BC9"/>
    <w:rsid w:val="00787E1D"/>
    <w:rsid w:val="007906DF"/>
    <w:rsid w:val="00791BDE"/>
    <w:rsid w:val="00792310"/>
    <w:rsid w:val="00794B89"/>
    <w:rsid w:val="00794D24"/>
    <w:rsid w:val="0079699C"/>
    <w:rsid w:val="0079710A"/>
    <w:rsid w:val="007A0615"/>
    <w:rsid w:val="007A472B"/>
    <w:rsid w:val="007A549E"/>
    <w:rsid w:val="007B1B02"/>
    <w:rsid w:val="007B3A32"/>
    <w:rsid w:val="007B6BC9"/>
    <w:rsid w:val="007C2915"/>
    <w:rsid w:val="007C49FC"/>
    <w:rsid w:val="007D3129"/>
    <w:rsid w:val="007D35BD"/>
    <w:rsid w:val="007D3B1E"/>
    <w:rsid w:val="007D3EE4"/>
    <w:rsid w:val="007D4F62"/>
    <w:rsid w:val="007E35E8"/>
    <w:rsid w:val="007E4500"/>
    <w:rsid w:val="007E547A"/>
    <w:rsid w:val="007E5857"/>
    <w:rsid w:val="007F0217"/>
    <w:rsid w:val="007F0FA7"/>
    <w:rsid w:val="007F1028"/>
    <w:rsid w:val="007F453B"/>
    <w:rsid w:val="007F5677"/>
    <w:rsid w:val="007F5DAC"/>
    <w:rsid w:val="007F68C1"/>
    <w:rsid w:val="007F6CB5"/>
    <w:rsid w:val="007F7081"/>
    <w:rsid w:val="0080131C"/>
    <w:rsid w:val="008014AA"/>
    <w:rsid w:val="00802A26"/>
    <w:rsid w:val="00803290"/>
    <w:rsid w:val="0080433F"/>
    <w:rsid w:val="00812A8B"/>
    <w:rsid w:val="00813E09"/>
    <w:rsid w:val="00814D43"/>
    <w:rsid w:val="0082026B"/>
    <w:rsid w:val="00820589"/>
    <w:rsid w:val="00820B8C"/>
    <w:rsid w:val="00827041"/>
    <w:rsid w:val="00827761"/>
    <w:rsid w:val="008300D2"/>
    <w:rsid w:val="0083289E"/>
    <w:rsid w:val="00832B9F"/>
    <w:rsid w:val="00834AB6"/>
    <w:rsid w:val="008361F7"/>
    <w:rsid w:val="008402E1"/>
    <w:rsid w:val="008402ED"/>
    <w:rsid w:val="008408BC"/>
    <w:rsid w:val="00840B43"/>
    <w:rsid w:val="008415DA"/>
    <w:rsid w:val="008429D3"/>
    <w:rsid w:val="00842B12"/>
    <w:rsid w:val="0084346B"/>
    <w:rsid w:val="008437F0"/>
    <w:rsid w:val="00843C65"/>
    <w:rsid w:val="00850B78"/>
    <w:rsid w:val="00850DCB"/>
    <w:rsid w:val="00855163"/>
    <w:rsid w:val="00856335"/>
    <w:rsid w:val="00856CDA"/>
    <w:rsid w:val="00857988"/>
    <w:rsid w:val="00862078"/>
    <w:rsid w:val="00863D41"/>
    <w:rsid w:val="008653A9"/>
    <w:rsid w:val="00865619"/>
    <w:rsid w:val="00865AD9"/>
    <w:rsid w:val="0086610C"/>
    <w:rsid w:val="00867899"/>
    <w:rsid w:val="00867E2A"/>
    <w:rsid w:val="008703D1"/>
    <w:rsid w:val="008711DC"/>
    <w:rsid w:val="008726EC"/>
    <w:rsid w:val="008738A8"/>
    <w:rsid w:val="0087535C"/>
    <w:rsid w:val="00883832"/>
    <w:rsid w:val="0088652A"/>
    <w:rsid w:val="008878D0"/>
    <w:rsid w:val="00887928"/>
    <w:rsid w:val="00892C2A"/>
    <w:rsid w:val="00894341"/>
    <w:rsid w:val="00894677"/>
    <w:rsid w:val="00897EBC"/>
    <w:rsid w:val="008A1261"/>
    <w:rsid w:val="008A1B34"/>
    <w:rsid w:val="008A2376"/>
    <w:rsid w:val="008A741D"/>
    <w:rsid w:val="008B0F5B"/>
    <w:rsid w:val="008B15AE"/>
    <w:rsid w:val="008B1921"/>
    <w:rsid w:val="008B4146"/>
    <w:rsid w:val="008B5732"/>
    <w:rsid w:val="008B6186"/>
    <w:rsid w:val="008B684C"/>
    <w:rsid w:val="008C00E8"/>
    <w:rsid w:val="008C0146"/>
    <w:rsid w:val="008C02CE"/>
    <w:rsid w:val="008C2D67"/>
    <w:rsid w:val="008C64F3"/>
    <w:rsid w:val="008D043A"/>
    <w:rsid w:val="008D073E"/>
    <w:rsid w:val="008D3B1E"/>
    <w:rsid w:val="008D76D4"/>
    <w:rsid w:val="008D7BD5"/>
    <w:rsid w:val="008E26A1"/>
    <w:rsid w:val="008E5058"/>
    <w:rsid w:val="008E6CD9"/>
    <w:rsid w:val="008E7E29"/>
    <w:rsid w:val="008F0177"/>
    <w:rsid w:val="008F02DE"/>
    <w:rsid w:val="008F11F1"/>
    <w:rsid w:val="008F3663"/>
    <w:rsid w:val="008F7409"/>
    <w:rsid w:val="008F7915"/>
    <w:rsid w:val="008F7D15"/>
    <w:rsid w:val="00900969"/>
    <w:rsid w:val="009009C7"/>
    <w:rsid w:val="00900B89"/>
    <w:rsid w:val="00900EA1"/>
    <w:rsid w:val="0090101F"/>
    <w:rsid w:val="00911257"/>
    <w:rsid w:val="009121C6"/>
    <w:rsid w:val="009157F2"/>
    <w:rsid w:val="009176D1"/>
    <w:rsid w:val="00917B52"/>
    <w:rsid w:val="009217E6"/>
    <w:rsid w:val="0092267C"/>
    <w:rsid w:val="00926530"/>
    <w:rsid w:val="00930239"/>
    <w:rsid w:val="00930AB0"/>
    <w:rsid w:val="009319A8"/>
    <w:rsid w:val="009356D9"/>
    <w:rsid w:val="009359B1"/>
    <w:rsid w:val="00937DED"/>
    <w:rsid w:val="00943DA2"/>
    <w:rsid w:val="00944B1D"/>
    <w:rsid w:val="0095042B"/>
    <w:rsid w:val="00950AAA"/>
    <w:rsid w:val="00954BCB"/>
    <w:rsid w:val="00954DC3"/>
    <w:rsid w:val="00954FFD"/>
    <w:rsid w:val="00956343"/>
    <w:rsid w:val="009612AB"/>
    <w:rsid w:val="00961593"/>
    <w:rsid w:val="00961790"/>
    <w:rsid w:val="009618A3"/>
    <w:rsid w:val="00961B93"/>
    <w:rsid w:val="00961DC2"/>
    <w:rsid w:val="009626F4"/>
    <w:rsid w:val="00962B88"/>
    <w:rsid w:val="009639C6"/>
    <w:rsid w:val="00963DCD"/>
    <w:rsid w:val="009644AE"/>
    <w:rsid w:val="009649CB"/>
    <w:rsid w:val="00964C9C"/>
    <w:rsid w:val="00964D9B"/>
    <w:rsid w:val="00966EDD"/>
    <w:rsid w:val="00967256"/>
    <w:rsid w:val="00970B56"/>
    <w:rsid w:val="00975304"/>
    <w:rsid w:val="009767E6"/>
    <w:rsid w:val="00976B35"/>
    <w:rsid w:val="00977071"/>
    <w:rsid w:val="00986BB4"/>
    <w:rsid w:val="00991339"/>
    <w:rsid w:val="00991805"/>
    <w:rsid w:val="00991C7F"/>
    <w:rsid w:val="009923C0"/>
    <w:rsid w:val="00992577"/>
    <w:rsid w:val="00994F04"/>
    <w:rsid w:val="009970A2"/>
    <w:rsid w:val="0099749E"/>
    <w:rsid w:val="009A23C5"/>
    <w:rsid w:val="009A50F6"/>
    <w:rsid w:val="009B084C"/>
    <w:rsid w:val="009B151C"/>
    <w:rsid w:val="009B2507"/>
    <w:rsid w:val="009B2B8C"/>
    <w:rsid w:val="009B456F"/>
    <w:rsid w:val="009B482C"/>
    <w:rsid w:val="009B4D50"/>
    <w:rsid w:val="009B4EC4"/>
    <w:rsid w:val="009B6622"/>
    <w:rsid w:val="009C2D70"/>
    <w:rsid w:val="009C3ABC"/>
    <w:rsid w:val="009C445A"/>
    <w:rsid w:val="009C58F9"/>
    <w:rsid w:val="009D0EB5"/>
    <w:rsid w:val="009D258C"/>
    <w:rsid w:val="009D2651"/>
    <w:rsid w:val="009D2C7D"/>
    <w:rsid w:val="009D5560"/>
    <w:rsid w:val="009D6093"/>
    <w:rsid w:val="009D6ACA"/>
    <w:rsid w:val="009E2F40"/>
    <w:rsid w:val="009E3506"/>
    <w:rsid w:val="009E3C47"/>
    <w:rsid w:val="009E6D8D"/>
    <w:rsid w:val="009F0B2D"/>
    <w:rsid w:val="009F1468"/>
    <w:rsid w:val="009F21CF"/>
    <w:rsid w:val="009F563F"/>
    <w:rsid w:val="009F6020"/>
    <w:rsid w:val="009F6D3B"/>
    <w:rsid w:val="009F702E"/>
    <w:rsid w:val="009FBFFF"/>
    <w:rsid w:val="00A009AB"/>
    <w:rsid w:val="00A015F3"/>
    <w:rsid w:val="00A02A71"/>
    <w:rsid w:val="00A02B80"/>
    <w:rsid w:val="00A02EAA"/>
    <w:rsid w:val="00A03BF6"/>
    <w:rsid w:val="00A0688F"/>
    <w:rsid w:val="00A06B1D"/>
    <w:rsid w:val="00A07105"/>
    <w:rsid w:val="00A07D47"/>
    <w:rsid w:val="00A1074F"/>
    <w:rsid w:val="00A107AA"/>
    <w:rsid w:val="00A11017"/>
    <w:rsid w:val="00A1446A"/>
    <w:rsid w:val="00A240E9"/>
    <w:rsid w:val="00A34453"/>
    <w:rsid w:val="00A34638"/>
    <w:rsid w:val="00A35703"/>
    <w:rsid w:val="00A37449"/>
    <w:rsid w:val="00A43C90"/>
    <w:rsid w:val="00A5152D"/>
    <w:rsid w:val="00A51CB3"/>
    <w:rsid w:val="00A52B4B"/>
    <w:rsid w:val="00A56331"/>
    <w:rsid w:val="00A6278F"/>
    <w:rsid w:val="00A62F6F"/>
    <w:rsid w:val="00A63FD9"/>
    <w:rsid w:val="00A66549"/>
    <w:rsid w:val="00A72FF0"/>
    <w:rsid w:val="00A77852"/>
    <w:rsid w:val="00A77E88"/>
    <w:rsid w:val="00A80BFA"/>
    <w:rsid w:val="00A94745"/>
    <w:rsid w:val="00A95A71"/>
    <w:rsid w:val="00AA0113"/>
    <w:rsid w:val="00AA043B"/>
    <w:rsid w:val="00AA41EF"/>
    <w:rsid w:val="00AA42D2"/>
    <w:rsid w:val="00AA50E3"/>
    <w:rsid w:val="00AA55CC"/>
    <w:rsid w:val="00AA64F3"/>
    <w:rsid w:val="00AA667F"/>
    <w:rsid w:val="00AA6956"/>
    <w:rsid w:val="00AA71E1"/>
    <w:rsid w:val="00AA7342"/>
    <w:rsid w:val="00AA7E41"/>
    <w:rsid w:val="00AB020B"/>
    <w:rsid w:val="00AB056D"/>
    <w:rsid w:val="00AB29BC"/>
    <w:rsid w:val="00AB4385"/>
    <w:rsid w:val="00AB4A8E"/>
    <w:rsid w:val="00AB5932"/>
    <w:rsid w:val="00AB5E2C"/>
    <w:rsid w:val="00AB609A"/>
    <w:rsid w:val="00AB67D0"/>
    <w:rsid w:val="00AB798F"/>
    <w:rsid w:val="00AB79D9"/>
    <w:rsid w:val="00AC0755"/>
    <w:rsid w:val="00AC210F"/>
    <w:rsid w:val="00AC315E"/>
    <w:rsid w:val="00AC3F4A"/>
    <w:rsid w:val="00AC4E81"/>
    <w:rsid w:val="00AD06EE"/>
    <w:rsid w:val="00AD1736"/>
    <w:rsid w:val="00AD1E76"/>
    <w:rsid w:val="00AD2A76"/>
    <w:rsid w:val="00AD5187"/>
    <w:rsid w:val="00AE11CF"/>
    <w:rsid w:val="00AE1232"/>
    <w:rsid w:val="00AE294A"/>
    <w:rsid w:val="00AE32C9"/>
    <w:rsid w:val="00AE6F14"/>
    <w:rsid w:val="00AF3035"/>
    <w:rsid w:val="00AF4B89"/>
    <w:rsid w:val="00AF4CB6"/>
    <w:rsid w:val="00AF758B"/>
    <w:rsid w:val="00AF7A02"/>
    <w:rsid w:val="00B00C01"/>
    <w:rsid w:val="00B01256"/>
    <w:rsid w:val="00B03D22"/>
    <w:rsid w:val="00B103B5"/>
    <w:rsid w:val="00B11004"/>
    <w:rsid w:val="00B11722"/>
    <w:rsid w:val="00B17A96"/>
    <w:rsid w:val="00B17AFA"/>
    <w:rsid w:val="00B22D27"/>
    <w:rsid w:val="00B2767C"/>
    <w:rsid w:val="00B302DE"/>
    <w:rsid w:val="00B36EFD"/>
    <w:rsid w:val="00B3756F"/>
    <w:rsid w:val="00B3764E"/>
    <w:rsid w:val="00B44E6A"/>
    <w:rsid w:val="00B4505C"/>
    <w:rsid w:val="00B47EFB"/>
    <w:rsid w:val="00B50317"/>
    <w:rsid w:val="00B535A4"/>
    <w:rsid w:val="00B5595F"/>
    <w:rsid w:val="00B562CA"/>
    <w:rsid w:val="00B62E5D"/>
    <w:rsid w:val="00B636D4"/>
    <w:rsid w:val="00B65E4A"/>
    <w:rsid w:val="00B67908"/>
    <w:rsid w:val="00B70882"/>
    <w:rsid w:val="00B71911"/>
    <w:rsid w:val="00B71D8F"/>
    <w:rsid w:val="00B73AC8"/>
    <w:rsid w:val="00B73DE3"/>
    <w:rsid w:val="00B74AF0"/>
    <w:rsid w:val="00B76327"/>
    <w:rsid w:val="00B80067"/>
    <w:rsid w:val="00B80B92"/>
    <w:rsid w:val="00B82F9C"/>
    <w:rsid w:val="00B83055"/>
    <w:rsid w:val="00B8317D"/>
    <w:rsid w:val="00B840FE"/>
    <w:rsid w:val="00B84AA3"/>
    <w:rsid w:val="00B862F5"/>
    <w:rsid w:val="00B879AB"/>
    <w:rsid w:val="00B92E64"/>
    <w:rsid w:val="00B93169"/>
    <w:rsid w:val="00B94CA8"/>
    <w:rsid w:val="00B9504E"/>
    <w:rsid w:val="00B95481"/>
    <w:rsid w:val="00B95C10"/>
    <w:rsid w:val="00B9628D"/>
    <w:rsid w:val="00BA0F40"/>
    <w:rsid w:val="00BA32FD"/>
    <w:rsid w:val="00BA3E80"/>
    <w:rsid w:val="00BA4A4B"/>
    <w:rsid w:val="00BA6389"/>
    <w:rsid w:val="00BA769E"/>
    <w:rsid w:val="00BA7A06"/>
    <w:rsid w:val="00BB1223"/>
    <w:rsid w:val="00BB155C"/>
    <w:rsid w:val="00BB2F89"/>
    <w:rsid w:val="00BB6581"/>
    <w:rsid w:val="00BC08FC"/>
    <w:rsid w:val="00BC4B41"/>
    <w:rsid w:val="00BC5011"/>
    <w:rsid w:val="00BC64B9"/>
    <w:rsid w:val="00BC68F0"/>
    <w:rsid w:val="00BD070D"/>
    <w:rsid w:val="00BD19A4"/>
    <w:rsid w:val="00BD1F82"/>
    <w:rsid w:val="00BD2E7D"/>
    <w:rsid w:val="00BD6C90"/>
    <w:rsid w:val="00BF014A"/>
    <w:rsid w:val="00BF0282"/>
    <w:rsid w:val="00BF0FD6"/>
    <w:rsid w:val="00BF1B53"/>
    <w:rsid w:val="00BF28BF"/>
    <w:rsid w:val="00BF2E05"/>
    <w:rsid w:val="00BF4993"/>
    <w:rsid w:val="00BF4B32"/>
    <w:rsid w:val="00BF50EA"/>
    <w:rsid w:val="00BF5936"/>
    <w:rsid w:val="00BF6E5E"/>
    <w:rsid w:val="00C00165"/>
    <w:rsid w:val="00C003E3"/>
    <w:rsid w:val="00C00F54"/>
    <w:rsid w:val="00C01669"/>
    <w:rsid w:val="00C03718"/>
    <w:rsid w:val="00C04B90"/>
    <w:rsid w:val="00C04C51"/>
    <w:rsid w:val="00C04D61"/>
    <w:rsid w:val="00C04FCE"/>
    <w:rsid w:val="00C04FEC"/>
    <w:rsid w:val="00C1055C"/>
    <w:rsid w:val="00C108A7"/>
    <w:rsid w:val="00C11EA8"/>
    <w:rsid w:val="00C140FE"/>
    <w:rsid w:val="00C143CD"/>
    <w:rsid w:val="00C14AB6"/>
    <w:rsid w:val="00C14F70"/>
    <w:rsid w:val="00C1716C"/>
    <w:rsid w:val="00C172B7"/>
    <w:rsid w:val="00C2022D"/>
    <w:rsid w:val="00C26809"/>
    <w:rsid w:val="00C302D6"/>
    <w:rsid w:val="00C328E0"/>
    <w:rsid w:val="00C33AC5"/>
    <w:rsid w:val="00C36D80"/>
    <w:rsid w:val="00C375F8"/>
    <w:rsid w:val="00C405E5"/>
    <w:rsid w:val="00C418A8"/>
    <w:rsid w:val="00C41A22"/>
    <w:rsid w:val="00C422BC"/>
    <w:rsid w:val="00C467A1"/>
    <w:rsid w:val="00C469D3"/>
    <w:rsid w:val="00C47139"/>
    <w:rsid w:val="00C4768B"/>
    <w:rsid w:val="00C511C2"/>
    <w:rsid w:val="00C52A2A"/>
    <w:rsid w:val="00C53BFB"/>
    <w:rsid w:val="00C552F3"/>
    <w:rsid w:val="00C5532E"/>
    <w:rsid w:val="00C56F1A"/>
    <w:rsid w:val="00C60565"/>
    <w:rsid w:val="00C606CB"/>
    <w:rsid w:val="00C60D1A"/>
    <w:rsid w:val="00C610C0"/>
    <w:rsid w:val="00C61741"/>
    <w:rsid w:val="00C61DBB"/>
    <w:rsid w:val="00C63677"/>
    <w:rsid w:val="00C651FD"/>
    <w:rsid w:val="00C65824"/>
    <w:rsid w:val="00C67C0A"/>
    <w:rsid w:val="00C72E79"/>
    <w:rsid w:val="00C743A4"/>
    <w:rsid w:val="00C75AFE"/>
    <w:rsid w:val="00C76486"/>
    <w:rsid w:val="00C80436"/>
    <w:rsid w:val="00C810CC"/>
    <w:rsid w:val="00C835C0"/>
    <w:rsid w:val="00C902B8"/>
    <w:rsid w:val="00C91C9C"/>
    <w:rsid w:val="00C9225F"/>
    <w:rsid w:val="00C92557"/>
    <w:rsid w:val="00C93029"/>
    <w:rsid w:val="00C9686E"/>
    <w:rsid w:val="00CA0BF4"/>
    <w:rsid w:val="00CA412C"/>
    <w:rsid w:val="00CA4F3C"/>
    <w:rsid w:val="00CA6FE4"/>
    <w:rsid w:val="00CA7139"/>
    <w:rsid w:val="00CB7F8B"/>
    <w:rsid w:val="00CC0B6A"/>
    <w:rsid w:val="00CC2FA1"/>
    <w:rsid w:val="00CC3766"/>
    <w:rsid w:val="00CC4028"/>
    <w:rsid w:val="00CC4908"/>
    <w:rsid w:val="00CD0C0E"/>
    <w:rsid w:val="00CD1BF8"/>
    <w:rsid w:val="00CD2F07"/>
    <w:rsid w:val="00CD5390"/>
    <w:rsid w:val="00CD5C56"/>
    <w:rsid w:val="00CE03BD"/>
    <w:rsid w:val="00CE38A7"/>
    <w:rsid w:val="00CE4EA1"/>
    <w:rsid w:val="00CE5497"/>
    <w:rsid w:val="00CE580D"/>
    <w:rsid w:val="00CE78CD"/>
    <w:rsid w:val="00CF00D7"/>
    <w:rsid w:val="00CF24F3"/>
    <w:rsid w:val="00CF3988"/>
    <w:rsid w:val="00CF5D25"/>
    <w:rsid w:val="00CF60F5"/>
    <w:rsid w:val="00CF61E2"/>
    <w:rsid w:val="00CF7C31"/>
    <w:rsid w:val="00D02DE2"/>
    <w:rsid w:val="00D0538D"/>
    <w:rsid w:val="00D05B9E"/>
    <w:rsid w:val="00D10944"/>
    <w:rsid w:val="00D11AB3"/>
    <w:rsid w:val="00D11F51"/>
    <w:rsid w:val="00D140DD"/>
    <w:rsid w:val="00D176ED"/>
    <w:rsid w:val="00D17DA7"/>
    <w:rsid w:val="00D22089"/>
    <w:rsid w:val="00D22787"/>
    <w:rsid w:val="00D231E0"/>
    <w:rsid w:val="00D234EF"/>
    <w:rsid w:val="00D24A41"/>
    <w:rsid w:val="00D26A17"/>
    <w:rsid w:val="00D27499"/>
    <w:rsid w:val="00D27E88"/>
    <w:rsid w:val="00D30214"/>
    <w:rsid w:val="00D3144C"/>
    <w:rsid w:val="00D317D5"/>
    <w:rsid w:val="00D31FC8"/>
    <w:rsid w:val="00D321EF"/>
    <w:rsid w:val="00D3496C"/>
    <w:rsid w:val="00D356C4"/>
    <w:rsid w:val="00D3596B"/>
    <w:rsid w:val="00D35B52"/>
    <w:rsid w:val="00D36375"/>
    <w:rsid w:val="00D40B84"/>
    <w:rsid w:val="00D43539"/>
    <w:rsid w:val="00D456DF"/>
    <w:rsid w:val="00D47D54"/>
    <w:rsid w:val="00D47F5A"/>
    <w:rsid w:val="00D51784"/>
    <w:rsid w:val="00D52A1B"/>
    <w:rsid w:val="00D546A3"/>
    <w:rsid w:val="00D57CD2"/>
    <w:rsid w:val="00D57E5D"/>
    <w:rsid w:val="00D61CCA"/>
    <w:rsid w:val="00D6273B"/>
    <w:rsid w:val="00D679B2"/>
    <w:rsid w:val="00D70E43"/>
    <w:rsid w:val="00D7139C"/>
    <w:rsid w:val="00D81B7F"/>
    <w:rsid w:val="00D82781"/>
    <w:rsid w:val="00D83E7A"/>
    <w:rsid w:val="00D8421A"/>
    <w:rsid w:val="00D85B90"/>
    <w:rsid w:val="00D87C72"/>
    <w:rsid w:val="00D87DC1"/>
    <w:rsid w:val="00D92187"/>
    <w:rsid w:val="00D9299E"/>
    <w:rsid w:val="00D932C3"/>
    <w:rsid w:val="00D942C7"/>
    <w:rsid w:val="00D954A1"/>
    <w:rsid w:val="00D95851"/>
    <w:rsid w:val="00D96E47"/>
    <w:rsid w:val="00D97542"/>
    <w:rsid w:val="00D97BC1"/>
    <w:rsid w:val="00DA271B"/>
    <w:rsid w:val="00DA5F95"/>
    <w:rsid w:val="00DA6A69"/>
    <w:rsid w:val="00DA6C7E"/>
    <w:rsid w:val="00DB0AA9"/>
    <w:rsid w:val="00DB11ED"/>
    <w:rsid w:val="00DB1B43"/>
    <w:rsid w:val="00DB2405"/>
    <w:rsid w:val="00DB2467"/>
    <w:rsid w:val="00DB4B13"/>
    <w:rsid w:val="00DB79AF"/>
    <w:rsid w:val="00DB7DD0"/>
    <w:rsid w:val="00DC03E8"/>
    <w:rsid w:val="00DC2563"/>
    <w:rsid w:val="00DC35CF"/>
    <w:rsid w:val="00DC3F01"/>
    <w:rsid w:val="00DC6E11"/>
    <w:rsid w:val="00DC7A86"/>
    <w:rsid w:val="00DD10E9"/>
    <w:rsid w:val="00DD16EC"/>
    <w:rsid w:val="00DD1C72"/>
    <w:rsid w:val="00DD514E"/>
    <w:rsid w:val="00DD7B17"/>
    <w:rsid w:val="00DE1ED3"/>
    <w:rsid w:val="00DE2D1E"/>
    <w:rsid w:val="00DE3593"/>
    <w:rsid w:val="00DF1FAB"/>
    <w:rsid w:val="00DF50EE"/>
    <w:rsid w:val="00DF5DF6"/>
    <w:rsid w:val="00DF73B4"/>
    <w:rsid w:val="00DF7E62"/>
    <w:rsid w:val="00E0255D"/>
    <w:rsid w:val="00E0414E"/>
    <w:rsid w:val="00E04440"/>
    <w:rsid w:val="00E079DB"/>
    <w:rsid w:val="00E1130B"/>
    <w:rsid w:val="00E1188E"/>
    <w:rsid w:val="00E1246C"/>
    <w:rsid w:val="00E13402"/>
    <w:rsid w:val="00E13BEF"/>
    <w:rsid w:val="00E1429F"/>
    <w:rsid w:val="00E15D17"/>
    <w:rsid w:val="00E17577"/>
    <w:rsid w:val="00E20C78"/>
    <w:rsid w:val="00E22A35"/>
    <w:rsid w:val="00E22E38"/>
    <w:rsid w:val="00E268C0"/>
    <w:rsid w:val="00E27B61"/>
    <w:rsid w:val="00E301EB"/>
    <w:rsid w:val="00E3139A"/>
    <w:rsid w:val="00E40712"/>
    <w:rsid w:val="00E40EED"/>
    <w:rsid w:val="00E421E1"/>
    <w:rsid w:val="00E42669"/>
    <w:rsid w:val="00E450AE"/>
    <w:rsid w:val="00E45822"/>
    <w:rsid w:val="00E46CDE"/>
    <w:rsid w:val="00E50823"/>
    <w:rsid w:val="00E50E19"/>
    <w:rsid w:val="00E515EB"/>
    <w:rsid w:val="00E536C8"/>
    <w:rsid w:val="00E54E4F"/>
    <w:rsid w:val="00E5561A"/>
    <w:rsid w:val="00E5582A"/>
    <w:rsid w:val="00E638D0"/>
    <w:rsid w:val="00E64459"/>
    <w:rsid w:val="00E647A2"/>
    <w:rsid w:val="00E679B9"/>
    <w:rsid w:val="00E758DC"/>
    <w:rsid w:val="00E76C0B"/>
    <w:rsid w:val="00E81EF3"/>
    <w:rsid w:val="00E85698"/>
    <w:rsid w:val="00E91ABD"/>
    <w:rsid w:val="00E92CA5"/>
    <w:rsid w:val="00E946A2"/>
    <w:rsid w:val="00E94D14"/>
    <w:rsid w:val="00E9587C"/>
    <w:rsid w:val="00E96098"/>
    <w:rsid w:val="00E971C4"/>
    <w:rsid w:val="00E97279"/>
    <w:rsid w:val="00EA1C82"/>
    <w:rsid w:val="00EA1DA4"/>
    <w:rsid w:val="00EA2527"/>
    <w:rsid w:val="00EA2FFC"/>
    <w:rsid w:val="00EA4B68"/>
    <w:rsid w:val="00EA5B0D"/>
    <w:rsid w:val="00EA5F81"/>
    <w:rsid w:val="00EA6564"/>
    <w:rsid w:val="00EA68D4"/>
    <w:rsid w:val="00EA6ECA"/>
    <w:rsid w:val="00EB004F"/>
    <w:rsid w:val="00EB3433"/>
    <w:rsid w:val="00EB4B0D"/>
    <w:rsid w:val="00EB589C"/>
    <w:rsid w:val="00EB795C"/>
    <w:rsid w:val="00EC1D01"/>
    <w:rsid w:val="00EC372A"/>
    <w:rsid w:val="00EC4C16"/>
    <w:rsid w:val="00EC53CB"/>
    <w:rsid w:val="00EC745E"/>
    <w:rsid w:val="00ED039E"/>
    <w:rsid w:val="00ED0ECF"/>
    <w:rsid w:val="00ED5E0C"/>
    <w:rsid w:val="00ED6341"/>
    <w:rsid w:val="00EE12D0"/>
    <w:rsid w:val="00EE14CF"/>
    <w:rsid w:val="00EE3611"/>
    <w:rsid w:val="00EE3749"/>
    <w:rsid w:val="00EE4A21"/>
    <w:rsid w:val="00EE4AE9"/>
    <w:rsid w:val="00EE4F54"/>
    <w:rsid w:val="00EE5FF4"/>
    <w:rsid w:val="00EF0F99"/>
    <w:rsid w:val="00EF2D6F"/>
    <w:rsid w:val="00EF4B1A"/>
    <w:rsid w:val="00EF6E02"/>
    <w:rsid w:val="00EF74C3"/>
    <w:rsid w:val="00F0155F"/>
    <w:rsid w:val="00F0409D"/>
    <w:rsid w:val="00F046A5"/>
    <w:rsid w:val="00F05983"/>
    <w:rsid w:val="00F12D94"/>
    <w:rsid w:val="00F1518A"/>
    <w:rsid w:val="00F15F7A"/>
    <w:rsid w:val="00F169AB"/>
    <w:rsid w:val="00F16F74"/>
    <w:rsid w:val="00F203F9"/>
    <w:rsid w:val="00F20A53"/>
    <w:rsid w:val="00F222BB"/>
    <w:rsid w:val="00F2262E"/>
    <w:rsid w:val="00F22A46"/>
    <w:rsid w:val="00F24D7B"/>
    <w:rsid w:val="00F255CA"/>
    <w:rsid w:val="00F2613D"/>
    <w:rsid w:val="00F31520"/>
    <w:rsid w:val="00F33530"/>
    <w:rsid w:val="00F369B9"/>
    <w:rsid w:val="00F37442"/>
    <w:rsid w:val="00F40B48"/>
    <w:rsid w:val="00F4289B"/>
    <w:rsid w:val="00F44188"/>
    <w:rsid w:val="00F444BB"/>
    <w:rsid w:val="00F4CDCC"/>
    <w:rsid w:val="00F517C9"/>
    <w:rsid w:val="00F544D0"/>
    <w:rsid w:val="00F61535"/>
    <w:rsid w:val="00F6201F"/>
    <w:rsid w:val="00F6233C"/>
    <w:rsid w:val="00F64139"/>
    <w:rsid w:val="00F66781"/>
    <w:rsid w:val="00F67062"/>
    <w:rsid w:val="00F677AF"/>
    <w:rsid w:val="00F67CEC"/>
    <w:rsid w:val="00F70857"/>
    <w:rsid w:val="00F7192B"/>
    <w:rsid w:val="00F73946"/>
    <w:rsid w:val="00F73F9B"/>
    <w:rsid w:val="00F77A8D"/>
    <w:rsid w:val="00F81560"/>
    <w:rsid w:val="00F86A2A"/>
    <w:rsid w:val="00F901AD"/>
    <w:rsid w:val="00F9143B"/>
    <w:rsid w:val="00F921D5"/>
    <w:rsid w:val="00F936FB"/>
    <w:rsid w:val="00F943AA"/>
    <w:rsid w:val="00F94956"/>
    <w:rsid w:val="00F94BEC"/>
    <w:rsid w:val="00F958FD"/>
    <w:rsid w:val="00F97936"/>
    <w:rsid w:val="00FA0998"/>
    <w:rsid w:val="00FA0A21"/>
    <w:rsid w:val="00FA4E2E"/>
    <w:rsid w:val="00FA65F9"/>
    <w:rsid w:val="00FA79FF"/>
    <w:rsid w:val="00FB1DB3"/>
    <w:rsid w:val="00FB26EF"/>
    <w:rsid w:val="00FB5347"/>
    <w:rsid w:val="00FC0F0C"/>
    <w:rsid w:val="00FC70DD"/>
    <w:rsid w:val="00FC7F4E"/>
    <w:rsid w:val="00FD0534"/>
    <w:rsid w:val="00FD16B0"/>
    <w:rsid w:val="00FD1E74"/>
    <w:rsid w:val="00FD3036"/>
    <w:rsid w:val="00FD33E8"/>
    <w:rsid w:val="00FD6590"/>
    <w:rsid w:val="00FD6DBA"/>
    <w:rsid w:val="00FD793D"/>
    <w:rsid w:val="00FD7F13"/>
    <w:rsid w:val="00FE0125"/>
    <w:rsid w:val="00FE0FFB"/>
    <w:rsid w:val="00FE2FC1"/>
    <w:rsid w:val="00FE75A6"/>
    <w:rsid w:val="00FF00F9"/>
    <w:rsid w:val="00FF49FB"/>
    <w:rsid w:val="00FF5D32"/>
    <w:rsid w:val="00FF5F42"/>
    <w:rsid w:val="00FF629C"/>
    <w:rsid w:val="010624C4"/>
    <w:rsid w:val="0149863C"/>
    <w:rsid w:val="01ADCBCE"/>
    <w:rsid w:val="0313530E"/>
    <w:rsid w:val="0315A712"/>
    <w:rsid w:val="032276F7"/>
    <w:rsid w:val="03BC39CD"/>
    <w:rsid w:val="04D9C6BB"/>
    <w:rsid w:val="04EE9054"/>
    <w:rsid w:val="04F6BA15"/>
    <w:rsid w:val="058E6437"/>
    <w:rsid w:val="062A60AA"/>
    <w:rsid w:val="0646B199"/>
    <w:rsid w:val="066DFCDC"/>
    <w:rsid w:val="0696FD41"/>
    <w:rsid w:val="07216860"/>
    <w:rsid w:val="072D5A5B"/>
    <w:rsid w:val="072F3064"/>
    <w:rsid w:val="074DCC56"/>
    <w:rsid w:val="07650697"/>
    <w:rsid w:val="079F4BBF"/>
    <w:rsid w:val="081C9A60"/>
    <w:rsid w:val="0859BAE4"/>
    <w:rsid w:val="086740C5"/>
    <w:rsid w:val="089A9452"/>
    <w:rsid w:val="08C71253"/>
    <w:rsid w:val="090FE2DC"/>
    <w:rsid w:val="0B0EB40F"/>
    <w:rsid w:val="0B119FAF"/>
    <w:rsid w:val="0B525CA3"/>
    <w:rsid w:val="0BBD0906"/>
    <w:rsid w:val="0C0F110E"/>
    <w:rsid w:val="0CA65CB3"/>
    <w:rsid w:val="0CC35CB5"/>
    <w:rsid w:val="0D080BA9"/>
    <w:rsid w:val="0D49E098"/>
    <w:rsid w:val="0EB90389"/>
    <w:rsid w:val="0EBCEF2B"/>
    <w:rsid w:val="0ECC6DE4"/>
    <w:rsid w:val="0EEBD799"/>
    <w:rsid w:val="0F89F90C"/>
    <w:rsid w:val="0FECC25C"/>
    <w:rsid w:val="107E107F"/>
    <w:rsid w:val="1081757F"/>
    <w:rsid w:val="10B67AA1"/>
    <w:rsid w:val="1115F439"/>
    <w:rsid w:val="11997D2F"/>
    <w:rsid w:val="11B14669"/>
    <w:rsid w:val="1202427F"/>
    <w:rsid w:val="12ABE960"/>
    <w:rsid w:val="12B98EA9"/>
    <w:rsid w:val="1349023F"/>
    <w:rsid w:val="1384C569"/>
    <w:rsid w:val="13986288"/>
    <w:rsid w:val="13B1610C"/>
    <w:rsid w:val="1428E2ED"/>
    <w:rsid w:val="146D8CF6"/>
    <w:rsid w:val="14AE3B20"/>
    <w:rsid w:val="14E5ABE7"/>
    <w:rsid w:val="1517BE8E"/>
    <w:rsid w:val="15B6C429"/>
    <w:rsid w:val="1666A266"/>
    <w:rsid w:val="1742588B"/>
    <w:rsid w:val="1748F190"/>
    <w:rsid w:val="175992B9"/>
    <w:rsid w:val="1797DABF"/>
    <w:rsid w:val="180AA1C2"/>
    <w:rsid w:val="181A3859"/>
    <w:rsid w:val="183EC054"/>
    <w:rsid w:val="1868DE78"/>
    <w:rsid w:val="187C871B"/>
    <w:rsid w:val="1915651D"/>
    <w:rsid w:val="191F7F25"/>
    <w:rsid w:val="192813C9"/>
    <w:rsid w:val="1A26881F"/>
    <w:rsid w:val="1A363E64"/>
    <w:rsid w:val="1A668785"/>
    <w:rsid w:val="1AC2806F"/>
    <w:rsid w:val="1B31FFC8"/>
    <w:rsid w:val="1BAAB6FA"/>
    <w:rsid w:val="1BCCCFCA"/>
    <w:rsid w:val="1BFD05BB"/>
    <w:rsid w:val="1C6872AE"/>
    <w:rsid w:val="1C9F9132"/>
    <w:rsid w:val="1CB43932"/>
    <w:rsid w:val="1E0F51C2"/>
    <w:rsid w:val="1E1E3DF8"/>
    <w:rsid w:val="1EDBBE1F"/>
    <w:rsid w:val="1F0720AF"/>
    <w:rsid w:val="1F150647"/>
    <w:rsid w:val="200A38AF"/>
    <w:rsid w:val="205AA9AC"/>
    <w:rsid w:val="20CD7D41"/>
    <w:rsid w:val="21458EC0"/>
    <w:rsid w:val="21C58391"/>
    <w:rsid w:val="2225A886"/>
    <w:rsid w:val="226962AF"/>
    <w:rsid w:val="226E596C"/>
    <w:rsid w:val="22797860"/>
    <w:rsid w:val="227E1B18"/>
    <w:rsid w:val="2288340D"/>
    <w:rsid w:val="22F8BCEB"/>
    <w:rsid w:val="240010FB"/>
    <w:rsid w:val="24A41061"/>
    <w:rsid w:val="257EE607"/>
    <w:rsid w:val="258A5731"/>
    <w:rsid w:val="25A716F3"/>
    <w:rsid w:val="25F2B6DA"/>
    <w:rsid w:val="260EC7CF"/>
    <w:rsid w:val="2619F53D"/>
    <w:rsid w:val="267DB09B"/>
    <w:rsid w:val="26C46F5D"/>
    <w:rsid w:val="26DD915F"/>
    <w:rsid w:val="27249DB9"/>
    <w:rsid w:val="273BBFDF"/>
    <w:rsid w:val="2766DF70"/>
    <w:rsid w:val="27922C33"/>
    <w:rsid w:val="27EF95C9"/>
    <w:rsid w:val="284C2315"/>
    <w:rsid w:val="2897D029"/>
    <w:rsid w:val="290F7DA7"/>
    <w:rsid w:val="2932BAAD"/>
    <w:rsid w:val="296709FD"/>
    <w:rsid w:val="298643D1"/>
    <w:rsid w:val="2986E3A0"/>
    <w:rsid w:val="29BC3B12"/>
    <w:rsid w:val="29F9FDD1"/>
    <w:rsid w:val="2A96B6F3"/>
    <w:rsid w:val="2AF2CD0D"/>
    <w:rsid w:val="2B2827B3"/>
    <w:rsid w:val="2B9045AF"/>
    <w:rsid w:val="2BF24FC8"/>
    <w:rsid w:val="2C649EED"/>
    <w:rsid w:val="2C6F9532"/>
    <w:rsid w:val="2C8CD593"/>
    <w:rsid w:val="2D2814E0"/>
    <w:rsid w:val="2D423B9B"/>
    <w:rsid w:val="2D5BD0AE"/>
    <w:rsid w:val="2D8D3DDD"/>
    <w:rsid w:val="2DA6853F"/>
    <w:rsid w:val="2EAAF9F8"/>
    <w:rsid w:val="2F7FFB06"/>
    <w:rsid w:val="30EA288C"/>
    <w:rsid w:val="30FA6E42"/>
    <w:rsid w:val="3173DB6B"/>
    <w:rsid w:val="319543D9"/>
    <w:rsid w:val="31CC6B17"/>
    <w:rsid w:val="31DCB851"/>
    <w:rsid w:val="32395005"/>
    <w:rsid w:val="32542847"/>
    <w:rsid w:val="32C22ED8"/>
    <w:rsid w:val="32D9484B"/>
    <w:rsid w:val="3311B364"/>
    <w:rsid w:val="333AA648"/>
    <w:rsid w:val="3371DB76"/>
    <w:rsid w:val="34438B61"/>
    <w:rsid w:val="36FB0BE0"/>
    <w:rsid w:val="371B02F0"/>
    <w:rsid w:val="372818DA"/>
    <w:rsid w:val="37580D50"/>
    <w:rsid w:val="3767F01E"/>
    <w:rsid w:val="3848715A"/>
    <w:rsid w:val="385D69BB"/>
    <w:rsid w:val="3879C639"/>
    <w:rsid w:val="389A3B5D"/>
    <w:rsid w:val="38BAD693"/>
    <w:rsid w:val="3951A62D"/>
    <w:rsid w:val="39EEFE62"/>
    <w:rsid w:val="3A07C1C1"/>
    <w:rsid w:val="3A530DA9"/>
    <w:rsid w:val="3B09FBEC"/>
    <w:rsid w:val="3B0EC81A"/>
    <w:rsid w:val="3B0FEDBB"/>
    <w:rsid w:val="3B9E446A"/>
    <w:rsid w:val="3BA9B85A"/>
    <w:rsid w:val="3BB8E75E"/>
    <w:rsid w:val="3C70E5CE"/>
    <w:rsid w:val="3CA46B3F"/>
    <w:rsid w:val="3CF74DBC"/>
    <w:rsid w:val="3CF9E1D2"/>
    <w:rsid w:val="3D1D03AD"/>
    <w:rsid w:val="3DEAA7E2"/>
    <w:rsid w:val="3E3F3856"/>
    <w:rsid w:val="3EAA8E58"/>
    <w:rsid w:val="3EC5160E"/>
    <w:rsid w:val="3FB4E754"/>
    <w:rsid w:val="3FE64261"/>
    <w:rsid w:val="4026911E"/>
    <w:rsid w:val="40DD08DA"/>
    <w:rsid w:val="4117ACBF"/>
    <w:rsid w:val="41BD6923"/>
    <w:rsid w:val="41DA1BAC"/>
    <w:rsid w:val="41F95D0A"/>
    <w:rsid w:val="4208894F"/>
    <w:rsid w:val="42450BE1"/>
    <w:rsid w:val="42C6E9C8"/>
    <w:rsid w:val="42D6ADB3"/>
    <w:rsid w:val="431416CD"/>
    <w:rsid w:val="431F405A"/>
    <w:rsid w:val="4474A27A"/>
    <w:rsid w:val="44B01283"/>
    <w:rsid w:val="45500FFD"/>
    <w:rsid w:val="4581936E"/>
    <w:rsid w:val="45A19E22"/>
    <w:rsid w:val="45E0C88D"/>
    <w:rsid w:val="45FA6D06"/>
    <w:rsid w:val="4733DEF4"/>
    <w:rsid w:val="48CCDC4F"/>
    <w:rsid w:val="48F99651"/>
    <w:rsid w:val="49110163"/>
    <w:rsid w:val="491C08B8"/>
    <w:rsid w:val="4934365D"/>
    <w:rsid w:val="4A63CD07"/>
    <w:rsid w:val="4AA21F4C"/>
    <w:rsid w:val="4B923933"/>
    <w:rsid w:val="4C5566B0"/>
    <w:rsid w:val="4CF639A9"/>
    <w:rsid w:val="4D0C18CA"/>
    <w:rsid w:val="4D5DF50E"/>
    <w:rsid w:val="4D73DDE3"/>
    <w:rsid w:val="4DBCA7DA"/>
    <w:rsid w:val="4DEEA7B0"/>
    <w:rsid w:val="4E9639F3"/>
    <w:rsid w:val="4F0648E8"/>
    <w:rsid w:val="4F5B05C6"/>
    <w:rsid w:val="500898F9"/>
    <w:rsid w:val="502A41AC"/>
    <w:rsid w:val="5033A1DF"/>
    <w:rsid w:val="5094DAD6"/>
    <w:rsid w:val="50C05966"/>
    <w:rsid w:val="516E4677"/>
    <w:rsid w:val="51790C43"/>
    <w:rsid w:val="51AB304D"/>
    <w:rsid w:val="51BAD9BF"/>
    <w:rsid w:val="525E3651"/>
    <w:rsid w:val="52849DE2"/>
    <w:rsid w:val="52A071E0"/>
    <w:rsid w:val="52B39A1E"/>
    <w:rsid w:val="53416265"/>
    <w:rsid w:val="543911DA"/>
    <w:rsid w:val="54895E4E"/>
    <w:rsid w:val="54947970"/>
    <w:rsid w:val="54A6FE35"/>
    <w:rsid w:val="54E80143"/>
    <w:rsid w:val="552BB60D"/>
    <w:rsid w:val="55ADD2A7"/>
    <w:rsid w:val="562AE72F"/>
    <w:rsid w:val="56418632"/>
    <w:rsid w:val="56DE8848"/>
    <w:rsid w:val="5712178D"/>
    <w:rsid w:val="5766F023"/>
    <w:rsid w:val="577BB439"/>
    <w:rsid w:val="57C98986"/>
    <w:rsid w:val="58287D98"/>
    <w:rsid w:val="588B502A"/>
    <w:rsid w:val="58A89A16"/>
    <w:rsid w:val="59A7D57F"/>
    <w:rsid w:val="59D5E6DD"/>
    <w:rsid w:val="5A31FAD1"/>
    <w:rsid w:val="5A352E8C"/>
    <w:rsid w:val="5A600D54"/>
    <w:rsid w:val="5AD527B6"/>
    <w:rsid w:val="5B1B8E93"/>
    <w:rsid w:val="5B635BE5"/>
    <w:rsid w:val="5BA2B760"/>
    <w:rsid w:val="5BCFCBC6"/>
    <w:rsid w:val="5C055A8C"/>
    <w:rsid w:val="5C1DEACC"/>
    <w:rsid w:val="5CF8DD49"/>
    <w:rsid w:val="5D42FE60"/>
    <w:rsid w:val="5DF1CBB1"/>
    <w:rsid w:val="5E9EB203"/>
    <w:rsid w:val="5F3FF67E"/>
    <w:rsid w:val="5F642EF7"/>
    <w:rsid w:val="5F9395FA"/>
    <w:rsid w:val="5FB17BB2"/>
    <w:rsid w:val="5FB32A62"/>
    <w:rsid w:val="5FCFD9C8"/>
    <w:rsid w:val="600FB7F4"/>
    <w:rsid w:val="6064D3A9"/>
    <w:rsid w:val="60A4A80F"/>
    <w:rsid w:val="60A62429"/>
    <w:rsid w:val="60D5A453"/>
    <w:rsid w:val="60DE71F0"/>
    <w:rsid w:val="6103FA17"/>
    <w:rsid w:val="6107BB7D"/>
    <w:rsid w:val="617B8EBA"/>
    <w:rsid w:val="61A2B661"/>
    <w:rsid w:val="6254097B"/>
    <w:rsid w:val="62CF4639"/>
    <w:rsid w:val="62E82769"/>
    <w:rsid w:val="631CA9A9"/>
    <w:rsid w:val="640DFBB4"/>
    <w:rsid w:val="646DE609"/>
    <w:rsid w:val="6484B0EC"/>
    <w:rsid w:val="648F0454"/>
    <w:rsid w:val="64E75037"/>
    <w:rsid w:val="6523A153"/>
    <w:rsid w:val="65267E7F"/>
    <w:rsid w:val="6539660A"/>
    <w:rsid w:val="653CD7E1"/>
    <w:rsid w:val="654310C3"/>
    <w:rsid w:val="6579D7B9"/>
    <w:rsid w:val="6595C8A5"/>
    <w:rsid w:val="65995F31"/>
    <w:rsid w:val="65C8BA6D"/>
    <w:rsid w:val="65E922DE"/>
    <w:rsid w:val="6644046E"/>
    <w:rsid w:val="66833857"/>
    <w:rsid w:val="669567EA"/>
    <w:rsid w:val="67627C52"/>
    <w:rsid w:val="6813ECF6"/>
    <w:rsid w:val="685FFBF3"/>
    <w:rsid w:val="68FC52B3"/>
    <w:rsid w:val="69321237"/>
    <w:rsid w:val="69CD4FA2"/>
    <w:rsid w:val="69ED2FAB"/>
    <w:rsid w:val="6A20B6A9"/>
    <w:rsid w:val="6AD090C4"/>
    <w:rsid w:val="6AFBA170"/>
    <w:rsid w:val="6B07641F"/>
    <w:rsid w:val="6B1582F5"/>
    <w:rsid w:val="6B82338D"/>
    <w:rsid w:val="6C3C0C83"/>
    <w:rsid w:val="6D1B2F3C"/>
    <w:rsid w:val="6D1D85F5"/>
    <w:rsid w:val="6D43D912"/>
    <w:rsid w:val="6D63AE29"/>
    <w:rsid w:val="6D6572B8"/>
    <w:rsid w:val="6D9D676E"/>
    <w:rsid w:val="6DD959C6"/>
    <w:rsid w:val="6E52FE1F"/>
    <w:rsid w:val="6E72C619"/>
    <w:rsid w:val="6E9AA0B1"/>
    <w:rsid w:val="6ED1B732"/>
    <w:rsid w:val="6F4A5EA9"/>
    <w:rsid w:val="6F6324BC"/>
    <w:rsid w:val="6F9632DE"/>
    <w:rsid w:val="6FFB8273"/>
    <w:rsid w:val="70A18861"/>
    <w:rsid w:val="70B3FF93"/>
    <w:rsid w:val="70D88F0C"/>
    <w:rsid w:val="710B6DFD"/>
    <w:rsid w:val="7116FC00"/>
    <w:rsid w:val="712F6CDF"/>
    <w:rsid w:val="71AA1157"/>
    <w:rsid w:val="71ABDC24"/>
    <w:rsid w:val="71FC3F33"/>
    <w:rsid w:val="7255133E"/>
    <w:rsid w:val="726DC7C8"/>
    <w:rsid w:val="72FFC217"/>
    <w:rsid w:val="739533FA"/>
    <w:rsid w:val="746E26BE"/>
    <w:rsid w:val="7472B6F9"/>
    <w:rsid w:val="75312AA3"/>
    <w:rsid w:val="75389D9A"/>
    <w:rsid w:val="7583197F"/>
    <w:rsid w:val="7599DBAA"/>
    <w:rsid w:val="75B2C7CF"/>
    <w:rsid w:val="75F795E7"/>
    <w:rsid w:val="76CE6550"/>
    <w:rsid w:val="770B9B67"/>
    <w:rsid w:val="778F6BCD"/>
    <w:rsid w:val="780EDE69"/>
    <w:rsid w:val="7826EF0F"/>
    <w:rsid w:val="793F63D7"/>
    <w:rsid w:val="797D1AB3"/>
    <w:rsid w:val="7981D38E"/>
    <w:rsid w:val="798383D5"/>
    <w:rsid w:val="7984DF12"/>
    <w:rsid w:val="7A05D400"/>
    <w:rsid w:val="7B9944D3"/>
    <w:rsid w:val="7BD7D562"/>
    <w:rsid w:val="7C199752"/>
    <w:rsid w:val="7C2F281D"/>
    <w:rsid w:val="7C3FD97A"/>
    <w:rsid w:val="7C42930A"/>
    <w:rsid w:val="7C435E20"/>
    <w:rsid w:val="7C61BEF3"/>
    <w:rsid w:val="7CB6E9DD"/>
    <w:rsid w:val="7D1B2DCB"/>
    <w:rsid w:val="7EFBA740"/>
    <w:rsid w:val="7FFE9904"/>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8B5A2"/>
  <w15:chartTrackingRefBased/>
  <w15:docId w15:val="{AAACD210-BBC1-4CE3-8FDB-36F0E025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E3506"/>
    <w:pPr>
      <w:spacing w:after="200" w:line="276" w:lineRule="auto"/>
    </w:pPr>
    <w:rPr>
      <w:sz w:val="22"/>
      <w:szCs w:val="22"/>
      <w:lang w:val="es-ES" w:eastAsia="en-US"/>
    </w:rPr>
  </w:style>
  <w:style w:type="paragraph" w:styleId="Ttulo1">
    <w:name w:val="heading 1"/>
    <w:basedOn w:val="Normal"/>
    <w:next w:val="Normal"/>
    <w:link w:val="Ttulo1Car"/>
    <w:uiPriority w:val="9"/>
    <w:qFormat/>
    <w:rsid w:val="005E4784"/>
    <w:pPr>
      <w:keepNext/>
      <w:spacing w:before="240" w:after="60" w:line="240" w:lineRule="auto"/>
      <w:outlineLvl w:val="0"/>
    </w:pPr>
    <w:rPr>
      <w:rFonts w:ascii="Cambria" w:eastAsia="Times New Roman" w:hAnsi="Cambria"/>
      <w:b/>
      <w:bCs/>
      <w:kern w:val="32"/>
      <w:sz w:val="32"/>
      <w:szCs w:val="32"/>
      <w:lang w:val="es-CO" w:eastAsia="es-ES"/>
    </w:rPr>
  </w:style>
  <w:style w:type="paragraph" w:styleId="Ttulo3">
    <w:name w:val="heading 3"/>
    <w:basedOn w:val="Normal"/>
    <w:next w:val="Normal"/>
    <w:uiPriority w:val="9"/>
    <w:unhideWhenUsed/>
    <w:qFormat/>
    <w:rsid w:val="7583197F"/>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styleId="Refdenotaalpie">
    <w:name w:val="footnote reference"/>
    <w:uiPriority w:val="99"/>
    <w:semiHidden/>
    <w:unhideWhenUsed/>
    <w:rsid w:val="00F20A53"/>
    <w:rPr>
      <w:vertAlign w:val="superscript"/>
    </w:rPr>
  </w:style>
  <w:style w:type="paragraph" w:styleId="Prrafodelista">
    <w:name w:val="List Paragraph"/>
    <w:basedOn w:val="Normal"/>
    <w:uiPriority w:val="34"/>
    <w:qFormat/>
    <w:rsid w:val="00F20A53"/>
    <w:pPr>
      <w:ind w:left="720"/>
      <w:contextualSpacing/>
    </w:pPr>
  </w:style>
  <w:style w:type="paragraph" w:styleId="Textonotapie">
    <w:name w:val="footnote text"/>
    <w:basedOn w:val="Normal"/>
    <w:link w:val="TextonotapieCar"/>
    <w:uiPriority w:val="99"/>
    <w:semiHidden/>
    <w:unhideWhenUsed/>
    <w:rsid w:val="00DA5F9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5F95"/>
    <w:rPr>
      <w:lang w:val="es-ES" w:eastAsia="en-US"/>
    </w:rPr>
  </w:style>
  <w:style w:type="character" w:customStyle="1" w:styleId="Ttulo1Car">
    <w:name w:val="Título 1 Car"/>
    <w:basedOn w:val="Fuentedeprrafopredeter"/>
    <w:link w:val="Ttulo1"/>
    <w:uiPriority w:val="9"/>
    <w:rsid w:val="005E4784"/>
    <w:rPr>
      <w:rFonts w:ascii="Cambria" w:eastAsia="Times New Roman" w:hAnsi="Cambria"/>
      <w:b/>
      <w:bCs/>
      <w:kern w:val="32"/>
      <w:sz w:val="32"/>
      <w:szCs w:val="32"/>
      <w:lang w:eastAsia="es-ES"/>
    </w:rPr>
  </w:style>
  <w:style w:type="character" w:styleId="Refdecomentario">
    <w:name w:val="annotation reference"/>
    <w:basedOn w:val="Fuentedeprrafopredeter"/>
    <w:uiPriority w:val="99"/>
    <w:semiHidden/>
    <w:unhideWhenUsed/>
    <w:rsid w:val="00CD5C56"/>
    <w:rPr>
      <w:sz w:val="16"/>
      <w:szCs w:val="16"/>
    </w:rPr>
  </w:style>
  <w:style w:type="paragraph" w:styleId="Textocomentario">
    <w:name w:val="annotation text"/>
    <w:basedOn w:val="Normal"/>
    <w:link w:val="TextocomentarioCar"/>
    <w:uiPriority w:val="99"/>
    <w:unhideWhenUsed/>
    <w:rsid w:val="00CD5C56"/>
    <w:pPr>
      <w:spacing w:line="240" w:lineRule="auto"/>
    </w:pPr>
    <w:rPr>
      <w:sz w:val="20"/>
      <w:szCs w:val="20"/>
    </w:rPr>
  </w:style>
  <w:style w:type="character" w:customStyle="1" w:styleId="TextocomentarioCar">
    <w:name w:val="Texto comentario Car"/>
    <w:basedOn w:val="Fuentedeprrafopredeter"/>
    <w:link w:val="Textocomentario"/>
    <w:uiPriority w:val="99"/>
    <w:rsid w:val="00CD5C56"/>
    <w:rPr>
      <w:lang w:val="es-ES" w:eastAsia="en-US"/>
    </w:rPr>
  </w:style>
  <w:style w:type="paragraph" w:styleId="Asuntodelcomentario">
    <w:name w:val="annotation subject"/>
    <w:basedOn w:val="Textocomentario"/>
    <w:next w:val="Textocomentario"/>
    <w:link w:val="AsuntodelcomentarioCar"/>
    <w:uiPriority w:val="99"/>
    <w:semiHidden/>
    <w:unhideWhenUsed/>
    <w:rsid w:val="00CD5C56"/>
    <w:rPr>
      <w:b/>
      <w:bCs/>
    </w:rPr>
  </w:style>
  <w:style w:type="character" w:customStyle="1" w:styleId="AsuntodelcomentarioCar">
    <w:name w:val="Asunto del comentario Car"/>
    <w:basedOn w:val="TextocomentarioCar"/>
    <w:link w:val="Asuntodelcomentario"/>
    <w:uiPriority w:val="99"/>
    <w:semiHidden/>
    <w:rsid w:val="00CD5C56"/>
    <w:rPr>
      <w:b/>
      <w:bCs/>
      <w:lang w:val="es-ES" w:eastAsia="en-US"/>
    </w:rPr>
  </w:style>
  <w:style w:type="character" w:styleId="Mencinsinresolver">
    <w:name w:val="Unresolved Mention"/>
    <w:basedOn w:val="Fuentedeprrafopredeter"/>
    <w:uiPriority w:val="99"/>
    <w:rsid w:val="00490A26"/>
    <w:rPr>
      <w:color w:val="605E5C"/>
      <w:shd w:val="clear" w:color="auto" w:fill="E1DFDD"/>
    </w:rPr>
  </w:style>
  <w:style w:type="paragraph" w:styleId="Revisin">
    <w:name w:val="Revision"/>
    <w:hidden/>
    <w:uiPriority w:val="99"/>
    <w:semiHidden/>
    <w:rsid w:val="00690A15"/>
    <w:rPr>
      <w:sz w:val="22"/>
      <w:szCs w:val="22"/>
      <w:lang w:val="es-ES" w:eastAsia="en-US"/>
    </w:rPr>
  </w:style>
  <w:style w:type="paragraph" w:styleId="Textoindependiente">
    <w:name w:val="Body Text"/>
    <w:basedOn w:val="Normal"/>
    <w:link w:val="TextoindependienteCar"/>
    <w:uiPriority w:val="1"/>
    <w:qFormat/>
    <w:rsid w:val="00EE3611"/>
    <w:pPr>
      <w:widowControl w:val="0"/>
      <w:autoSpaceDE w:val="0"/>
      <w:autoSpaceDN w:val="0"/>
      <w:spacing w:after="0" w:line="240" w:lineRule="auto"/>
    </w:pPr>
    <w:rPr>
      <w:rFonts w:ascii="Arial" w:eastAsia="Arial" w:hAnsi="Arial" w:cs="Arial"/>
      <w:lang w:eastAsia="es-ES" w:bidi="es-ES"/>
    </w:rPr>
  </w:style>
  <w:style w:type="character" w:customStyle="1" w:styleId="TextoindependienteCar">
    <w:name w:val="Texto independiente Car"/>
    <w:basedOn w:val="Fuentedeprrafopredeter"/>
    <w:link w:val="Textoindependiente"/>
    <w:uiPriority w:val="1"/>
    <w:rsid w:val="00EE3611"/>
    <w:rPr>
      <w:rFonts w:ascii="Arial" w:eastAsia="Arial" w:hAnsi="Arial" w:cs="Arial"/>
      <w:sz w:val="22"/>
      <w:szCs w:val="22"/>
      <w:lang w:val="es-ES" w:eastAsia="es-ES" w:bidi="es-ES"/>
    </w:rPr>
  </w:style>
  <w:style w:type="character" w:styleId="Hipervnculovisitado">
    <w:name w:val="FollowedHyperlink"/>
    <w:basedOn w:val="Fuentedeprrafopredeter"/>
    <w:uiPriority w:val="99"/>
    <w:semiHidden/>
    <w:unhideWhenUsed/>
    <w:rsid w:val="004765C8"/>
    <w:rPr>
      <w:color w:val="954F72" w:themeColor="followedHyperlink"/>
      <w:u w:val="single"/>
    </w:rPr>
  </w:style>
  <w:style w:type="paragraph" w:customStyle="1" w:styleId="pdq2pgselectionanchorcontainer">
    <w:name w:val="pdq2pg_selectionanchorcontainer"/>
    <w:basedOn w:val="Normal"/>
    <w:rsid w:val="006F7119"/>
    <w:pPr>
      <w:spacing w:before="100" w:beforeAutospacing="1" w:after="100" w:afterAutospacing="1" w:line="240" w:lineRule="auto"/>
    </w:pPr>
    <w:rPr>
      <w:rFonts w:ascii="Times New Roman" w:eastAsia="Times New Roman" w:hAnsi="Times New Roman"/>
      <w:sz w:val="24"/>
      <w:szCs w:val="24"/>
      <w:lang w:val="es-CO" w:eastAsia="es-MX"/>
    </w:rPr>
  </w:style>
  <w:style w:type="paragraph" w:styleId="NormalWeb">
    <w:name w:val="Normal (Web)"/>
    <w:basedOn w:val="Normal"/>
    <w:uiPriority w:val="99"/>
    <w:semiHidden/>
    <w:unhideWhenUsed/>
    <w:rsid w:val="006F7119"/>
    <w:pPr>
      <w:spacing w:before="100" w:beforeAutospacing="1" w:after="100" w:afterAutospacing="1" w:line="240" w:lineRule="auto"/>
    </w:pPr>
    <w:rPr>
      <w:rFonts w:ascii="Times New Roman" w:eastAsia="Times New Roman" w:hAnsi="Times New Roman"/>
      <w:sz w:val="24"/>
      <w:szCs w:val="24"/>
      <w:lang w:val="es-CO" w:eastAsia="es-MX"/>
    </w:rPr>
  </w:style>
  <w:style w:type="character" w:styleId="Fuerte">
    <w:name w:val="Strong"/>
    <w:basedOn w:val="Fuentedeprrafopredeter"/>
    <w:uiPriority w:val="22"/>
    <w:qFormat/>
    <w:rsid w:val="00840B43"/>
    <w:rPr>
      <w:b/>
      <w:bCs/>
    </w:rPr>
  </w:style>
  <w:style w:type="table" w:styleId="Tablaconcuadrculaclara">
    <w:name w:val="Grid Table Light"/>
    <w:basedOn w:val="Tablanormal"/>
    <w:uiPriority w:val="40"/>
    <w:rsid w:val="002907C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inespaciado1">
    <w:name w:val="Sin espaciado1"/>
    <w:qFormat/>
    <w:rsid w:val="007F68C1"/>
    <w:rPr>
      <w:rFonts w:eastAsia="Times New Roman"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183">
      <w:bodyDiv w:val="1"/>
      <w:marLeft w:val="0"/>
      <w:marRight w:val="0"/>
      <w:marTop w:val="0"/>
      <w:marBottom w:val="0"/>
      <w:divBdr>
        <w:top w:val="none" w:sz="0" w:space="0" w:color="auto"/>
        <w:left w:val="none" w:sz="0" w:space="0" w:color="auto"/>
        <w:bottom w:val="none" w:sz="0" w:space="0" w:color="auto"/>
        <w:right w:val="none" w:sz="0" w:space="0" w:color="auto"/>
      </w:divBdr>
    </w:div>
    <w:div w:id="32923110">
      <w:bodyDiv w:val="1"/>
      <w:marLeft w:val="0"/>
      <w:marRight w:val="0"/>
      <w:marTop w:val="0"/>
      <w:marBottom w:val="0"/>
      <w:divBdr>
        <w:top w:val="none" w:sz="0" w:space="0" w:color="auto"/>
        <w:left w:val="none" w:sz="0" w:space="0" w:color="auto"/>
        <w:bottom w:val="none" w:sz="0" w:space="0" w:color="auto"/>
        <w:right w:val="none" w:sz="0" w:space="0" w:color="auto"/>
      </w:divBdr>
    </w:div>
    <w:div w:id="86389363">
      <w:bodyDiv w:val="1"/>
      <w:marLeft w:val="0"/>
      <w:marRight w:val="0"/>
      <w:marTop w:val="0"/>
      <w:marBottom w:val="0"/>
      <w:divBdr>
        <w:top w:val="none" w:sz="0" w:space="0" w:color="auto"/>
        <w:left w:val="none" w:sz="0" w:space="0" w:color="auto"/>
        <w:bottom w:val="none" w:sz="0" w:space="0" w:color="auto"/>
        <w:right w:val="none" w:sz="0" w:space="0" w:color="auto"/>
      </w:divBdr>
    </w:div>
    <w:div w:id="104691797">
      <w:bodyDiv w:val="1"/>
      <w:marLeft w:val="0"/>
      <w:marRight w:val="0"/>
      <w:marTop w:val="0"/>
      <w:marBottom w:val="0"/>
      <w:divBdr>
        <w:top w:val="none" w:sz="0" w:space="0" w:color="auto"/>
        <w:left w:val="none" w:sz="0" w:space="0" w:color="auto"/>
        <w:bottom w:val="none" w:sz="0" w:space="0" w:color="auto"/>
        <w:right w:val="none" w:sz="0" w:space="0" w:color="auto"/>
      </w:divBdr>
    </w:div>
    <w:div w:id="143471330">
      <w:bodyDiv w:val="1"/>
      <w:marLeft w:val="0"/>
      <w:marRight w:val="0"/>
      <w:marTop w:val="0"/>
      <w:marBottom w:val="0"/>
      <w:divBdr>
        <w:top w:val="none" w:sz="0" w:space="0" w:color="auto"/>
        <w:left w:val="none" w:sz="0" w:space="0" w:color="auto"/>
        <w:bottom w:val="none" w:sz="0" w:space="0" w:color="auto"/>
        <w:right w:val="none" w:sz="0" w:space="0" w:color="auto"/>
      </w:divBdr>
    </w:div>
    <w:div w:id="157615761">
      <w:bodyDiv w:val="1"/>
      <w:marLeft w:val="0"/>
      <w:marRight w:val="0"/>
      <w:marTop w:val="0"/>
      <w:marBottom w:val="0"/>
      <w:divBdr>
        <w:top w:val="none" w:sz="0" w:space="0" w:color="auto"/>
        <w:left w:val="none" w:sz="0" w:space="0" w:color="auto"/>
        <w:bottom w:val="none" w:sz="0" w:space="0" w:color="auto"/>
        <w:right w:val="none" w:sz="0" w:space="0" w:color="auto"/>
      </w:divBdr>
    </w:div>
    <w:div w:id="178542649">
      <w:bodyDiv w:val="1"/>
      <w:marLeft w:val="0"/>
      <w:marRight w:val="0"/>
      <w:marTop w:val="0"/>
      <w:marBottom w:val="0"/>
      <w:divBdr>
        <w:top w:val="none" w:sz="0" w:space="0" w:color="auto"/>
        <w:left w:val="none" w:sz="0" w:space="0" w:color="auto"/>
        <w:bottom w:val="none" w:sz="0" w:space="0" w:color="auto"/>
        <w:right w:val="none" w:sz="0" w:space="0" w:color="auto"/>
      </w:divBdr>
    </w:div>
    <w:div w:id="214590644">
      <w:bodyDiv w:val="1"/>
      <w:marLeft w:val="0"/>
      <w:marRight w:val="0"/>
      <w:marTop w:val="0"/>
      <w:marBottom w:val="0"/>
      <w:divBdr>
        <w:top w:val="none" w:sz="0" w:space="0" w:color="auto"/>
        <w:left w:val="none" w:sz="0" w:space="0" w:color="auto"/>
        <w:bottom w:val="none" w:sz="0" w:space="0" w:color="auto"/>
        <w:right w:val="none" w:sz="0" w:space="0" w:color="auto"/>
      </w:divBdr>
    </w:div>
    <w:div w:id="487988691">
      <w:bodyDiv w:val="1"/>
      <w:marLeft w:val="0"/>
      <w:marRight w:val="0"/>
      <w:marTop w:val="0"/>
      <w:marBottom w:val="0"/>
      <w:divBdr>
        <w:top w:val="none" w:sz="0" w:space="0" w:color="auto"/>
        <w:left w:val="none" w:sz="0" w:space="0" w:color="auto"/>
        <w:bottom w:val="none" w:sz="0" w:space="0" w:color="auto"/>
        <w:right w:val="none" w:sz="0" w:space="0" w:color="auto"/>
      </w:divBdr>
    </w:div>
    <w:div w:id="497885319">
      <w:bodyDiv w:val="1"/>
      <w:marLeft w:val="0"/>
      <w:marRight w:val="0"/>
      <w:marTop w:val="0"/>
      <w:marBottom w:val="0"/>
      <w:divBdr>
        <w:top w:val="none" w:sz="0" w:space="0" w:color="auto"/>
        <w:left w:val="none" w:sz="0" w:space="0" w:color="auto"/>
        <w:bottom w:val="none" w:sz="0" w:space="0" w:color="auto"/>
        <w:right w:val="none" w:sz="0" w:space="0" w:color="auto"/>
      </w:divBdr>
    </w:div>
    <w:div w:id="539516104">
      <w:bodyDiv w:val="1"/>
      <w:marLeft w:val="0"/>
      <w:marRight w:val="0"/>
      <w:marTop w:val="0"/>
      <w:marBottom w:val="0"/>
      <w:divBdr>
        <w:top w:val="none" w:sz="0" w:space="0" w:color="auto"/>
        <w:left w:val="none" w:sz="0" w:space="0" w:color="auto"/>
        <w:bottom w:val="none" w:sz="0" w:space="0" w:color="auto"/>
        <w:right w:val="none" w:sz="0" w:space="0" w:color="auto"/>
      </w:divBdr>
    </w:div>
    <w:div w:id="721056780">
      <w:bodyDiv w:val="1"/>
      <w:marLeft w:val="0"/>
      <w:marRight w:val="0"/>
      <w:marTop w:val="0"/>
      <w:marBottom w:val="0"/>
      <w:divBdr>
        <w:top w:val="none" w:sz="0" w:space="0" w:color="auto"/>
        <w:left w:val="none" w:sz="0" w:space="0" w:color="auto"/>
        <w:bottom w:val="none" w:sz="0" w:space="0" w:color="auto"/>
        <w:right w:val="none" w:sz="0" w:space="0" w:color="auto"/>
      </w:divBdr>
    </w:div>
    <w:div w:id="862016309">
      <w:bodyDiv w:val="1"/>
      <w:marLeft w:val="0"/>
      <w:marRight w:val="0"/>
      <w:marTop w:val="0"/>
      <w:marBottom w:val="0"/>
      <w:divBdr>
        <w:top w:val="none" w:sz="0" w:space="0" w:color="auto"/>
        <w:left w:val="none" w:sz="0" w:space="0" w:color="auto"/>
        <w:bottom w:val="none" w:sz="0" w:space="0" w:color="auto"/>
        <w:right w:val="none" w:sz="0" w:space="0" w:color="auto"/>
      </w:divBdr>
    </w:div>
    <w:div w:id="865949116">
      <w:bodyDiv w:val="1"/>
      <w:marLeft w:val="0"/>
      <w:marRight w:val="0"/>
      <w:marTop w:val="0"/>
      <w:marBottom w:val="0"/>
      <w:divBdr>
        <w:top w:val="none" w:sz="0" w:space="0" w:color="auto"/>
        <w:left w:val="none" w:sz="0" w:space="0" w:color="auto"/>
        <w:bottom w:val="none" w:sz="0" w:space="0" w:color="auto"/>
        <w:right w:val="none" w:sz="0" w:space="0" w:color="auto"/>
      </w:divBdr>
    </w:div>
    <w:div w:id="886139175">
      <w:bodyDiv w:val="1"/>
      <w:marLeft w:val="0"/>
      <w:marRight w:val="0"/>
      <w:marTop w:val="0"/>
      <w:marBottom w:val="0"/>
      <w:divBdr>
        <w:top w:val="none" w:sz="0" w:space="0" w:color="auto"/>
        <w:left w:val="none" w:sz="0" w:space="0" w:color="auto"/>
        <w:bottom w:val="none" w:sz="0" w:space="0" w:color="auto"/>
        <w:right w:val="none" w:sz="0" w:space="0" w:color="auto"/>
      </w:divBdr>
    </w:div>
    <w:div w:id="901719523">
      <w:bodyDiv w:val="1"/>
      <w:marLeft w:val="0"/>
      <w:marRight w:val="0"/>
      <w:marTop w:val="0"/>
      <w:marBottom w:val="0"/>
      <w:divBdr>
        <w:top w:val="none" w:sz="0" w:space="0" w:color="auto"/>
        <w:left w:val="none" w:sz="0" w:space="0" w:color="auto"/>
        <w:bottom w:val="none" w:sz="0" w:space="0" w:color="auto"/>
        <w:right w:val="none" w:sz="0" w:space="0" w:color="auto"/>
      </w:divBdr>
    </w:div>
    <w:div w:id="979185540">
      <w:bodyDiv w:val="1"/>
      <w:marLeft w:val="0"/>
      <w:marRight w:val="0"/>
      <w:marTop w:val="0"/>
      <w:marBottom w:val="0"/>
      <w:divBdr>
        <w:top w:val="none" w:sz="0" w:space="0" w:color="auto"/>
        <w:left w:val="none" w:sz="0" w:space="0" w:color="auto"/>
        <w:bottom w:val="none" w:sz="0" w:space="0" w:color="auto"/>
        <w:right w:val="none" w:sz="0" w:space="0" w:color="auto"/>
      </w:divBdr>
    </w:div>
    <w:div w:id="1022979002">
      <w:bodyDiv w:val="1"/>
      <w:marLeft w:val="0"/>
      <w:marRight w:val="0"/>
      <w:marTop w:val="0"/>
      <w:marBottom w:val="0"/>
      <w:divBdr>
        <w:top w:val="none" w:sz="0" w:space="0" w:color="auto"/>
        <w:left w:val="none" w:sz="0" w:space="0" w:color="auto"/>
        <w:bottom w:val="none" w:sz="0" w:space="0" w:color="auto"/>
        <w:right w:val="none" w:sz="0" w:space="0" w:color="auto"/>
      </w:divBdr>
    </w:div>
    <w:div w:id="1046176231">
      <w:bodyDiv w:val="1"/>
      <w:marLeft w:val="0"/>
      <w:marRight w:val="0"/>
      <w:marTop w:val="0"/>
      <w:marBottom w:val="0"/>
      <w:divBdr>
        <w:top w:val="none" w:sz="0" w:space="0" w:color="auto"/>
        <w:left w:val="none" w:sz="0" w:space="0" w:color="auto"/>
        <w:bottom w:val="none" w:sz="0" w:space="0" w:color="auto"/>
        <w:right w:val="none" w:sz="0" w:space="0" w:color="auto"/>
      </w:divBdr>
    </w:div>
    <w:div w:id="1075708431">
      <w:bodyDiv w:val="1"/>
      <w:marLeft w:val="0"/>
      <w:marRight w:val="0"/>
      <w:marTop w:val="0"/>
      <w:marBottom w:val="0"/>
      <w:divBdr>
        <w:top w:val="none" w:sz="0" w:space="0" w:color="auto"/>
        <w:left w:val="none" w:sz="0" w:space="0" w:color="auto"/>
        <w:bottom w:val="none" w:sz="0" w:space="0" w:color="auto"/>
        <w:right w:val="none" w:sz="0" w:space="0" w:color="auto"/>
      </w:divBdr>
    </w:div>
    <w:div w:id="1108428341">
      <w:bodyDiv w:val="1"/>
      <w:marLeft w:val="0"/>
      <w:marRight w:val="0"/>
      <w:marTop w:val="0"/>
      <w:marBottom w:val="0"/>
      <w:divBdr>
        <w:top w:val="none" w:sz="0" w:space="0" w:color="auto"/>
        <w:left w:val="none" w:sz="0" w:space="0" w:color="auto"/>
        <w:bottom w:val="none" w:sz="0" w:space="0" w:color="auto"/>
        <w:right w:val="none" w:sz="0" w:space="0" w:color="auto"/>
      </w:divBdr>
    </w:div>
    <w:div w:id="1195583055">
      <w:bodyDiv w:val="1"/>
      <w:marLeft w:val="0"/>
      <w:marRight w:val="0"/>
      <w:marTop w:val="0"/>
      <w:marBottom w:val="0"/>
      <w:divBdr>
        <w:top w:val="none" w:sz="0" w:space="0" w:color="auto"/>
        <w:left w:val="none" w:sz="0" w:space="0" w:color="auto"/>
        <w:bottom w:val="none" w:sz="0" w:space="0" w:color="auto"/>
        <w:right w:val="none" w:sz="0" w:space="0" w:color="auto"/>
      </w:divBdr>
    </w:div>
    <w:div w:id="1325354999">
      <w:bodyDiv w:val="1"/>
      <w:marLeft w:val="0"/>
      <w:marRight w:val="0"/>
      <w:marTop w:val="0"/>
      <w:marBottom w:val="0"/>
      <w:divBdr>
        <w:top w:val="none" w:sz="0" w:space="0" w:color="auto"/>
        <w:left w:val="none" w:sz="0" w:space="0" w:color="auto"/>
        <w:bottom w:val="none" w:sz="0" w:space="0" w:color="auto"/>
        <w:right w:val="none" w:sz="0" w:space="0" w:color="auto"/>
      </w:divBdr>
    </w:div>
    <w:div w:id="1393649479">
      <w:bodyDiv w:val="1"/>
      <w:marLeft w:val="0"/>
      <w:marRight w:val="0"/>
      <w:marTop w:val="0"/>
      <w:marBottom w:val="0"/>
      <w:divBdr>
        <w:top w:val="none" w:sz="0" w:space="0" w:color="auto"/>
        <w:left w:val="none" w:sz="0" w:space="0" w:color="auto"/>
        <w:bottom w:val="none" w:sz="0" w:space="0" w:color="auto"/>
        <w:right w:val="none" w:sz="0" w:space="0" w:color="auto"/>
      </w:divBdr>
    </w:div>
    <w:div w:id="1506822741">
      <w:bodyDiv w:val="1"/>
      <w:marLeft w:val="0"/>
      <w:marRight w:val="0"/>
      <w:marTop w:val="0"/>
      <w:marBottom w:val="0"/>
      <w:divBdr>
        <w:top w:val="none" w:sz="0" w:space="0" w:color="auto"/>
        <w:left w:val="none" w:sz="0" w:space="0" w:color="auto"/>
        <w:bottom w:val="none" w:sz="0" w:space="0" w:color="auto"/>
        <w:right w:val="none" w:sz="0" w:space="0" w:color="auto"/>
      </w:divBdr>
    </w:div>
    <w:div w:id="1669558494">
      <w:bodyDiv w:val="1"/>
      <w:marLeft w:val="0"/>
      <w:marRight w:val="0"/>
      <w:marTop w:val="0"/>
      <w:marBottom w:val="0"/>
      <w:divBdr>
        <w:top w:val="none" w:sz="0" w:space="0" w:color="auto"/>
        <w:left w:val="none" w:sz="0" w:space="0" w:color="auto"/>
        <w:bottom w:val="none" w:sz="0" w:space="0" w:color="auto"/>
        <w:right w:val="none" w:sz="0" w:space="0" w:color="auto"/>
      </w:divBdr>
    </w:div>
    <w:div w:id="1672760641">
      <w:bodyDiv w:val="1"/>
      <w:marLeft w:val="0"/>
      <w:marRight w:val="0"/>
      <w:marTop w:val="0"/>
      <w:marBottom w:val="0"/>
      <w:divBdr>
        <w:top w:val="none" w:sz="0" w:space="0" w:color="auto"/>
        <w:left w:val="none" w:sz="0" w:space="0" w:color="auto"/>
        <w:bottom w:val="none" w:sz="0" w:space="0" w:color="auto"/>
        <w:right w:val="none" w:sz="0" w:space="0" w:color="auto"/>
      </w:divBdr>
    </w:div>
    <w:div w:id="1920866092">
      <w:bodyDiv w:val="1"/>
      <w:marLeft w:val="0"/>
      <w:marRight w:val="0"/>
      <w:marTop w:val="0"/>
      <w:marBottom w:val="0"/>
      <w:divBdr>
        <w:top w:val="none" w:sz="0" w:space="0" w:color="auto"/>
        <w:left w:val="none" w:sz="0" w:space="0" w:color="auto"/>
        <w:bottom w:val="none" w:sz="0" w:space="0" w:color="auto"/>
        <w:right w:val="none" w:sz="0" w:space="0" w:color="auto"/>
      </w:divBdr>
    </w:div>
    <w:div w:id="1955822973">
      <w:bodyDiv w:val="1"/>
      <w:marLeft w:val="0"/>
      <w:marRight w:val="0"/>
      <w:marTop w:val="0"/>
      <w:marBottom w:val="0"/>
      <w:divBdr>
        <w:top w:val="none" w:sz="0" w:space="0" w:color="auto"/>
        <w:left w:val="none" w:sz="0" w:space="0" w:color="auto"/>
        <w:bottom w:val="none" w:sz="0" w:space="0" w:color="auto"/>
        <w:right w:val="none" w:sz="0" w:space="0" w:color="auto"/>
      </w:divBdr>
    </w:div>
    <w:div w:id="21038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75BE8-0C02-4F75-8A31-160A79492F07}">
  <ds:schemaRefs>
    <ds:schemaRef ds:uri="http://schemas.microsoft.com/office/2006/metadata/properties"/>
    <ds:schemaRef ds:uri="http://schemas.microsoft.com/office/infopath/2007/PartnerControls"/>
    <ds:schemaRef ds:uri="b9298c3b-abf9-47da-b830-5a073dc98aaa"/>
  </ds:schemaRefs>
</ds:datastoreItem>
</file>

<file path=customXml/itemProps2.xml><?xml version="1.0" encoding="utf-8"?>
<ds:datastoreItem xmlns:ds="http://schemas.openxmlformats.org/officeDocument/2006/customXml" ds:itemID="{AD65B33B-F395-4EE7-84CC-93A9FF66F6ED}">
  <ds:schemaRefs>
    <ds:schemaRef ds:uri="http://schemas.openxmlformats.org/officeDocument/2006/bibliography"/>
  </ds:schemaRefs>
</ds:datastoreItem>
</file>

<file path=customXml/itemProps3.xml><?xml version="1.0" encoding="utf-8"?>
<ds:datastoreItem xmlns:ds="http://schemas.openxmlformats.org/officeDocument/2006/customXml" ds:itemID="{3C2FFB85-D28A-492B-9448-1B182BC21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FC8C6-2F2C-4FCF-9E24-0449FB88A5ED}">
  <ds:schemaRefs>
    <ds:schemaRef ds:uri="http://schemas.microsoft.com/sharepoint/v3/contenttype/forms"/>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8</TotalTime>
  <Pages>1</Pages>
  <Words>8138</Words>
  <Characters>44764</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Daniel Eduardo Lozano Bocanegra</cp:lastModifiedBy>
  <cp:revision>6</cp:revision>
  <cp:lastPrinted>2011-03-02T04:29:00Z</cp:lastPrinted>
  <dcterms:created xsi:type="dcterms:W3CDTF">2026-08-19T15:39:00Z</dcterms:created>
  <dcterms:modified xsi:type="dcterms:W3CDTF">2026-08-19T16:08:00Z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