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5633" w14:textId="277C4E67" w:rsidR="004B72CB" w:rsidRDefault="004B72CB" w:rsidP="004B72CB">
      <w:pPr>
        <w:jc w:val="center"/>
        <w:rPr>
          <w:rFonts w:ascii="Verdana" w:hAnsi="Verdana"/>
          <w:sz w:val="22"/>
          <w:szCs w:val="22"/>
        </w:rPr>
      </w:pPr>
      <w:r w:rsidRPr="004B72CB">
        <w:rPr>
          <w:rFonts w:ascii="Verdana" w:hAnsi="Verdana"/>
          <w:b/>
          <w:bCs/>
          <w:sz w:val="22"/>
          <w:szCs w:val="22"/>
        </w:rPr>
        <w:t>RESOLUCIÓN 4657 DE 2014</w:t>
      </w:r>
    </w:p>
    <w:p w14:paraId="1AEADA2E" w14:textId="65667070" w:rsidR="000E5A64" w:rsidRPr="004B72CB" w:rsidRDefault="000E5A64" w:rsidP="000E5A64">
      <w:pPr>
        <w:rPr>
          <w:rFonts w:ascii="Verdana" w:hAnsi="Verdana"/>
          <w:sz w:val="20"/>
          <w:szCs w:val="20"/>
        </w:rPr>
      </w:pPr>
      <w:r w:rsidRPr="004B72CB">
        <w:rPr>
          <w:rFonts w:ascii="Verdana" w:hAnsi="Verdana"/>
          <w:sz w:val="20"/>
          <w:szCs w:val="20"/>
        </w:rPr>
        <w:t xml:space="preserve">Fecha de Expedición: </w:t>
      </w:r>
      <w:r w:rsidR="004B72CB" w:rsidRPr="004B72CB">
        <w:rPr>
          <w:rFonts w:ascii="Verdana" w:hAnsi="Verdana"/>
          <w:sz w:val="20"/>
          <w:szCs w:val="20"/>
        </w:rPr>
        <w:t>11</w:t>
      </w:r>
      <w:r w:rsidRPr="004B72CB">
        <w:rPr>
          <w:rFonts w:ascii="Verdana" w:hAnsi="Verdana"/>
          <w:sz w:val="20"/>
          <w:szCs w:val="20"/>
        </w:rPr>
        <w:t xml:space="preserve"> de agosto de 2014</w:t>
      </w:r>
    </w:p>
    <w:p w14:paraId="3EC0E34A" w14:textId="33BB8813" w:rsidR="000E5A64" w:rsidRPr="004B72CB" w:rsidRDefault="000E5A64" w:rsidP="000E5A64">
      <w:pPr>
        <w:rPr>
          <w:rFonts w:ascii="Verdana" w:hAnsi="Verdana"/>
          <w:sz w:val="20"/>
          <w:szCs w:val="20"/>
        </w:rPr>
      </w:pPr>
      <w:r w:rsidRPr="004B72CB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4B72CB">
        <w:rPr>
          <w:rFonts w:ascii="Verdana" w:hAnsi="Verdana"/>
          <w:sz w:val="20"/>
          <w:szCs w:val="20"/>
        </w:rPr>
        <w:t>entrada en vigencia</w:t>
      </w:r>
      <w:proofErr w:type="gramEnd"/>
      <w:r w:rsidRPr="004B72CB">
        <w:rPr>
          <w:rFonts w:ascii="Verdana" w:hAnsi="Verdana"/>
          <w:sz w:val="20"/>
          <w:szCs w:val="20"/>
        </w:rPr>
        <w:t xml:space="preserve">: </w:t>
      </w:r>
      <w:r w:rsidR="004B72CB" w:rsidRPr="004B72CB">
        <w:rPr>
          <w:rFonts w:ascii="Verdana" w:hAnsi="Verdana"/>
          <w:sz w:val="20"/>
          <w:szCs w:val="20"/>
        </w:rPr>
        <w:t>11 de agosto de 2014</w:t>
      </w:r>
    </w:p>
    <w:p w14:paraId="08DC59CA" w14:textId="77777777" w:rsidR="000E5A64" w:rsidRPr="004B72CB" w:rsidRDefault="000E5A64" w:rsidP="000E5A64">
      <w:pPr>
        <w:rPr>
          <w:rFonts w:ascii="Verdana" w:hAnsi="Verdana"/>
          <w:sz w:val="20"/>
          <w:szCs w:val="20"/>
        </w:rPr>
      </w:pPr>
      <w:r w:rsidRPr="004B72CB">
        <w:rPr>
          <w:rFonts w:ascii="Verdana" w:hAnsi="Verdana"/>
          <w:sz w:val="20"/>
          <w:szCs w:val="20"/>
        </w:rPr>
        <w:t xml:space="preserve">Estado de la vigencia: Vigente </w:t>
      </w:r>
    </w:p>
    <w:p w14:paraId="086D4DF0" w14:textId="77777777" w:rsidR="000E5A64" w:rsidRPr="004B72CB" w:rsidRDefault="000E5A64" w:rsidP="000E5A64">
      <w:pPr>
        <w:rPr>
          <w:rFonts w:ascii="Verdana" w:hAnsi="Verdana"/>
          <w:sz w:val="20"/>
          <w:szCs w:val="20"/>
        </w:rPr>
      </w:pPr>
    </w:p>
    <w:p w14:paraId="6453A276" w14:textId="1C87A504" w:rsidR="000E5A64" w:rsidRPr="004B72CB" w:rsidRDefault="000E5A64" w:rsidP="000E5A64">
      <w:pPr>
        <w:rPr>
          <w:rFonts w:ascii="Verdana" w:hAnsi="Verdana"/>
          <w:sz w:val="20"/>
          <w:szCs w:val="20"/>
        </w:rPr>
      </w:pPr>
      <w:r w:rsidRPr="004B72CB">
        <w:rPr>
          <w:rFonts w:ascii="Verdana" w:hAnsi="Verdana"/>
          <w:sz w:val="20"/>
          <w:szCs w:val="20"/>
        </w:rPr>
        <w:t xml:space="preserve">Fecha de publicación en Diario Oficial: </w:t>
      </w:r>
      <w:r w:rsidR="004B72CB" w:rsidRPr="004B72CB">
        <w:rPr>
          <w:rFonts w:ascii="Verdana" w:hAnsi="Verdana"/>
          <w:sz w:val="20"/>
          <w:szCs w:val="20"/>
        </w:rPr>
        <w:t>N/A</w:t>
      </w:r>
    </w:p>
    <w:p w14:paraId="1B12E78B" w14:textId="1451F950" w:rsidR="0088588F" w:rsidRPr="004B72CB" w:rsidRDefault="000E5A64" w:rsidP="000E5A64">
      <w:pPr>
        <w:rPr>
          <w:rFonts w:ascii="Verdana" w:hAnsi="Verdana"/>
          <w:sz w:val="20"/>
          <w:szCs w:val="20"/>
        </w:rPr>
      </w:pPr>
      <w:r w:rsidRPr="004B72CB">
        <w:rPr>
          <w:rFonts w:ascii="Verdana" w:hAnsi="Verdana"/>
          <w:sz w:val="20"/>
          <w:szCs w:val="20"/>
        </w:rPr>
        <w:t>Número del Diario Oficial: N</w:t>
      </w:r>
      <w:r w:rsidR="004B72CB" w:rsidRPr="004B72CB">
        <w:rPr>
          <w:rFonts w:ascii="Verdana" w:hAnsi="Verdana"/>
          <w:sz w:val="20"/>
          <w:szCs w:val="20"/>
        </w:rPr>
        <w:t>/A</w:t>
      </w:r>
    </w:p>
    <w:p w14:paraId="7E714936" w14:textId="77777777" w:rsidR="000E5A64" w:rsidRPr="004B72CB" w:rsidRDefault="000E5A64" w:rsidP="004B72CB">
      <w:pPr>
        <w:jc w:val="center"/>
        <w:rPr>
          <w:rFonts w:ascii="Verdana" w:hAnsi="Verdana"/>
          <w:sz w:val="22"/>
          <w:szCs w:val="22"/>
        </w:rPr>
      </w:pPr>
      <w:r w:rsidRPr="004B72CB">
        <w:rPr>
          <w:rFonts w:ascii="Verdana" w:hAnsi="Verdana"/>
          <w:b/>
          <w:bCs/>
          <w:sz w:val="22"/>
          <w:szCs w:val="22"/>
        </w:rPr>
        <w:t>RESOLUCIÓN 4657 DE 2014</w:t>
      </w:r>
    </w:p>
    <w:p w14:paraId="5B128BE2" w14:textId="0707626E" w:rsidR="000E5A64" w:rsidRPr="004B72CB" w:rsidRDefault="000E5A64" w:rsidP="004B72CB">
      <w:pPr>
        <w:jc w:val="center"/>
        <w:rPr>
          <w:rFonts w:ascii="Verdana" w:hAnsi="Verdana"/>
          <w:b/>
          <w:bCs/>
          <w:sz w:val="22"/>
          <w:szCs w:val="22"/>
        </w:rPr>
      </w:pPr>
      <w:r w:rsidRPr="004B72CB">
        <w:rPr>
          <w:rFonts w:ascii="Verdana" w:hAnsi="Verdana"/>
          <w:b/>
          <w:bCs/>
          <w:sz w:val="22"/>
          <w:szCs w:val="22"/>
        </w:rPr>
        <w:t>(</w:t>
      </w:r>
      <w:r w:rsidR="004B72CB" w:rsidRPr="004B72CB">
        <w:rPr>
          <w:rFonts w:ascii="Verdana" w:hAnsi="Verdana"/>
          <w:b/>
          <w:bCs/>
          <w:sz w:val="22"/>
          <w:szCs w:val="22"/>
        </w:rPr>
        <w:t xml:space="preserve">11 de </w:t>
      </w:r>
      <w:r w:rsidRPr="004B72CB">
        <w:rPr>
          <w:rFonts w:ascii="Verdana" w:hAnsi="Verdana"/>
          <w:b/>
          <w:bCs/>
          <w:sz w:val="22"/>
          <w:szCs w:val="22"/>
        </w:rPr>
        <w:t>agosto)</w:t>
      </w:r>
    </w:p>
    <w:p w14:paraId="55C01C56" w14:textId="77777777" w:rsidR="000E5A64" w:rsidRPr="004B72CB" w:rsidRDefault="000E5A64" w:rsidP="004B72CB">
      <w:pPr>
        <w:jc w:val="center"/>
        <w:rPr>
          <w:rFonts w:ascii="Verdana" w:hAnsi="Verdana"/>
          <w:sz w:val="22"/>
          <w:szCs w:val="22"/>
        </w:rPr>
      </w:pPr>
      <w:r w:rsidRPr="004B72CB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460BF7C4" w14:textId="77777777" w:rsidR="000E5A64" w:rsidRPr="004B72CB" w:rsidRDefault="000E5A64" w:rsidP="004B72CB">
      <w:pPr>
        <w:jc w:val="center"/>
        <w:rPr>
          <w:rFonts w:ascii="Verdana" w:hAnsi="Verdana"/>
          <w:sz w:val="22"/>
          <w:szCs w:val="22"/>
        </w:rPr>
      </w:pPr>
      <w:r w:rsidRPr="004B72CB">
        <w:rPr>
          <w:rFonts w:ascii="Verdana" w:hAnsi="Verdana"/>
          <w:sz w:val="22"/>
          <w:szCs w:val="22"/>
        </w:rPr>
        <w:t>"Por la cual se efectúa una incorporación en el Presupuesto de Ingresos y Gastos del Instituto Colombiano de Bienestar Familiar Cecilia De La Fuente De Lleras para la Vigencia Fiscal del año 2014”.</w:t>
      </w:r>
    </w:p>
    <w:p w14:paraId="542D02F4" w14:textId="77777777" w:rsidR="000E5A64" w:rsidRPr="004B72CB" w:rsidRDefault="000E5A64" w:rsidP="004B72CB">
      <w:pPr>
        <w:jc w:val="center"/>
        <w:rPr>
          <w:rFonts w:ascii="Verdana" w:hAnsi="Verdana"/>
          <w:sz w:val="22"/>
          <w:szCs w:val="22"/>
        </w:rPr>
      </w:pPr>
      <w:r w:rsidRPr="004B72CB">
        <w:rPr>
          <w:rFonts w:ascii="Verdana" w:hAnsi="Verdana"/>
          <w:b/>
          <w:bCs/>
          <w:sz w:val="22"/>
          <w:szCs w:val="22"/>
        </w:rPr>
        <w:t>EL DIRECTOR GENERAL (E) DEL INSTITUTO COLOMBIANO DE BIENESTAR FAMILIAR CECILIA DE LA FUENTE DE LLERAS</w:t>
      </w:r>
    </w:p>
    <w:p w14:paraId="5DD721EE" w14:textId="2999856D" w:rsidR="000E5A64" w:rsidRPr="004B72CB" w:rsidRDefault="000E5A64" w:rsidP="004B72CB">
      <w:pPr>
        <w:jc w:val="center"/>
        <w:rPr>
          <w:rFonts w:ascii="Verdana" w:hAnsi="Verdana"/>
          <w:sz w:val="22"/>
          <w:szCs w:val="22"/>
        </w:rPr>
      </w:pPr>
      <w:r w:rsidRPr="004B72CB">
        <w:rPr>
          <w:rFonts w:ascii="Verdana" w:hAnsi="Verdana"/>
          <w:sz w:val="22"/>
          <w:szCs w:val="22"/>
        </w:rPr>
        <w:t xml:space="preserve">En uso de las facultades otorgadas por el Decreto 987 de </w:t>
      </w:r>
      <w:proofErr w:type="gramStart"/>
      <w:r w:rsidRPr="004B72CB">
        <w:rPr>
          <w:rFonts w:ascii="Verdana" w:hAnsi="Verdana"/>
          <w:sz w:val="22"/>
          <w:szCs w:val="22"/>
        </w:rPr>
        <w:t>Mayo</w:t>
      </w:r>
      <w:proofErr w:type="gramEnd"/>
      <w:r w:rsidRPr="004B72CB">
        <w:rPr>
          <w:rFonts w:ascii="Verdana" w:hAnsi="Verdana"/>
          <w:sz w:val="22"/>
          <w:szCs w:val="22"/>
        </w:rPr>
        <w:t xml:space="preserve"> 14 de 2012 y</w:t>
      </w:r>
    </w:p>
    <w:p w14:paraId="213D98C1" w14:textId="77777777" w:rsidR="000E5A64" w:rsidRPr="004B72CB" w:rsidRDefault="000E5A64" w:rsidP="004B72CB">
      <w:pPr>
        <w:jc w:val="center"/>
        <w:rPr>
          <w:rFonts w:ascii="Verdana" w:hAnsi="Verdana"/>
          <w:sz w:val="22"/>
          <w:szCs w:val="22"/>
        </w:rPr>
      </w:pPr>
      <w:r w:rsidRPr="004B72CB">
        <w:rPr>
          <w:rFonts w:ascii="Verdana" w:hAnsi="Verdana"/>
          <w:b/>
          <w:bCs/>
          <w:sz w:val="22"/>
          <w:szCs w:val="22"/>
        </w:rPr>
        <w:t>CONSIDERANDO:</w:t>
      </w:r>
    </w:p>
    <w:p w14:paraId="5319F02A" w14:textId="620D6FCC" w:rsidR="000E5A64" w:rsidRPr="004B72CB" w:rsidRDefault="000E5A64" w:rsidP="004B72CB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4B72CB">
        <w:rPr>
          <w:rFonts w:ascii="Verdana" w:hAnsi="Verdana"/>
          <w:sz w:val="22"/>
          <w:szCs w:val="22"/>
        </w:rPr>
        <w:t xml:space="preserve">Que el Congreso de Colombia mediante la Ley 1687 de </w:t>
      </w:r>
      <w:proofErr w:type="gramStart"/>
      <w:r w:rsidRPr="004B72CB">
        <w:rPr>
          <w:rFonts w:ascii="Verdana" w:hAnsi="Verdana"/>
          <w:sz w:val="22"/>
          <w:szCs w:val="22"/>
        </w:rPr>
        <w:t>Diciembre</w:t>
      </w:r>
      <w:proofErr w:type="gramEnd"/>
      <w:r w:rsidRPr="004B72CB">
        <w:rPr>
          <w:rFonts w:ascii="Verdana" w:hAnsi="Verdana"/>
          <w:sz w:val="22"/>
          <w:szCs w:val="22"/>
        </w:rPr>
        <w:t xml:space="preserve"> 11 de 2013 decretó el Presupuesto de Rentas y Recursos de Capital y la Ley de Apropiaciones para la Vigencia Fiscal del 1o de Enero al 31 de </w:t>
      </w:r>
      <w:proofErr w:type="gramStart"/>
      <w:r w:rsidRPr="004B72CB">
        <w:rPr>
          <w:rFonts w:ascii="Verdana" w:hAnsi="Verdana"/>
          <w:sz w:val="22"/>
          <w:szCs w:val="22"/>
        </w:rPr>
        <w:t>Diciembre</w:t>
      </w:r>
      <w:proofErr w:type="gramEnd"/>
      <w:r w:rsidRPr="004B72CB">
        <w:rPr>
          <w:rFonts w:ascii="Verdana" w:hAnsi="Verdana"/>
          <w:sz w:val="22"/>
          <w:szCs w:val="22"/>
        </w:rPr>
        <w:t xml:space="preserve"> de 2014.</w:t>
      </w:r>
    </w:p>
    <w:p w14:paraId="251F631C" w14:textId="1252144A" w:rsidR="000E5A64" w:rsidRPr="004B72CB" w:rsidRDefault="000E5A64" w:rsidP="004B72CB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4B72CB">
        <w:rPr>
          <w:rFonts w:ascii="Verdana" w:hAnsi="Verdana"/>
          <w:sz w:val="22"/>
          <w:szCs w:val="22"/>
        </w:rPr>
        <w:t xml:space="preserve">Que mediante Decreto No 3036 del 27 de </w:t>
      </w:r>
      <w:proofErr w:type="gramStart"/>
      <w:r w:rsidRPr="004B72CB">
        <w:rPr>
          <w:rFonts w:ascii="Verdana" w:hAnsi="Verdana"/>
          <w:sz w:val="22"/>
          <w:szCs w:val="22"/>
        </w:rPr>
        <w:t>Diciembre</w:t>
      </w:r>
      <w:proofErr w:type="gramEnd"/>
      <w:r w:rsidRPr="004B72CB">
        <w:rPr>
          <w:rFonts w:ascii="Verdana" w:hAnsi="Verdana"/>
          <w:sz w:val="22"/>
          <w:szCs w:val="22"/>
        </w:rPr>
        <w:t xml:space="preserve"> de 2013 por el cual se liquida el Presupuesto General de la Nación para la Vigencia Fiscal de 2014, se detallan las Apropiaciones y se clasifican y definen los Gastos, el cual incluye el Presupuesto para el Instituto Colombiano de Bienestar Familiar para la Vigencia Fiscal 2014.</w:t>
      </w:r>
    </w:p>
    <w:p w14:paraId="4029F992" w14:textId="4F9A6C5F" w:rsidR="000E5A64" w:rsidRPr="004B72CB" w:rsidRDefault="000E5A64" w:rsidP="004B72CB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4B72CB">
        <w:rPr>
          <w:rFonts w:ascii="Verdana" w:hAnsi="Verdana"/>
          <w:sz w:val="22"/>
          <w:szCs w:val="22"/>
        </w:rPr>
        <w:t xml:space="preserve">Que mediante Resolución No 11480 del 31 de </w:t>
      </w:r>
      <w:proofErr w:type="gramStart"/>
      <w:r w:rsidRPr="004B72CB">
        <w:rPr>
          <w:rFonts w:ascii="Verdana" w:hAnsi="Verdana"/>
          <w:sz w:val="22"/>
          <w:szCs w:val="22"/>
        </w:rPr>
        <w:t>Diciembre</w:t>
      </w:r>
      <w:proofErr w:type="gramEnd"/>
      <w:r w:rsidRPr="004B72CB">
        <w:rPr>
          <w:rFonts w:ascii="Verdana" w:hAnsi="Verdana"/>
          <w:sz w:val="22"/>
          <w:szCs w:val="22"/>
        </w:rPr>
        <w:t xml:space="preserve"> de 2013, la Dirección General del Instituto Colombiano de Bienestar Familiar, desagregó su Presupuesto de Ingresos y Gastos para la Vigencia Fiscal del año 2014.</w:t>
      </w:r>
    </w:p>
    <w:p w14:paraId="25582C0F" w14:textId="77777777" w:rsidR="000E5A64" w:rsidRPr="004B72CB" w:rsidRDefault="000E5A64" w:rsidP="004B72CB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4B72CB">
        <w:rPr>
          <w:rFonts w:ascii="Verdana" w:hAnsi="Verdana"/>
          <w:sz w:val="22"/>
          <w:szCs w:val="22"/>
        </w:rPr>
        <w:t>Que el Ministerio de Hacienda y Crédito Público mediante Resolución 2654 del 31 de Julio de 2014, efectúa una distribución en su Presupuesto de Gastos de Inversión para la Vigencia Fiscal de 2014 por valor de $ 45.000.000.000.00, para el Presupuesto de Ingresos y Gastos de Inversión del ICBF.</w:t>
      </w:r>
    </w:p>
    <w:p w14:paraId="429F0302" w14:textId="77777777" w:rsidR="000E5A64" w:rsidRPr="004B72CB" w:rsidRDefault="000E5A64" w:rsidP="004B72CB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4B72CB">
        <w:rPr>
          <w:rFonts w:ascii="Verdana" w:hAnsi="Verdana"/>
          <w:sz w:val="22"/>
          <w:szCs w:val="22"/>
        </w:rPr>
        <w:t>Que</w:t>
      </w:r>
      <w:proofErr w:type="gramEnd"/>
      <w:r w:rsidRPr="004B72CB">
        <w:rPr>
          <w:rFonts w:ascii="Verdana" w:hAnsi="Verdana"/>
          <w:sz w:val="22"/>
          <w:szCs w:val="22"/>
        </w:rPr>
        <w:t xml:space="preserve"> para la ejecución de la partida incorporada a dicho proyecto, la </w:t>
      </w:r>
      <w:proofErr w:type="gramStart"/>
      <w:r w:rsidRPr="004B72CB">
        <w:rPr>
          <w:rFonts w:ascii="Verdana" w:hAnsi="Verdana"/>
          <w:sz w:val="22"/>
          <w:szCs w:val="22"/>
        </w:rPr>
        <w:t>Directora</w:t>
      </w:r>
      <w:proofErr w:type="gramEnd"/>
      <w:r w:rsidRPr="004B72CB">
        <w:rPr>
          <w:rFonts w:ascii="Verdana" w:hAnsi="Verdana"/>
          <w:sz w:val="22"/>
          <w:szCs w:val="22"/>
        </w:rPr>
        <w:t xml:space="preserve"> de Primera Infancia mediante memorando 1-2014-025431-0101 de fecha </w:t>
      </w:r>
      <w:proofErr w:type="gramStart"/>
      <w:r w:rsidRPr="004B72CB">
        <w:rPr>
          <w:rFonts w:ascii="Verdana" w:hAnsi="Verdana"/>
          <w:sz w:val="22"/>
          <w:szCs w:val="22"/>
        </w:rPr>
        <w:t>Agosto</w:t>
      </w:r>
      <w:proofErr w:type="gramEnd"/>
      <w:r w:rsidRPr="004B72CB">
        <w:rPr>
          <w:rFonts w:ascii="Verdana" w:hAnsi="Verdana"/>
          <w:sz w:val="22"/>
          <w:szCs w:val="22"/>
        </w:rPr>
        <w:t xml:space="preserve"> 5 de 2014, solicita la distribución a nivel del Subproyecto C 320-1504-4-0-101 Atención Integral del Nivel Nacional.</w:t>
      </w:r>
    </w:p>
    <w:p w14:paraId="6943291C" w14:textId="77777777" w:rsidR="000E5A64" w:rsidRPr="004B72CB" w:rsidRDefault="000E5A64" w:rsidP="004B72CB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4B72CB">
        <w:rPr>
          <w:rFonts w:ascii="Verdana" w:hAnsi="Verdana"/>
          <w:sz w:val="22"/>
          <w:szCs w:val="22"/>
        </w:rPr>
        <w:t>Que</w:t>
      </w:r>
      <w:proofErr w:type="gramEnd"/>
      <w:r w:rsidRPr="004B72CB">
        <w:rPr>
          <w:rFonts w:ascii="Verdana" w:hAnsi="Verdana"/>
          <w:sz w:val="22"/>
          <w:szCs w:val="22"/>
        </w:rPr>
        <w:t xml:space="preserve"> en mérito de lo expuesto,</w:t>
      </w:r>
    </w:p>
    <w:p w14:paraId="78FAEEBD" w14:textId="77777777" w:rsidR="004B72CB" w:rsidRDefault="000E5A64" w:rsidP="004B72CB">
      <w:pPr>
        <w:jc w:val="center"/>
        <w:rPr>
          <w:rFonts w:ascii="Verdana" w:hAnsi="Verdana"/>
          <w:sz w:val="22"/>
          <w:szCs w:val="22"/>
        </w:rPr>
      </w:pPr>
      <w:r w:rsidRPr="004B72CB">
        <w:rPr>
          <w:rFonts w:ascii="Verdana" w:hAnsi="Verdana"/>
          <w:b/>
          <w:bCs/>
          <w:sz w:val="22"/>
          <w:szCs w:val="22"/>
        </w:rPr>
        <w:lastRenderedPageBreak/>
        <w:t>RESUELVE:</w:t>
      </w:r>
      <w:bookmarkStart w:id="0" w:name="1"/>
    </w:p>
    <w:p w14:paraId="4B2C0492" w14:textId="108FD56A" w:rsidR="000E5A64" w:rsidRPr="004B72CB" w:rsidRDefault="000E5A64" w:rsidP="004B72CB">
      <w:pPr>
        <w:rPr>
          <w:rFonts w:ascii="Verdana" w:hAnsi="Verdana"/>
          <w:sz w:val="22"/>
          <w:szCs w:val="22"/>
        </w:rPr>
      </w:pPr>
      <w:r w:rsidRPr="004B72CB">
        <w:rPr>
          <w:rFonts w:ascii="Verdana" w:hAnsi="Verdana"/>
          <w:b/>
          <w:bCs/>
          <w:sz w:val="22"/>
          <w:szCs w:val="22"/>
        </w:rPr>
        <w:t xml:space="preserve">ARTÍCULO </w:t>
      </w:r>
      <w:r w:rsidR="004B72CB">
        <w:rPr>
          <w:rFonts w:ascii="Verdana" w:hAnsi="Verdana"/>
          <w:b/>
          <w:bCs/>
          <w:sz w:val="22"/>
          <w:szCs w:val="22"/>
        </w:rPr>
        <w:t>1o</w:t>
      </w:r>
      <w:r w:rsidRPr="004B72CB">
        <w:rPr>
          <w:rFonts w:ascii="Verdana" w:hAnsi="Verdana"/>
          <w:b/>
          <w:bCs/>
          <w:sz w:val="22"/>
          <w:szCs w:val="22"/>
        </w:rPr>
        <w:t>.</w:t>
      </w:r>
      <w:bookmarkEnd w:id="0"/>
      <w:r w:rsidRPr="004B72CB">
        <w:rPr>
          <w:rFonts w:ascii="Verdana" w:hAnsi="Verdana"/>
          <w:sz w:val="22"/>
          <w:szCs w:val="22"/>
        </w:rPr>
        <w:t> Incorporar al Presupuesto de Ingresos del Instituto Colombiano de Bienestar Familiar para la Vigencia 2014, la suma de CUARENTA Y CINCO MIL MILLONES DE PESOS MCTE ($ 45.000.000.000.00), provenientes del Ministerio de Hacienda y Crédito Público, de conformidad con el siguiente detalle: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89"/>
        <w:gridCol w:w="4326"/>
        <w:gridCol w:w="2913"/>
      </w:tblGrid>
      <w:tr w:rsidR="000E5A64" w:rsidRPr="004B72CB" w14:paraId="5CA3B0FB" w14:textId="77777777" w:rsidTr="004B72CB">
        <w:tc>
          <w:tcPr>
            <w:tcW w:w="900" w:type="pct"/>
            <w:hideMark/>
          </w:tcPr>
          <w:p w14:paraId="72B83013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4.</w:t>
            </w:r>
          </w:p>
        </w:tc>
        <w:tc>
          <w:tcPr>
            <w:tcW w:w="2450" w:type="pct"/>
            <w:hideMark/>
          </w:tcPr>
          <w:p w14:paraId="1F193D58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APORTES DE LA NACION</w:t>
            </w:r>
          </w:p>
        </w:tc>
        <w:tc>
          <w:tcPr>
            <w:tcW w:w="1700" w:type="pct"/>
            <w:hideMark/>
          </w:tcPr>
          <w:p w14:paraId="265316F0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$ 45.000.000.000.00</w:t>
            </w:r>
          </w:p>
        </w:tc>
      </w:tr>
      <w:tr w:rsidR="000E5A64" w:rsidRPr="004B72CB" w14:paraId="54CAC972" w14:textId="77777777" w:rsidTr="004B72CB">
        <w:tc>
          <w:tcPr>
            <w:tcW w:w="900" w:type="pct"/>
            <w:hideMark/>
          </w:tcPr>
          <w:p w14:paraId="0EC96514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4.3</w:t>
            </w:r>
          </w:p>
        </w:tc>
        <w:tc>
          <w:tcPr>
            <w:tcW w:w="2450" w:type="pct"/>
            <w:hideMark/>
          </w:tcPr>
          <w:p w14:paraId="5F376636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INVERSION</w:t>
            </w:r>
          </w:p>
        </w:tc>
        <w:tc>
          <w:tcPr>
            <w:tcW w:w="1700" w:type="pct"/>
            <w:hideMark/>
          </w:tcPr>
          <w:p w14:paraId="6B591D6D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$ 45.000.000.000.00</w:t>
            </w:r>
          </w:p>
        </w:tc>
      </w:tr>
      <w:tr w:rsidR="000E5A64" w:rsidRPr="004B72CB" w14:paraId="1741A24F" w14:textId="77777777" w:rsidTr="004B72CB">
        <w:tc>
          <w:tcPr>
            <w:tcW w:w="900" w:type="pct"/>
            <w:hideMark/>
          </w:tcPr>
          <w:p w14:paraId="029EF528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4.3.0</w:t>
            </w:r>
          </w:p>
        </w:tc>
        <w:tc>
          <w:tcPr>
            <w:tcW w:w="2450" w:type="pct"/>
            <w:hideMark/>
          </w:tcPr>
          <w:p w14:paraId="272FB1BC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INVERSION</w:t>
            </w:r>
          </w:p>
        </w:tc>
        <w:tc>
          <w:tcPr>
            <w:tcW w:w="1700" w:type="pct"/>
            <w:hideMark/>
          </w:tcPr>
          <w:p w14:paraId="6BC24799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$ 45.000.000.000.00</w:t>
            </w:r>
          </w:p>
        </w:tc>
      </w:tr>
    </w:tbl>
    <w:p w14:paraId="2EADBCCA" w14:textId="77777777" w:rsidR="004B72CB" w:rsidRDefault="004B72CB" w:rsidP="000E5A64">
      <w:pPr>
        <w:rPr>
          <w:rFonts w:ascii="Verdana" w:hAnsi="Verdana"/>
          <w:b/>
          <w:bCs/>
          <w:sz w:val="22"/>
          <w:szCs w:val="22"/>
        </w:rPr>
      </w:pPr>
      <w:bookmarkStart w:id="1" w:name="SEGUNDO"/>
    </w:p>
    <w:p w14:paraId="2E50D05D" w14:textId="6F01AF44" w:rsidR="000E5A64" w:rsidRPr="004B72CB" w:rsidRDefault="000E5A64" w:rsidP="000E5A64">
      <w:pPr>
        <w:rPr>
          <w:rFonts w:ascii="Verdana" w:hAnsi="Verdana"/>
          <w:sz w:val="22"/>
          <w:szCs w:val="22"/>
        </w:rPr>
      </w:pPr>
      <w:r w:rsidRPr="004B72CB">
        <w:rPr>
          <w:rFonts w:ascii="Verdana" w:hAnsi="Verdana"/>
          <w:b/>
          <w:bCs/>
          <w:sz w:val="22"/>
          <w:szCs w:val="22"/>
        </w:rPr>
        <w:t xml:space="preserve">ARTÍCULO </w:t>
      </w:r>
      <w:r w:rsidR="004B72CB">
        <w:rPr>
          <w:rFonts w:ascii="Verdana" w:hAnsi="Verdana"/>
          <w:b/>
          <w:bCs/>
          <w:sz w:val="22"/>
          <w:szCs w:val="22"/>
        </w:rPr>
        <w:t>2o</w:t>
      </w:r>
      <w:r w:rsidRPr="004B72CB">
        <w:rPr>
          <w:rFonts w:ascii="Verdana" w:hAnsi="Verdana"/>
          <w:b/>
          <w:bCs/>
          <w:sz w:val="22"/>
          <w:szCs w:val="22"/>
        </w:rPr>
        <w:t>.</w:t>
      </w:r>
      <w:bookmarkEnd w:id="1"/>
      <w:r w:rsidRPr="004B72CB">
        <w:rPr>
          <w:rFonts w:ascii="Verdana" w:hAnsi="Verdana"/>
          <w:sz w:val="22"/>
          <w:szCs w:val="22"/>
        </w:rPr>
        <w:t> Incorporar al Presupuesto de Gastos de Inversión del Instituto Colombiano de Bienestar Familiar para la Vigencia 2014 la suma CUARENTA Y CINCO MIL MILLONES DE PESOS, MCTE ($ 45.000.000.000.00), provenientes del Ministerio de Hacienda y Crédito Público, de conformidad con el siguiente detalle:</w:t>
      </w:r>
    </w:p>
    <w:tbl>
      <w:tblPr>
        <w:tblStyle w:val="Tablaconcuadrcula"/>
        <w:tblW w:w="5050" w:type="pct"/>
        <w:tblLook w:val="04A0" w:firstRow="1" w:lastRow="0" w:firstColumn="1" w:lastColumn="0" w:noHBand="0" w:noVBand="1"/>
      </w:tblPr>
      <w:tblGrid>
        <w:gridCol w:w="915"/>
        <w:gridCol w:w="1239"/>
        <w:gridCol w:w="899"/>
        <w:gridCol w:w="1401"/>
        <w:gridCol w:w="698"/>
        <w:gridCol w:w="1682"/>
        <w:gridCol w:w="2355"/>
      </w:tblGrid>
      <w:tr w:rsidR="000E5A64" w:rsidRPr="004B72CB" w14:paraId="699EFF50" w14:textId="77777777" w:rsidTr="004B72CB">
        <w:tc>
          <w:tcPr>
            <w:tcW w:w="400" w:type="pct"/>
            <w:hideMark/>
          </w:tcPr>
          <w:p w14:paraId="6D564C96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b/>
                <w:bCs/>
                <w:sz w:val="22"/>
                <w:szCs w:val="22"/>
              </w:rPr>
              <w:t>PROG</w:t>
            </w:r>
          </w:p>
        </w:tc>
        <w:tc>
          <w:tcPr>
            <w:tcW w:w="550" w:type="pct"/>
            <w:hideMark/>
          </w:tcPr>
          <w:p w14:paraId="22C4F74D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b/>
                <w:bCs/>
                <w:sz w:val="22"/>
                <w:szCs w:val="22"/>
              </w:rPr>
              <w:t>SUBPRO</w:t>
            </w:r>
          </w:p>
        </w:tc>
        <w:tc>
          <w:tcPr>
            <w:tcW w:w="450" w:type="pct"/>
            <w:hideMark/>
          </w:tcPr>
          <w:p w14:paraId="79501285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b/>
                <w:bCs/>
                <w:sz w:val="22"/>
                <w:szCs w:val="22"/>
              </w:rPr>
              <w:t>PROY</w:t>
            </w:r>
          </w:p>
        </w:tc>
        <w:tc>
          <w:tcPr>
            <w:tcW w:w="550" w:type="pct"/>
            <w:hideMark/>
          </w:tcPr>
          <w:p w14:paraId="0FE37872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b/>
                <w:bCs/>
                <w:sz w:val="22"/>
                <w:szCs w:val="22"/>
              </w:rPr>
              <w:t>SUBPROY</w:t>
            </w:r>
          </w:p>
        </w:tc>
        <w:tc>
          <w:tcPr>
            <w:tcW w:w="400" w:type="pct"/>
            <w:hideMark/>
          </w:tcPr>
          <w:p w14:paraId="24907845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b/>
                <w:bCs/>
                <w:sz w:val="22"/>
                <w:szCs w:val="22"/>
              </w:rPr>
              <w:t>REC</w:t>
            </w:r>
          </w:p>
        </w:tc>
        <w:tc>
          <w:tcPr>
            <w:tcW w:w="1650" w:type="pct"/>
            <w:hideMark/>
          </w:tcPr>
          <w:p w14:paraId="5562B426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1000" w:type="pct"/>
            <w:hideMark/>
          </w:tcPr>
          <w:p w14:paraId="46A601C7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b/>
                <w:bCs/>
                <w:sz w:val="22"/>
                <w:szCs w:val="22"/>
              </w:rPr>
              <w:t>CREDITO</w:t>
            </w:r>
          </w:p>
        </w:tc>
      </w:tr>
      <w:tr w:rsidR="000E5A64" w:rsidRPr="004B72CB" w14:paraId="0ED23856" w14:textId="77777777" w:rsidTr="004B72CB">
        <w:tc>
          <w:tcPr>
            <w:tcW w:w="400" w:type="pct"/>
            <w:hideMark/>
          </w:tcPr>
          <w:p w14:paraId="13B59FF8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C</w:t>
            </w:r>
          </w:p>
        </w:tc>
        <w:tc>
          <w:tcPr>
            <w:tcW w:w="1000" w:type="pct"/>
            <w:gridSpan w:val="2"/>
            <w:hideMark/>
          </w:tcPr>
          <w:p w14:paraId="39C6A2E5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50" w:type="pct"/>
            <w:gridSpan w:val="2"/>
            <w:hideMark/>
          </w:tcPr>
          <w:p w14:paraId="1463EEB4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50" w:type="pct"/>
            <w:hideMark/>
          </w:tcPr>
          <w:p w14:paraId="58C93C1E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GASTOS DE INVERSION</w:t>
            </w:r>
          </w:p>
        </w:tc>
        <w:tc>
          <w:tcPr>
            <w:tcW w:w="1000" w:type="pct"/>
            <w:hideMark/>
          </w:tcPr>
          <w:p w14:paraId="3B1424BD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45,000,000,000.00</w:t>
            </w:r>
          </w:p>
        </w:tc>
      </w:tr>
      <w:tr w:rsidR="000E5A64" w:rsidRPr="004B72CB" w14:paraId="0D6D83EA" w14:textId="77777777" w:rsidTr="004B72CB">
        <w:tc>
          <w:tcPr>
            <w:tcW w:w="400" w:type="pct"/>
            <w:hideMark/>
          </w:tcPr>
          <w:p w14:paraId="31C7EE45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320</w:t>
            </w:r>
          </w:p>
        </w:tc>
        <w:tc>
          <w:tcPr>
            <w:tcW w:w="1000" w:type="pct"/>
            <w:gridSpan w:val="2"/>
            <w:hideMark/>
          </w:tcPr>
          <w:p w14:paraId="5E0C9B4A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50" w:type="pct"/>
            <w:gridSpan w:val="2"/>
            <w:hideMark/>
          </w:tcPr>
          <w:p w14:paraId="24AE5800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50" w:type="pct"/>
            <w:hideMark/>
          </w:tcPr>
          <w:p w14:paraId="4F72C3FA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PROTECCION Y BIENESTAR SOCIAL DEL RECURSO HUMANO</w:t>
            </w:r>
          </w:p>
        </w:tc>
        <w:tc>
          <w:tcPr>
            <w:tcW w:w="1000" w:type="pct"/>
            <w:hideMark/>
          </w:tcPr>
          <w:p w14:paraId="00D52EB5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45,000,000,000.00</w:t>
            </w:r>
          </w:p>
        </w:tc>
      </w:tr>
      <w:tr w:rsidR="000E5A64" w:rsidRPr="004B72CB" w14:paraId="5FB60F14" w14:textId="77777777" w:rsidTr="004B72CB">
        <w:tc>
          <w:tcPr>
            <w:tcW w:w="400" w:type="pct"/>
            <w:hideMark/>
          </w:tcPr>
          <w:p w14:paraId="3D6A574A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320</w:t>
            </w:r>
          </w:p>
        </w:tc>
        <w:tc>
          <w:tcPr>
            <w:tcW w:w="550" w:type="pct"/>
            <w:hideMark/>
          </w:tcPr>
          <w:p w14:paraId="33A38877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1504</w:t>
            </w:r>
          </w:p>
        </w:tc>
        <w:tc>
          <w:tcPr>
            <w:tcW w:w="1000" w:type="pct"/>
            <w:gridSpan w:val="2"/>
            <w:hideMark/>
          </w:tcPr>
          <w:p w14:paraId="23B6FF78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050" w:type="pct"/>
            <w:gridSpan w:val="2"/>
            <w:hideMark/>
          </w:tcPr>
          <w:p w14:paraId="3E7367F3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ATENCION DE LA FAMILIA, PRIMERA INFANCIA, NIÑEZ, ADOLESCENCIA Y JUVENTUD</w:t>
            </w:r>
          </w:p>
        </w:tc>
        <w:tc>
          <w:tcPr>
            <w:tcW w:w="1000" w:type="pct"/>
            <w:hideMark/>
          </w:tcPr>
          <w:p w14:paraId="6C67A872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45,000,000,000.00</w:t>
            </w:r>
          </w:p>
        </w:tc>
      </w:tr>
      <w:tr w:rsidR="000E5A64" w:rsidRPr="004B72CB" w14:paraId="1D381271" w14:textId="77777777" w:rsidTr="004B72CB">
        <w:tc>
          <w:tcPr>
            <w:tcW w:w="400" w:type="pct"/>
            <w:hideMark/>
          </w:tcPr>
          <w:p w14:paraId="666D613B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320</w:t>
            </w:r>
          </w:p>
        </w:tc>
        <w:tc>
          <w:tcPr>
            <w:tcW w:w="550" w:type="pct"/>
            <w:hideMark/>
          </w:tcPr>
          <w:p w14:paraId="0D381504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1504</w:t>
            </w:r>
          </w:p>
        </w:tc>
        <w:tc>
          <w:tcPr>
            <w:tcW w:w="450" w:type="pct"/>
            <w:hideMark/>
          </w:tcPr>
          <w:p w14:paraId="3B8AE23E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950" w:type="pct"/>
            <w:gridSpan w:val="2"/>
            <w:hideMark/>
          </w:tcPr>
          <w:p w14:paraId="5A16294E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50" w:type="pct"/>
            <w:hideMark/>
          </w:tcPr>
          <w:p w14:paraId="1F3B8BCD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ASISTENCIA A LA PRIMERA INFANCIA A NIVEL NACIONAL</w:t>
            </w:r>
          </w:p>
        </w:tc>
        <w:tc>
          <w:tcPr>
            <w:tcW w:w="1000" w:type="pct"/>
            <w:hideMark/>
          </w:tcPr>
          <w:p w14:paraId="4A6EF19E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45,000,000,000.00</w:t>
            </w:r>
          </w:p>
        </w:tc>
      </w:tr>
      <w:tr w:rsidR="000E5A64" w:rsidRPr="004B72CB" w14:paraId="2C806E5E" w14:textId="77777777" w:rsidTr="004B72CB">
        <w:tc>
          <w:tcPr>
            <w:tcW w:w="950" w:type="pct"/>
            <w:gridSpan w:val="2"/>
            <w:hideMark/>
          </w:tcPr>
          <w:p w14:paraId="0B283CF0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00" w:type="pct"/>
            <w:gridSpan w:val="2"/>
            <w:hideMark/>
          </w:tcPr>
          <w:p w14:paraId="21B68C65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400" w:type="pct"/>
            <w:hideMark/>
          </w:tcPr>
          <w:p w14:paraId="7334C3EC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1650" w:type="pct"/>
            <w:hideMark/>
          </w:tcPr>
          <w:p w14:paraId="4A4D2EA4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000" w:type="pct"/>
            <w:hideMark/>
          </w:tcPr>
          <w:p w14:paraId="0E0337CD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45,000,000,000.00</w:t>
            </w:r>
          </w:p>
        </w:tc>
      </w:tr>
      <w:tr w:rsidR="000E5A64" w:rsidRPr="004B72CB" w14:paraId="0BCD7BBB" w14:textId="77777777" w:rsidTr="004B72CB">
        <w:tc>
          <w:tcPr>
            <w:tcW w:w="400" w:type="pct"/>
            <w:hideMark/>
          </w:tcPr>
          <w:p w14:paraId="5616DD25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320</w:t>
            </w:r>
          </w:p>
        </w:tc>
        <w:tc>
          <w:tcPr>
            <w:tcW w:w="550" w:type="pct"/>
            <w:hideMark/>
          </w:tcPr>
          <w:p w14:paraId="462EBBD8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1504</w:t>
            </w:r>
          </w:p>
        </w:tc>
        <w:tc>
          <w:tcPr>
            <w:tcW w:w="450" w:type="pct"/>
            <w:hideMark/>
          </w:tcPr>
          <w:p w14:paraId="09E91A6C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550" w:type="pct"/>
            <w:hideMark/>
          </w:tcPr>
          <w:p w14:paraId="4EA7699D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101</w:t>
            </w:r>
          </w:p>
        </w:tc>
        <w:tc>
          <w:tcPr>
            <w:tcW w:w="2050" w:type="pct"/>
            <w:gridSpan w:val="2"/>
            <w:hideMark/>
          </w:tcPr>
          <w:p w14:paraId="078B97B6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ATENCIÓN INTEGRAL</w:t>
            </w:r>
          </w:p>
        </w:tc>
        <w:tc>
          <w:tcPr>
            <w:tcW w:w="1000" w:type="pct"/>
            <w:hideMark/>
          </w:tcPr>
          <w:p w14:paraId="1147D545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45,000,000,000.00</w:t>
            </w:r>
          </w:p>
        </w:tc>
      </w:tr>
      <w:tr w:rsidR="000E5A64" w:rsidRPr="004B72CB" w14:paraId="36FF7A0E" w14:textId="77777777" w:rsidTr="004B72CB">
        <w:tc>
          <w:tcPr>
            <w:tcW w:w="950" w:type="pct"/>
            <w:gridSpan w:val="2"/>
            <w:hideMark/>
          </w:tcPr>
          <w:p w14:paraId="6510693B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lastRenderedPageBreak/>
              <w:t> </w:t>
            </w:r>
          </w:p>
        </w:tc>
        <w:tc>
          <w:tcPr>
            <w:tcW w:w="1000" w:type="pct"/>
            <w:gridSpan w:val="2"/>
            <w:hideMark/>
          </w:tcPr>
          <w:p w14:paraId="41A1F465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400" w:type="pct"/>
            <w:hideMark/>
          </w:tcPr>
          <w:p w14:paraId="7D29991C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1650" w:type="pct"/>
            <w:hideMark/>
          </w:tcPr>
          <w:p w14:paraId="3FE3BFE2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000" w:type="pct"/>
            <w:hideMark/>
          </w:tcPr>
          <w:p w14:paraId="1F450C8F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45,000,000,000.00</w:t>
            </w:r>
          </w:p>
        </w:tc>
      </w:tr>
      <w:tr w:rsidR="000E5A64" w:rsidRPr="004B72CB" w14:paraId="1E8DD480" w14:textId="77777777" w:rsidTr="004B72CB">
        <w:tc>
          <w:tcPr>
            <w:tcW w:w="950" w:type="pct"/>
            <w:gridSpan w:val="2"/>
            <w:hideMark/>
          </w:tcPr>
          <w:p w14:paraId="01FA3618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00" w:type="pct"/>
            <w:gridSpan w:val="2"/>
            <w:hideMark/>
          </w:tcPr>
          <w:p w14:paraId="76F9E35F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050" w:type="pct"/>
            <w:gridSpan w:val="2"/>
            <w:hideMark/>
          </w:tcPr>
          <w:p w14:paraId="6B94BD9B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0 ICBF INSTITUTO COLOMBIANO DE BIENESTAR FAMILIAR</w:t>
            </w:r>
          </w:p>
        </w:tc>
        <w:tc>
          <w:tcPr>
            <w:tcW w:w="1000" w:type="pct"/>
            <w:hideMark/>
          </w:tcPr>
          <w:p w14:paraId="443ACB16" w14:textId="77777777" w:rsidR="000E5A64" w:rsidRPr="004B72CB" w:rsidRDefault="000E5A64" w:rsidP="000E5A64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4B72CB">
              <w:rPr>
                <w:rFonts w:ascii="Verdana" w:hAnsi="Verdana"/>
                <w:sz w:val="22"/>
                <w:szCs w:val="22"/>
              </w:rPr>
              <w:t>45,000,000,000.00</w:t>
            </w:r>
          </w:p>
        </w:tc>
      </w:tr>
    </w:tbl>
    <w:p w14:paraId="230B2313" w14:textId="77777777" w:rsidR="004B72CB" w:rsidRDefault="004B72CB" w:rsidP="000E5A64">
      <w:pPr>
        <w:rPr>
          <w:rFonts w:ascii="Verdana" w:hAnsi="Verdana"/>
          <w:b/>
          <w:bCs/>
          <w:sz w:val="22"/>
          <w:szCs w:val="22"/>
        </w:rPr>
      </w:pPr>
      <w:bookmarkStart w:id="2" w:name="3"/>
    </w:p>
    <w:p w14:paraId="11234CF3" w14:textId="70A91EAF" w:rsidR="000E5A64" w:rsidRPr="004B72CB" w:rsidRDefault="000E5A64" w:rsidP="000E5A64">
      <w:pPr>
        <w:rPr>
          <w:rFonts w:ascii="Verdana" w:hAnsi="Verdana"/>
          <w:sz w:val="22"/>
          <w:szCs w:val="22"/>
        </w:rPr>
      </w:pPr>
      <w:r w:rsidRPr="004B72CB">
        <w:rPr>
          <w:rFonts w:ascii="Verdana" w:hAnsi="Verdana"/>
          <w:b/>
          <w:bCs/>
          <w:sz w:val="22"/>
          <w:szCs w:val="22"/>
        </w:rPr>
        <w:t xml:space="preserve">ARTÍCULO </w:t>
      </w:r>
      <w:r w:rsidR="004B72CB">
        <w:rPr>
          <w:rFonts w:ascii="Verdana" w:hAnsi="Verdana"/>
          <w:b/>
          <w:bCs/>
          <w:sz w:val="22"/>
          <w:szCs w:val="22"/>
        </w:rPr>
        <w:t>3o</w:t>
      </w:r>
      <w:r w:rsidRPr="004B72CB">
        <w:rPr>
          <w:rFonts w:ascii="Verdana" w:hAnsi="Verdana"/>
          <w:b/>
          <w:bCs/>
          <w:sz w:val="22"/>
          <w:szCs w:val="22"/>
        </w:rPr>
        <w:t>.</w:t>
      </w:r>
      <w:bookmarkEnd w:id="2"/>
      <w:r w:rsidRPr="004B72CB">
        <w:rPr>
          <w:rFonts w:ascii="Verdana" w:hAnsi="Verdana"/>
          <w:sz w:val="22"/>
          <w:szCs w:val="22"/>
        </w:rPr>
        <w:t> La presente Resolución rige a partir de la fecha de su expedición.</w:t>
      </w:r>
    </w:p>
    <w:p w14:paraId="124BCF8F" w14:textId="4DA5C172" w:rsidR="000E5A64" w:rsidRPr="004B72CB" w:rsidRDefault="000E5A64" w:rsidP="004B72CB">
      <w:pPr>
        <w:jc w:val="center"/>
        <w:rPr>
          <w:rFonts w:ascii="Verdana" w:hAnsi="Verdana"/>
          <w:b/>
          <w:bCs/>
          <w:sz w:val="22"/>
          <w:szCs w:val="22"/>
        </w:rPr>
      </w:pPr>
      <w:r w:rsidRPr="004B72CB">
        <w:rPr>
          <w:rFonts w:ascii="Verdana" w:hAnsi="Verdana"/>
          <w:b/>
          <w:bCs/>
          <w:sz w:val="22"/>
          <w:szCs w:val="22"/>
        </w:rPr>
        <w:t>COMUNIQUESE Y CUMPLASE</w:t>
      </w:r>
      <w:r w:rsidR="004B72CB" w:rsidRPr="004B72CB">
        <w:rPr>
          <w:rFonts w:ascii="Verdana" w:hAnsi="Verdana"/>
          <w:b/>
          <w:bCs/>
          <w:sz w:val="22"/>
          <w:szCs w:val="22"/>
        </w:rPr>
        <w:t>,</w:t>
      </w:r>
    </w:p>
    <w:p w14:paraId="01666D28" w14:textId="44D2C648" w:rsidR="000E5A64" w:rsidRPr="004B72CB" w:rsidRDefault="000E5A64" w:rsidP="004B72CB">
      <w:pPr>
        <w:jc w:val="center"/>
        <w:rPr>
          <w:rFonts w:ascii="Verdana" w:hAnsi="Verdana"/>
          <w:sz w:val="22"/>
          <w:szCs w:val="22"/>
        </w:rPr>
      </w:pPr>
      <w:r w:rsidRPr="004B72CB">
        <w:rPr>
          <w:rFonts w:ascii="Verdana" w:hAnsi="Verdana"/>
          <w:sz w:val="22"/>
          <w:szCs w:val="22"/>
        </w:rPr>
        <w:t xml:space="preserve">Dada en Bogotá, D. C., a los 11 </w:t>
      </w:r>
      <w:r w:rsidR="004B72CB">
        <w:rPr>
          <w:rFonts w:ascii="Verdana" w:hAnsi="Verdana"/>
          <w:sz w:val="22"/>
          <w:szCs w:val="22"/>
        </w:rPr>
        <w:t xml:space="preserve">días del mes de agosto de </w:t>
      </w:r>
      <w:r w:rsidRPr="004B72CB">
        <w:rPr>
          <w:rFonts w:ascii="Verdana" w:hAnsi="Verdana"/>
          <w:sz w:val="22"/>
          <w:szCs w:val="22"/>
        </w:rPr>
        <w:t>2014</w:t>
      </w:r>
    </w:p>
    <w:p w14:paraId="51764097" w14:textId="77777777" w:rsidR="000E5A64" w:rsidRPr="004B72CB" w:rsidRDefault="000E5A64" w:rsidP="004B72CB">
      <w:pPr>
        <w:jc w:val="center"/>
        <w:rPr>
          <w:rFonts w:ascii="Verdana" w:hAnsi="Verdana"/>
          <w:sz w:val="22"/>
          <w:szCs w:val="22"/>
        </w:rPr>
      </w:pPr>
      <w:r w:rsidRPr="004B72CB">
        <w:rPr>
          <w:rFonts w:ascii="Verdana" w:hAnsi="Verdana"/>
          <w:b/>
          <w:bCs/>
          <w:sz w:val="22"/>
          <w:szCs w:val="22"/>
        </w:rPr>
        <w:t xml:space="preserve">GABRIEL </w:t>
      </w:r>
      <w:proofErr w:type="gramStart"/>
      <w:r w:rsidRPr="004B72CB">
        <w:rPr>
          <w:rFonts w:ascii="Verdana" w:hAnsi="Verdana"/>
          <w:b/>
          <w:bCs/>
          <w:sz w:val="22"/>
          <w:szCs w:val="22"/>
        </w:rPr>
        <w:t>VALLEJO  LÓPEZ</w:t>
      </w:r>
      <w:proofErr w:type="gramEnd"/>
    </w:p>
    <w:p w14:paraId="4098CF60" w14:textId="55B20948" w:rsidR="000E5A64" w:rsidRPr="004B72CB" w:rsidRDefault="004B72CB" w:rsidP="004B72CB">
      <w:pPr>
        <w:jc w:val="center"/>
        <w:rPr>
          <w:rFonts w:ascii="Verdana" w:hAnsi="Verdana"/>
          <w:sz w:val="22"/>
          <w:szCs w:val="22"/>
        </w:rPr>
      </w:pPr>
      <w:r w:rsidRPr="004B72CB">
        <w:rPr>
          <w:rFonts w:ascii="Verdana" w:hAnsi="Verdana"/>
          <w:sz w:val="22"/>
          <w:szCs w:val="22"/>
        </w:rPr>
        <w:t>DIRECTOR GENERAL</w:t>
      </w:r>
    </w:p>
    <w:p w14:paraId="4C053AC0" w14:textId="77777777" w:rsidR="000E5A64" w:rsidRPr="004B72CB" w:rsidRDefault="000E5A64" w:rsidP="000E5A64">
      <w:pPr>
        <w:rPr>
          <w:rFonts w:ascii="Verdana" w:hAnsi="Verdana"/>
          <w:sz w:val="22"/>
          <w:szCs w:val="22"/>
        </w:rPr>
      </w:pPr>
    </w:p>
    <w:sectPr w:rsidR="000E5A64" w:rsidRPr="004B72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37D70"/>
    <w:multiLevelType w:val="hybridMultilevel"/>
    <w:tmpl w:val="10108E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6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34"/>
    <w:rsid w:val="00015D2A"/>
    <w:rsid w:val="000E5A64"/>
    <w:rsid w:val="00480034"/>
    <w:rsid w:val="00490B89"/>
    <w:rsid w:val="004B72CB"/>
    <w:rsid w:val="00550F5C"/>
    <w:rsid w:val="0088588F"/>
    <w:rsid w:val="008D1BFD"/>
    <w:rsid w:val="00A47A6A"/>
    <w:rsid w:val="00D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B2A6"/>
  <w15:chartTrackingRefBased/>
  <w15:docId w15:val="{7B866192-0550-40C4-8B52-E43C90AF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64"/>
  </w:style>
  <w:style w:type="paragraph" w:styleId="Ttulo1">
    <w:name w:val="heading 1"/>
    <w:basedOn w:val="Normal"/>
    <w:next w:val="Normal"/>
    <w:link w:val="Ttulo1Car"/>
    <w:uiPriority w:val="9"/>
    <w:qFormat/>
    <w:rsid w:val="00480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0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00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00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00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00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00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00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00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0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0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00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00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00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00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00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00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00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00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0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00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00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0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00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00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00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0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00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003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E5A6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5A6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B72C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FD42AE-460B-42AD-8F22-12FB38668C59}"/>
</file>

<file path=customXml/itemProps2.xml><?xml version="1.0" encoding="utf-8"?>
<ds:datastoreItem xmlns:ds="http://schemas.openxmlformats.org/officeDocument/2006/customXml" ds:itemID="{7F6E4D42-148E-4F07-AC0E-FB1F9E8C337B}"/>
</file>

<file path=customXml/itemProps3.xml><?xml version="1.0" encoding="utf-8"?>
<ds:datastoreItem xmlns:ds="http://schemas.openxmlformats.org/officeDocument/2006/customXml" ds:itemID="{4AE35D70-0765-4C6C-9849-AF631F472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2</cp:revision>
  <dcterms:created xsi:type="dcterms:W3CDTF">2026-01-27T20:03:00Z</dcterms:created>
  <dcterms:modified xsi:type="dcterms:W3CDTF">2026-01-27T20:03:00Z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