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21A6E" w14:textId="376C341A" w:rsidR="00891E4D" w:rsidRPr="00891E4D" w:rsidRDefault="00891E4D" w:rsidP="00891E4D">
      <w:pPr>
        <w:jc w:val="center"/>
        <w:rPr>
          <w:rFonts w:ascii="Verdana" w:hAnsi="Verdana"/>
          <w:b/>
          <w:bCs/>
          <w:sz w:val="22"/>
          <w:szCs w:val="22"/>
        </w:rPr>
      </w:pPr>
      <w:r w:rsidRPr="007D54FA">
        <w:rPr>
          <w:rFonts w:ascii="Verdana" w:hAnsi="Verdana"/>
          <w:b/>
          <w:bCs/>
          <w:sz w:val="22"/>
          <w:szCs w:val="22"/>
        </w:rPr>
        <w:t>RESOLUCIÓN 4444 DE 2014</w:t>
      </w:r>
    </w:p>
    <w:p w14:paraId="17242D28" w14:textId="23694B15" w:rsidR="007C0896" w:rsidRPr="00891E4D" w:rsidRDefault="007C0896" w:rsidP="007C0896">
      <w:pPr>
        <w:rPr>
          <w:rFonts w:ascii="Verdana" w:hAnsi="Verdana"/>
          <w:sz w:val="20"/>
          <w:szCs w:val="20"/>
        </w:rPr>
      </w:pPr>
      <w:r w:rsidRPr="00891E4D">
        <w:rPr>
          <w:rFonts w:ascii="Verdana" w:hAnsi="Verdana"/>
          <w:sz w:val="20"/>
          <w:szCs w:val="20"/>
        </w:rPr>
        <w:t>Fecha de Expedición: 2</w:t>
      </w:r>
      <w:r w:rsidR="00891E4D">
        <w:rPr>
          <w:rFonts w:ascii="Verdana" w:hAnsi="Verdana"/>
          <w:sz w:val="20"/>
          <w:szCs w:val="20"/>
        </w:rPr>
        <w:t>9</w:t>
      </w:r>
      <w:r w:rsidRPr="00891E4D">
        <w:rPr>
          <w:rFonts w:ascii="Verdana" w:hAnsi="Verdana"/>
          <w:sz w:val="20"/>
          <w:szCs w:val="20"/>
        </w:rPr>
        <w:t xml:space="preserve"> de julio de 2014</w:t>
      </w:r>
    </w:p>
    <w:p w14:paraId="61E51C77" w14:textId="64B9A466" w:rsidR="007C0896" w:rsidRPr="00891E4D" w:rsidRDefault="007C0896" w:rsidP="007C0896">
      <w:pPr>
        <w:rPr>
          <w:rFonts w:ascii="Verdana" w:hAnsi="Verdana"/>
          <w:sz w:val="20"/>
          <w:szCs w:val="20"/>
        </w:rPr>
      </w:pPr>
      <w:r w:rsidRPr="00891E4D">
        <w:rPr>
          <w:rFonts w:ascii="Verdana" w:hAnsi="Verdana"/>
          <w:sz w:val="20"/>
          <w:szCs w:val="20"/>
        </w:rPr>
        <w:t xml:space="preserve">Fecha de </w:t>
      </w:r>
      <w:proofErr w:type="gramStart"/>
      <w:r w:rsidRPr="00891E4D">
        <w:rPr>
          <w:rFonts w:ascii="Verdana" w:hAnsi="Verdana"/>
          <w:sz w:val="20"/>
          <w:szCs w:val="20"/>
        </w:rPr>
        <w:t>entrada en vigencia</w:t>
      </w:r>
      <w:proofErr w:type="gramEnd"/>
      <w:r w:rsidRPr="00891E4D">
        <w:rPr>
          <w:rFonts w:ascii="Verdana" w:hAnsi="Verdana"/>
          <w:sz w:val="20"/>
          <w:szCs w:val="20"/>
        </w:rPr>
        <w:t xml:space="preserve">: </w:t>
      </w:r>
      <w:r w:rsidR="00891E4D" w:rsidRPr="00891E4D">
        <w:rPr>
          <w:rFonts w:ascii="Verdana" w:hAnsi="Verdana"/>
          <w:sz w:val="20"/>
          <w:szCs w:val="20"/>
        </w:rPr>
        <w:t>9 de septiembre de 2014</w:t>
      </w:r>
    </w:p>
    <w:p w14:paraId="2D81DF44" w14:textId="77777777" w:rsidR="007C0896" w:rsidRPr="00891E4D" w:rsidRDefault="007C0896" w:rsidP="007C0896">
      <w:pPr>
        <w:rPr>
          <w:rFonts w:ascii="Verdana" w:hAnsi="Verdana"/>
          <w:sz w:val="20"/>
          <w:szCs w:val="20"/>
        </w:rPr>
      </w:pPr>
      <w:r w:rsidRPr="00891E4D">
        <w:rPr>
          <w:rFonts w:ascii="Verdana" w:hAnsi="Verdana"/>
          <w:sz w:val="20"/>
          <w:szCs w:val="20"/>
        </w:rPr>
        <w:t xml:space="preserve">Estado de la vigencia: Vigente </w:t>
      </w:r>
    </w:p>
    <w:p w14:paraId="6A5F0BF7" w14:textId="77777777" w:rsidR="007C0896" w:rsidRPr="00891E4D" w:rsidRDefault="007C0896" w:rsidP="007C0896">
      <w:pPr>
        <w:rPr>
          <w:rFonts w:ascii="Verdana" w:hAnsi="Verdana"/>
          <w:sz w:val="20"/>
          <w:szCs w:val="20"/>
        </w:rPr>
      </w:pPr>
    </w:p>
    <w:p w14:paraId="5B5B01E2" w14:textId="30FE807F" w:rsidR="007C0896" w:rsidRPr="00891E4D" w:rsidRDefault="007C0896" w:rsidP="007C0896">
      <w:pPr>
        <w:rPr>
          <w:rFonts w:ascii="Verdana" w:hAnsi="Verdana"/>
          <w:sz w:val="20"/>
          <w:szCs w:val="20"/>
        </w:rPr>
      </w:pPr>
      <w:r w:rsidRPr="00891E4D">
        <w:rPr>
          <w:rFonts w:ascii="Verdana" w:hAnsi="Verdana"/>
          <w:sz w:val="20"/>
          <w:szCs w:val="20"/>
        </w:rPr>
        <w:t xml:space="preserve">Fecha de publicación en Diario Oficial: </w:t>
      </w:r>
      <w:r w:rsidR="00891E4D" w:rsidRPr="00891E4D">
        <w:rPr>
          <w:rFonts w:ascii="Verdana" w:hAnsi="Verdana"/>
          <w:sz w:val="20"/>
          <w:szCs w:val="20"/>
        </w:rPr>
        <w:t>9 de septiembre de 2014</w:t>
      </w:r>
    </w:p>
    <w:p w14:paraId="100078CC" w14:textId="24DAD374" w:rsidR="007C0896" w:rsidRPr="00891E4D" w:rsidRDefault="007C0896" w:rsidP="007C0896">
      <w:pPr>
        <w:rPr>
          <w:rFonts w:ascii="Verdana" w:hAnsi="Verdana"/>
          <w:sz w:val="20"/>
          <w:szCs w:val="20"/>
        </w:rPr>
      </w:pPr>
      <w:r w:rsidRPr="00891E4D">
        <w:rPr>
          <w:rFonts w:ascii="Verdana" w:hAnsi="Verdana"/>
          <w:sz w:val="20"/>
          <w:szCs w:val="20"/>
        </w:rPr>
        <w:t xml:space="preserve">Número del Diario Oficial: </w:t>
      </w:r>
      <w:r w:rsidR="00891E4D" w:rsidRPr="00891E4D">
        <w:rPr>
          <w:rFonts w:ascii="Verdana" w:hAnsi="Verdana"/>
          <w:sz w:val="20"/>
          <w:szCs w:val="20"/>
        </w:rPr>
        <w:t>No. 49.269</w:t>
      </w:r>
    </w:p>
    <w:p w14:paraId="73C6FA84" w14:textId="319F2A65" w:rsidR="007C0896" w:rsidRPr="007D54FA" w:rsidRDefault="007C0896" w:rsidP="007D54FA">
      <w:pPr>
        <w:jc w:val="center"/>
        <w:rPr>
          <w:rFonts w:ascii="Verdana" w:hAnsi="Verdana"/>
          <w:b/>
          <w:bCs/>
          <w:sz w:val="22"/>
          <w:szCs w:val="22"/>
        </w:rPr>
      </w:pPr>
      <w:r w:rsidRPr="007D54FA">
        <w:rPr>
          <w:rFonts w:ascii="Verdana" w:hAnsi="Verdana"/>
          <w:b/>
          <w:bCs/>
          <w:sz w:val="22"/>
          <w:szCs w:val="22"/>
        </w:rPr>
        <w:t>RESOLUCIÓN 4444 DE 2014</w:t>
      </w:r>
    </w:p>
    <w:p w14:paraId="25B196B7" w14:textId="5310AB71" w:rsidR="007C0896" w:rsidRPr="007D54FA" w:rsidRDefault="007C0896" w:rsidP="007D54FA">
      <w:pPr>
        <w:jc w:val="center"/>
        <w:rPr>
          <w:rFonts w:ascii="Verdana" w:hAnsi="Verdana"/>
          <w:b/>
          <w:bCs/>
          <w:sz w:val="22"/>
          <w:szCs w:val="22"/>
        </w:rPr>
      </w:pPr>
      <w:r w:rsidRPr="007D54FA">
        <w:rPr>
          <w:rFonts w:ascii="Verdana" w:hAnsi="Verdana"/>
          <w:b/>
          <w:bCs/>
          <w:sz w:val="22"/>
          <w:szCs w:val="22"/>
        </w:rPr>
        <w:t>(</w:t>
      </w:r>
      <w:r w:rsidR="007D54FA">
        <w:rPr>
          <w:rFonts w:ascii="Verdana" w:hAnsi="Verdana"/>
          <w:b/>
          <w:bCs/>
          <w:sz w:val="22"/>
          <w:szCs w:val="22"/>
        </w:rPr>
        <w:t xml:space="preserve">29 de </w:t>
      </w:r>
      <w:r w:rsidRPr="007D54FA">
        <w:rPr>
          <w:rFonts w:ascii="Verdana" w:hAnsi="Verdana"/>
          <w:b/>
          <w:bCs/>
          <w:sz w:val="22"/>
          <w:szCs w:val="22"/>
        </w:rPr>
        <w:t>julio)</w:t>
      </w:r>
    </w:p>
    <w:p w14:paraId="73F4982F" w14:textId="55062B40" w:rsidR="007C0896" w:rsidRPr="007D54FA" w:rsidRDefault="007C0896" w:rsidP="007D54FA">
      <w:pPr>
        <w:jc w:val="center"/>
        <w:rPr>
          <w:rFonts w:ascii="Verdana" w:hAnsi="Verdana"/>
          <w:b/>
          <w:bCs/>
          <w:sz w:val="22"/>
          <w:szCs w:val="22"/>
        </w:rPr>
      </w:pPr>
      <w:r w:rsidRPr="007D54FA">
        <w:rPr>
          <w:rFonts w:ascii="Verdana" w:hAnsi="Verdana"/>
          <w:b/>
          <w:bCs/>
          <w:sz w:val="22"/>
          <w:szCs w:val="22"/>
        </w:rPr>
        <w:t>INSTITUTO COLOMBIANO DE BIENESTAR FAMILIAR</w:t>
      </w:r>
    </w:p>
    <w:p w14:paraId="71E310EF" w14:textId="19641EB9" w:rsidR="007C0896" w:rsidRPr="007D54FA" w:rsidRDefault="007C0896" w:rsidP="007D54FA">
      <w:pPr>
        <w:jc w:val="center"/>
        <w:rPr>
          <w:rFonts w:ascii="Verdana" w:hAnsi="Verdana"/>
          <w:b/>
          <w:bCs/>
          <w:sz w:val="22"/>
          <w:szCs w:val="22"/>
        </w:rPr>
      </w:pPr>
      <w:r w:rsidRPr="007D54FA">
        <w:rPr>
          <w:rFonts w:ascii="Verdana" w:hAnsi="Verdana"/>
          <w:b/>
          <w:bCs/>
          <w:sz w:val="22"/>
          <w:szCs w:val="22"/>
        </w:rPr>
        <w:t>CECILIA DE LA FUENTE DE LLERAS</w:t>
      </w:r>
    </w:p>
    <w:p w14:paraId="37E1C6FC" w14:textId="62A71E91" w:rsidR="007C0896" w:rsidRPr="007D54FA" w:rsidRDefault="007C0896" w:rsidP="007D54FA">
      <w:pPr>
        <w:jc w:val="center"/>
        <w:rPr>
          <w:rFonts w:ascii="Verdana" w:hAnsi="Verdana"/>
          <w:b/>
          <w:bCs/>
          <w:sz w:val="22"/>
          <w:szCs w:val="22"/>
        </w:rPr>
      </w:pPr>
      <w:r w:rsidRPr="007D54FA">
        <w:rPr>
          <w:rFonts w:ascii="Verdana" w:hAnsi="Verdana"/>
          <w:b/>
          <w:bCs/>
          <w:sz w:val="22"/>
          <w:szCs w:val="22"/>
        </w:rPr>
        <w:t>DIRECCIÓN GENERAL</w:t>
      </w:r>
    </w:p>
    <w:p w14:paraId="47E35649" w14:textId="4143D0ED" w:rsidR="007C0896" w:rsidRPr="007C0896" w:rsidRDefault="007D54FA" w:rsidP="007D54FA">
      <w:pPr>
        <w:jc w:val="center"/>
        <w:rPr>
          <w:rFonts w:ascii="Verdana" w:hAnsi="Verdana"/>
          <w:sz w:val="22"/>
          <w:szCs w:val="22"/>
        </w:rPr>
      </w:pPr>
      <w:r>
        <w:rPr>
          <w:rFonts w:ascii="Verdana" w:hAnsi="Verdana"/>
          <w:sz w:val="22"/>
          <w:szCs w:val="22"/>
        </w:rPr>
        <w:t>“</w:t>
      </w:r>
      <w:r w:rsidR="007C0896" w:rsidRPr="007C0896">
        <w:rPr>
          <w:rFonts w:ascii="Verdana" w:hAnsi="Verdana"/>
          <w:sz w:val="22"/>
          <w:szCs w:val="22"/>
        </w:rPr>
        <w:t>Por la cual se modifican algunos indicadores y metas para el año 2014 del Plan Indicativo Institucional para el período 2011-2014: Para que los niños y las familias de Colombia tengan derecho a crecer con bienestar. Nuestros resultados son derechos, y se modifica la Resolución número 3041 del 29 de junio de 2012.</w:t>
      </w:r>
      <w:r>
        <w:rPr>
          <w:rFonts w:ascii="Verdana" w:hAnsi="Verdana"/>
          <w:sz w:val="22"/>
          <w:szCs w:val="22"/>
        </w:rPr>
        <w:t>”</w:t>
      </w:r>
    </w:p>
    <w:p w14:paraId="6CA643DE" w14:textId="6376075A" w:rsidR="007C0896" w:rsidRPr="007D54FA" w:rsidRDefault="007C0896" w:rsidP="007D54FA">
      <w:pPr>
        <w:jc w:val="center"/>
        <w:rPr>
          <w:rFonts w:ascii="Verdana" w:hAnsi="Verdana"/>
          <w:b/>
          <w:bCs/>
          <w:sz w:val="22"/>
          <w:szCs w:val="22"/>
        </w:rPr>
      </w:pPr>
      <w:r w:rsidRPr="007D54FA">
        <w:rPr>
          <w:rFonts w:ascii="Verdana" w:hAnsi="Verdana"/>
          <w:b/>
          <w:bCs/>
          <w:sz w:val="22"/>
          <w:szCs w:val="22"/>
        </w:rPr>
        <w:t>EL DIRECTOR GENERAL DEL INSTITUTO COLOMBIANO DE BIENESTAR FAMILIAR CECILIA DE LA FUENTE DE LLERAS,</w:t>
      </w:r>
    </w:p>
    <w:p w14:paraId="61F96441" w14:textId="5F1D8A80" w:rsidR="007C0896" w:rsidRPr="007D54FA" w:rsidRDefault="007C0896" w:rsidP="007D54FA">
      <w:pPr>
        <w:jc w:val="center"/>
        <w:rPr>
          <w:rFonts w:ascii="Verdana" w:hAnsi="Verdana"/>
          <w:sz w:val="22"/>
          <w:szCs w:val="22"/>
        </w:rPr>
      </w:pPr>
      <w:r w:rsidRPr="007C0896">
        <w:rPr>
          <w:rFonts w:ascii="Verdana" w:hAnsi="Verdana"/>
          <w:sz w:val="22"/>
          <w:szCs w:val="22"/>
        </w:rPr>
        <w:t>en uso de sus facultades legales y estatutarias señaladas en la Ley 7ª de 1979, el Decreto número 334 de 1980, el artículo 78 de la Ley 489 de 1998, y en el 2o inciso del artículo 2o del Decreto número 987 de 2012, y</w:t>
      </w:r>
    </w:p>
    <w:p w14:paraId="767A1AA0" w14:textId="0C23B2CC" w:rsidR="007C0896" w:rsidRPr="007D54FA" w:rsidRDefault="007C0896" w:rsidP="007D54FA">
      <w:pPr>
        <w:jc w:val="center"/>
        <w:rPr>
          <w:rFonts w:ascii="Verdana" w:hAnsi="Verdana"/>
          <w:b/>
          <w:bCs/>
          <w:sz w:val="22"/>
          <w:szCs w:val="22"/>
        </w:rPr>
      </w:pPr>
      <w:r w:rsidRPr="007D54FA">
        <w:rPr>
          <w:rFonts w:ascii="Verdana" w:hAnsi="Verdana"/>
          <w:b/>
          <w:bCs/>
          <w:sz w:val="22"/>
          <w:szCs w:val="22"/>
        </w:rPr>
        <w:t>CONSIDERANDO:</w:t>
      </w:r>
    </w:p>
    <w:p w14:paraId="05220AC9" w14:textId="23EB24AA" w:rsidR="007C0896" w:rsidRPr="007D54FA" w:rsidRDefault="007C0896" w:rsidP="007C0896">
      <w:pPr>
        <w:pStyle w:val="Prrafodelista"/>
        <w:numPr>
          <w:ilvl w:val="0"/>
          <w:numId w:val="1"/>
        </w:numPr>
        <w:rPr>
          <w:rFonts w:ascii="Verdana" w:hAnsi="Verdana"/>
          <w:sz w:val="22"/>
          <w:szCs w:val="22"/>
        </w:rPr>
      </w:pPr>
      <w:r w:rsidRPr="007D54FA">
        <w:rPr>
          <w:rFonts w:ascii="Verdana" w:hAnsi="Verdana"/>
          <w:sz w:val="22"/>
          <w:szCs w:val="22"/>
        </w:rPr>
        <w:t>Que la Ley 152 de 1994, “por la cual se establece la Ley Orgánica del Plan de Desarrollo”, señala en el artículo 29, inciso 2o, que: “(...) todos los organismos de la administración pública nacional deberán elaborar, con base en los lineamientos del Plan Nacional de Desarrollo y de las funciones que le señale la ley, un plan indicativo cuatrienal con planes de acción anuales que se constituirá en la base para la posterior evaluación de resultados (…)”;</w:t>
      </w:r>
    </w:p>
    <w:p w14:paraId="76A4FEE6" w14:textId="24CAFC66" w:rsidR="007C0896" w:rsidRPr="007D54FA" w:rsidRDefault="007C0896" w:rsidP="007C0896">
      <w:pPr>
        <w:pStyle w:val="Prrafodelista"/>
        <w:numPr>
          <w:ilvl w:val="0"/>
          <w:numId w:val="1"/>
        </w:numPr>
        <w:rPr>
          <w:rFonts w:ascii="Verdana" w:hAnsi="Verdana"/>
          <w:sz w:val="22"/>
          <w:szCs w:val="22"/>
        </w:rPr>
      </w:pPr>
      <w:r w:rsidRPr="007D54FA">
        <w:rPr>
          <w:rFonts w:ascii="Verdana" w:hAnsi="Verdana"/>
          <w:sz w:val="22"/>
          <w:szCs w:val="22"/>
        </w:rPr>
        <w:t>Que dando cumplimiento a lo anteriormente expuesto y de conformidad con las estrategias y metas establecidas en el Plan Nacional de Desarrollo 2010-2014 “Prosperidad para Todos”, aprobado mediante la Ley 1450 de 2011, el Instituto Colombiano de Bienestar Familiar aprobó mediante la Resolución número 4379 de 2011 el Plan Indicativo Institucional para el periodo 2011-2014 “Por la prosperidad de la primera infancia y la familia colombiana”, como un ejercicio de construcción conjunta y participativa con los dueños de procesos y Direcciones Regionales para dar alcance a los niveles nacional, regional y zonal;</w:t>
      </w:r>
    </w:p>
    <w:p w14:paraId="7C329A8A" w14:textId="49CF513C" w:rsidR="007C0896" w:rsidRPr="007D54FA" w:rsidRDefault="007C0896" w:rsidP="007C0896">
      <w:pPr>
        <w:pStyle w:val="Prrafodelista"/>
        <w:numPr>
          <w:ilvl w:val="0"/>
          <w:numId w:val="1"/>
        </w:numPr>
        <w:rPr>
          <w:rFonts w:ascii="Verdana" w:hAnsi="Verdana"/>
          <w:sz w:val="22"/>
          <w:szCs w:val="22"/>
        </w:rPr>
      </w:pPr>
      <w:r w:rsidRPr="007D54FA">
        <w:rPr>
          <w:rFonts w:ascii="Verdana" w:hAnsi="Verdana"/>
          <w:sz w:val="22"/>
          <w:szCs w:val="22"/>
        </w:rPr>
        <w:lastRenderedPageBreak/>
        <w:t xml:space="preserve">Que mediante la Resolución número 3041 de 2012 se actualizó el Plan Indicativo Institucional para el periodo 2011-2014 denominado “Para que los niños y las familias de Colombia tengan derecho a crecer con bienestar. Nuestros resultados son derechos”, derogándose la Resolución número 4379 de 2011, y ajustando sus objetivos estratégicos con el fin de alinearlos a los del nuevo Sector de la Inclusión Social y la Reconciliación e incorporando elementos sustanciales como: i) el enfoque de protección integral; </w:t>
      </w:r>
      <w:proofErr w:type="spellStart"/>
      <w:r w:rsidRPr="007D54FA">
        <w:rPr>
          <w:rFonts w:ascii="Verdana" w:hAnsi="Verdana"/>
          <w:sz w:val="22"/>
          <w:szCs w:val="22"/>
        </w:rPr>
        <w:t>ii</w:t>
      </w:r>
      <w:proofErr w:type="spellEnd"/>
      <w:r w:rsidRPr="007D54FA">
        <w:rPr>
          <w:rFonts w:ascii="Verdana" w:hAnsi="Verdana"/>
          <w:sz w:val="22"/>
          <w:szCs w:val="22"/>
        </w:rPr>
        <w:t xml:space="preserve">) la atención y reparación a los niños, niñas, adolescentes y familias víctimas de la violencia; </w:t>
      </w:r>
      <w:proofErr w:type="spellStart"/>
      <w:r w:rsidRPr="007D54FA">
        <w:rPr>
          <w:rFonts w:ascii="Verdana" w:hAnsi="Verdana"/>
          <w:sz w:val="22"/>
          <w:szCs w:val="22"/>
        </w:rPr>
        <w:t>iii</w:t>
      </w:r>
      <w:proofErr w:type="spellEnd"/>
      <w:r w:rsidRPr="007D54FA">
        <w:rPr>
          <w:rFonts w:ascii="Verdana" w:hAnsi="Verdana"/>
          <w:sz w:val="22"/>
          <w:szCs w:val="22"/>
        </w:rPr>
        <w:t>) la promoción, prevención y recuperación la perspectiva de género y el enfoque diferencial;</w:t>
      </w:r>
    </w:p>
    <w:p w14:paraId="39D3895E" w14:textId="207506AC" w:rsidR="007C0896" w:rsidRPr="007D54FA" w:rsidRDefault="007C0896" w:rsidP="007C0896">
      <w:pPr>
        <w:pStyle w:val="Prrafodelista"/>
        <w:numPr>
          <w:ilvl w:val="0"/>
          <w:numId w:val="1"/>
        </w:numPr>
        <w:rPr>
          <w:rFonts w:ascii="Verdana" w:hAnsi="Verdana"/>
          <w:sz w:val="22"/>
          <w:szCs w:val="22"/>
        </w:rPr>
      </w:pPr>
      <w:r w:rsidRPr="007D54FA">
        <w:rPr>
          <w:rFonts w:ascii="Verdana" w:hAnsi="Verdana"/>
          <w:sz w:val="22"/>
          <w:szCs w:val="22"/>
        </w:rPr>
        <w:t>Que una vez realizada la revisión de los indicadores y las metas del Plan Indicativo para la vigencia 2014, así como sus correspondientes justificaciones técnicas para el ajuste, en sesión de Comité de Dirección del 22 de julio de 2014, se aprobaron modificaciones en cinco (5) indicadores correspondientes a reingeniería del indicador en nombre, meta y metodología de medición planteada por cada área; ocho (8) correspondientes a cambios en el nombre del indicador y meta sin afectar la metodología de medición; tres (3) correspondientes a cambios en la meta sin afectar la metodología de medición establecida; dos (2) correspondientes a cambios en la meta (acumulación de periodos anteriores) sin afectar la metodología; uno (1) correspondiente a la acumulación de meta; diecinueve (19) correspondientes a cambios de forma y no en la meta ni en la metodología del indicador y (4) indicadores con cumplimiento anticipado o desaparición por normatividad, dando cumplimiento al procedimiento establecido para la “Definición del Plan Indicativo Institucional”;</w:t>
      </w:r>
    </w:p>
    <w:p w14:paraId="3EF0313A" w14:textId="7A8F6724" w:rsidR="007C0896" w:rsidRPr="007D54FA" w:rsidRDefault="007C0896" w:rsidP="007C0896">
      <w:pPr>
        <w:pStyle w:val="Prrafodelista"/>
        <w:numPr>
          <w:ilvl w:val="0"/>
          <w:numId w:val="1"/>
        </w:numPr>
        <w:rPr>
          <w:rFonts w:ascii="Verdana" w:hAnsi="Verdana"/>
          <w:sz w:val="22"/>
          <w:szCs w:val="22"/>
        </w:rPr>
      </w:pPr>
      <w:r w:rsidRPr="007D54FA">
        <w:rPr>
          <w:rFonts w:ascii="Verdana" w:hAnsi="Verdana"/>
          <w:sz w:val="22"/>
          <w:szCs w:val="22"/>
        </w:rPr>
        <w:t>Que la justificación técnica para modificar los indicadores del Plan Indicativo para la vigencia 2014, se encuentra soportada en el documento que hace parte integral del Acta del 22 de julio de 2014;</w:t>
      </w:r>
    </w:p>
    <w:p w14:paraId="72A14A0D" w14:textId="67E1A7E8" w:rsidR="007C0896" w:rsidRPr="007D54FA" w:rsidRDefault="007C0896" w:rsidP="007C0896">
      <w:pPr>
        <w:pStyle w:val="Prrafodelista"/>
        <w:numPr>
          <w:ilvl w:val="0"/>
          <w:numId w:val="1"/>
        </w:numPr>
        <w:rPr>
          <w:rFonts w:ascii="Verdana" w:hAnsi="Verdana"/>
          <w:sz w:val="22"/>
          <w:szCs w:val="22"/>
        </w:rPr>
      </w:pPr>
      <w:proofErr w:type="gramStart"/>
      <w:r w:rsidRPr="007D54FA">
        <w:rPr>
          <w:rFonts w:ascii="Verdana" w:hAnsi="Verdana"/>
          <w:sz w:val="22"/>
          <w:szCs w:val="22"/>
        </w:rPr>
        <w:t>Que</w:t>
      </w:r>
      <w:proofErr w:type="gramEnd"/>
      <w:r w:rsidRPr="007D54FA">
        <w:rPr>
          <w:rFonts w:ascii="Verdana" w:hAnsi="Verdana"/>
          <w:sz w:val="22"/>
          <w:szCs w:val="22"/>
        </w:rPr>
        <w:t xml:space="preserve"> en mérito de lo expuesto, se hace necesario modificar el Plan Indicativo Institucional 2011-2014 “Para que los niños y las familias de Colombia tengan derecho a crecer con bienestar.</w:t>
      </w:r>
    </w:p>
    <w:p w14:paraId="6D404E59" w14:textId="1348790B" w:rsidR="007C0896" w:rsidRPr="007D54FA" w:rsidRDefault="007C0896" w:rsidP="007D54FA">
      <w:pPr>
        <w:pStyle w:val="Prrafodelista"/>
        <w:numPr>
          <w:ilvl w:val="0"/>
          <w:numId w:val="1"/>
        </w:numPr>
        <w:rPr>
          <w:rFonts w:ascii="Verdana" w:hAnsi="Verdana"/>
          <w:sz w:val="22"/>
          <w:szCs w:val="22"/>
        </w:rPr>
      </w:pPr>
      <w:r w:rsidRPr="007D54FA">
        <w:rPr>
          <w:rFonts w:ascii="Verdana" w:hAnsi="Verdana"/>
          <w:sz w:val="22"/>
          <w:szCs w:val="22"/>
        </w:rPr>
        <w:t>Nuestros resultados son derechos”, en sus indicadores y metas para la vigencia 2014,</w:t>
      </w:r>
    </w:p>
    <w:p w14:paraId="570AA437" w14:textId="77777777" w:rsidR="007C0896" w:rsidRPr="007D54FA" w:rsidRDefault="007C0896" w:rsidP="007D54FA">
      <w:pPr>
        <w:jc w:val="center"/>
        <w:rPr>
          <w:rFonts w:ascii="Verdana" w:hAnsi="Verdana"/>
          <w:b/>
          <w:bCs/>
          <w:sz w:val="22"/>
          <w:szCs w:val="22"/>
        </w:rPr>
      </w:pPr>
      <w:r w:rsidRPr="007D54FA">
        <w:rPr>
          <w:rFonts w:ascii="Verdana" w:hAnsi="Verdana"/>
          <w:b/>
          <w:bCs/>
          <w:sz w:val="22"/>
          <w:szCs w:val="22"/>
        </w:rPr>
        <w:t>RESUELVE:</w:t>
      </w:r>
    </w:p>
    <w:p w14:paraId="25463F94" w14:textId="77777777" w:rsidR="007C0896" w:rsidRPr="007C0896" w:rsidRDefault="007C0896" w:rsidP="007C0896">
      <w:pPr>
        <w:rPr>
          <w:rFonts w:ascii="Verdana" w:hAnsi="Verdana"/>
          <w:sz w:val="22"/>
          <w:szCs w:val="22"/>
        </w:rPr>
      </w:pPr>
      <w:r w:rsidRPr="007D54FA">
        <w:rPr>
          <w:rFonts w:ascii="Verdana" w:hAnsi="Verdana"/>
          <w:b/>
          <w:bCs/>
          <w:sz w:val="22"/>
          <w:szCs w:val="22"/>
        </w:rPr>
        <w:t>ARTÍCULO 1o.</w:t>
      </w:r>
      <w:r w:rsidRPr="007C0896">
        <w:rPr>
          <w:rFonts w:ascii="Verdana" w:hAnsi="Verdana"/>
          <w:sz w:val="22"/>
          <w:szCs w:val="22"/>
        </w:rPr>
        <w:t xml:space="preserve"> Modificar el Plan Indicativo Institucional para el periodo 2011-2014: “Para que los niños y las familias de Colombia tengan derecho a crecer con Bienestar. Nuestros resultados son Derechos”, en los siguientes indicadores y metas, para la vigencia 2014, los cuales quedarán así:</w:t>
      </w:r>
    </w:p>
    <w:p w14:paraId="04D636D6" w14:textId="77777777" w:rsidR="007D54FA" w:rsidRPr="007D54FA" w:rsidRDefault="007D54FA" w:rsidP="007D54FA">
      <w:pPr>
        <w:rPr>
          <w:rFonts w:ascii="Verdana" w:hAnsi="Verdana"/>
          <w:sz w:val="22"/>
          <w:szCs w:val="22"/>
        </w:rPr>
      </w:pPr>
      <w:r w:rsidRPr="007D54FA">
        <w:rPr>
          <w:rFonts w:ascii="Verdana" w:hAnsi="Verdana"/>
          <w:sz w:val="22"/>
          <w:szCs w:val="22"/>
        </w:rPr>
        <w:t>-- Indicadores con cambios en nombre y meta:</w:t>
      </w:r>
    </w:p>
    <w:tbl>
      <w:tblPr>
        <w:tblStyle w:val="Tablaconcuadrcula"/>
        <w:tblW w:w="4750" w:type="pct"/>
        <w:tblLook w:val="04A0" w:firstRow="1" w:lastRow="0" w:firstColumn="1" w:lastColumn="0" w:noHBand="0" w:noVBand="1"/>
      </w:tblPr>
      <w:tblGrid>
        <w:gridCol w:w="760"/>
        <w:gridCol w:w="6271"/>
        <w:gridCol w:w="1356"/>
      </w:tblGrid>
      <w:tr w:rsidR="007D54FA" w:rsidRPr="007D54FA" w14:paraId="5143B985" w14:textId="77777777" w:rsidTr="007D54FA">
        <w:tc>
          <w:tcPr>
            <w:tcW w:w="350" w:type="pct"/>
            <w:hideMark/>
          </w:tcPr>
          <w:p w14:paraId="29027427" w14:textId="77777777" w:rsidR="007D54FA" w:rsidRPr="007D54FA" w:rsidRDefault="007D54FA" w:rsidP="007D54FA">
            <w:pPr>
              <w:spacing w:after="160"/>
              <w:rPr>
                <w:rFonts w:ascii="Verdana" w:hAnsi="Verdana"/>
                <w:sz w:val="22"/>
                <w:szCs w:val="22"/>
              </w:rPr>
            </w:pPr>
            <w:r w:rsidRPr="007D54FA">
              <w:rPr>
                <w:rFonts w:ascii="Verdana" w:hAnsi="Verdana"/>
                <w:b/>
                <w:bCs/>
                <w:sz w:val="22"/>
                <w:szCs w:val="22"/>
              </w:rPr>
              <w:t>Cód.</w:t>
            </w:r>
          </w:p>
        </w:tc>
        <w:tc>
          <w:tcPr>
            <w:tcW w:w="4100" w:type="pct"/>
            <w:hideMark/>
          </w:tcPr>
          <w:p w14:paraId="5E2ECFC9" w14:textId="77777777" w:rsidR="007D54FA" w:rsidRPr="007D54FA" w:rsidRDefault="007D54FA" w:rsidP="007D54FA">
            <w:pPr>
              <w:spacing w:after="160"/>
              <w:rPr>
                <w:rFonts w:ascii="Verdana" w:hAnsi="Verdana"/>
                <w:sz w:val="22"/>
                <w:szCs w:val="22"/>
              </w:rPr>
            </w:pPr>
            <w:r w:rsidRPr="007D54FA">
              <w:rPr>
                <w:rFonts w:ascii="Verdana" w:hAnsi="Verdana"/>
                <w:b/>
                <w:bCs/>
                <w:sz w:val="22"/>
                <w:szCs w:val="22"/>
              </w:rPr>
              <w:t>Indicador 2014</w:t>
            </w:r>
          </w:p>
        </w:tc>
        <w:tc>
          <w:tcPr>
            <w:tcW w:w="600" w:type="pct"/>
            <w:hideMark/>
          </w:tcPr>
          <w:p w14:paraId="44E64722" w14:textId="77777777" w:rsidR="007D54FA" w:rsidRPr="007D54FA" w:rsidRDefault="007D54FA" w:rsidP="007D54FA">
            <w:pPr>
              <w:spacing w:after="160"/>
              <w:rPr>
                <w:rFonts w:ascii="Verdana" w:hAnsi="Verdana"/>
                <w:sz w:val="22"/>
                <w:szCs w:val="22"/>
              </w:rPr>
            </w:pPr>
            <w:r w:rsidRPr="007D54FA">
              <w:rPr>
                <w:rFonts w:ascii="Verdana" w:hAnsi="Verdana"/>
                <w:b/>
                <w:bCs/>
                <w:sz w:val="22"/>
                <w:szCs w:val="22"/>
              </w:rPr>
              <w:t>Meta 2014</w:t>
            </w:r>
          </w:p>
        </w:tc>
      </w:tr>
      <w:tr w:rsidR="007D54FA" w:rsidRPr="007D54FA" w14:paraId="4B97419F" w14:textId="77777777" w:rsidTr="007D54FA">
        <w:tc>
          <w:tcPr>
            <w:tcW w:w="350" w:type="pct"/>
            <w:hideMark/>
          </w:tcPr>
          <w:p w14:paraId="2E30F8D0" w14:textId="77777777" w:rsidR="007D54FA" w:rsidRPr="007D54FA" w:rsidRDefault="007D54FA" w:rsidP="007D54FA">
            <w:pPr>
              <w:spacing w:after="160"/>
              <w:rPr>
                <w:rFonts w:ascii="Verdana" w:hAnsi="Verdana"/>
                <w:sz w:val="22"/>
                <w:szCs w:val="22"/>
              </w:rPr>
            </w:pPr>
            <w:r w:rsidRPr="007D54FA">
              <w:rPr>
                <w:rFonts w:ascii="Verdana" w:hAnsi="Verdana"/>
                <w:sz w:val="22"/>
                <w:szCs w:val="22"/>
              </w:rPr>
              <w:t>E-05</w:t>
            </w:r>
          </w:p>
        </w:tc>
        <w:tc>
          <w:tcPr>
            <w:tcW w:w="4100" w:type="pct"/>
            <w:hideMark/>
          </w:tcPr>
          <w:p w14:paraId="27C600B5" w14:textId="77777777" w:rsidR="007D54FA" w:rsidRPr="007D54FA" w:rsidRDefault="007D54FA" w:rsidP="007D54FA">
            <w:pPr>
              <w:spacing w:after="160"/>
              <w:rPr>
                <w:rFonts w:ascii="Verdana" w:hAnsi="Verdana"/>
                <w:sz w:val="22"/>
                <w:szCs w:val="22"/>
              </w:rPr>
            </w:pPr>
            <w:r w:rsidRPr="007D54FA">
              <w:rPr>
                <w:rFonts w:ascii="Verdana" w:hAnsi="Verdana"/>
                <w:sz w:val="22"/>
                <w:szCs w:val="22"/>
              </w:rPr>
              <w:t>Niños, niñas y adolescentes vinculados a programas de prevención.</w:t>
            </w:r>
          </w:p>
        </w:tc>
        <w:tc>
          <w:tcPr>
            <w:tcW w:w="600" w:type="pct"/>
            <w:hideMark/>
          </w:tcPr>
          <w:p w14:paraId="7215DB9E" w14:textId="77777777" w:rsidR="007D54FA" w:rsidRPr="007D54FA" w:rsidRDefault="007D54FA" w:rsidP="007D54FA">
            <w:pPr>
              <w:spacing w:after="160"/>
              <w:rPr>
                <w:rFonts w:ascii="Verdana" w:hAnsi="Verdana"/>
                <w:sz w:val="22"/>
                <w:szCs w:val="22"/>
              </w:rPr>
            </w:pPr>
            <w:r w:rsidRPr="007D54FA">
              <w:rPr>
                <w:rFonts w:ascii="Verdana" w:hAnsi="Verdana"/>
                <w:sz w:val="22"/>
                <w:szCs w:val="22"/>
              </w:rPr>
              <w:t>200.000</w:t>
            </w:r>
          </w:p>
        </w:tc>
      </w:tr>
      <w:tr w:rsidR="007D54FA" w:rsidRPr="007D54FA" w14:paraId="431FBCA1" w14:textId="77777777" w:rsidTr="007D54FA">
        <w:tc>
          <w:tcPr>
            <w:tcW w:w="350" w:type="pct"/>
            <w:hideMark/>
          </w:tcPr>
          <w:p w14:paraId="04BD491B" w14:textId="77777777" w:rsidR="007D54FA" w:rsidRPr="007D54FA" w:rsidRDefault="007D54FA" w:rsidP="007D54FA">
            <w:pPr>
              <w:spacing w:after="160"/>
              <w:rPr>
                <w:rFonts w:ascii="Verdana" w:hAnsi="Verdana"/>
                <w:sz w:val="22"/>
                <w:szCs w:val="22"/>
              </w:rPr>
            </w:pPr>
            <w:r w:rsidRPr="007D54FA">
              <w:rPr>
                <w:rFonts w:ascii="Verdana" w:hAnsi="Verdana"/>
                <w:sz w:val="22"/>
                <w:szCs w:val="22"/>
              </w:rPr>
              <w:lastRenderedPageBreak/>
              <w:t>E-06</w:t>
            </w:r>
          </w:p>
        </w:tc>
        <w:tc>
          <w:tcPr>
            <w:tcW w:w="4100" w:type="pct"/>
            <w:hideMark/>
          </w:tcPr>
          <w:p w14:paraId="6CAA4A34" w14:textId="77777777" w:rsidR="007D54FA" w:rsidRPr="007D54FA" w:rsidRDefault="007D54FA" w:rsidP="007D54FA">
            <w:pPr>
              <w:spacing w:after="160"/>
              <w:rPr>
                <w:rFonts w:ascii="Verdana" w:hAnsi="Verdana"/>
                <w:sz w:val="22"/>
                <w:szCs w:val="22"/>
              </w:rPr>
            </w:pPr>
            <w:r w:rsidRPr="007D54FA">
              <w:rPr>
                <w:rFonts w:ascii="Verdana" w:hAnsi="Verdana"/>
                <w:sz w:val="22"/>
                <w:szCs w:val="22"/>
              </w:rPr>
              <w:t>Niños, niñas y adolescentes atendidos por el Programa de Alimentación Escolar (PAE).</w:t>
            </w:r>
          </w:p>
        </w:tc>
        <w:tc>
          <w:tcPr>
            <w:tcW w:w="600" w:type="pct"/>
            <w:hideMark/>
          </w:tcPr>
          <w:p w14:paraId="5BED8BF9" w14:textId="77777777" w:rsidR="007D54FA" w:rsidRPr="007D54FA" w:rsidRDefault="007D54FA" w:rsidP="007D54FA">
            <w:pPr>
              <w:spacing w:after="160"/>
              <w:rPr>
                <w:rFonts w:ascii="Verdana" w:hAnsi="Verdana"/>
                <w:sz w:val="22"/>
                <w:szCs w:val="22"/>
              </w:rPr>
            </w:pPr>
            <w:r w:rsidRPr="007D54FA">
              <w:rPr>
                <w:rFonts w:ascii="Verdana" w:hAnsi="Verdana"/>
                <w:sz w:val="22"/>
                <w:szCs w:val="22"/>
              </w:rPr>
              <w:t>571.695</w:t>
            </w:r>
          </w:p>
        </w:tc>
      </w:tr>
      <w:tr w:rsidR="007D54FA" w:rsidRPr="007D54FA" w14:paraId="47E426F2" w14:textId="77777777" w:rsidTr="007D54FA">
        <w:tc>
          <w:tcPr>
            <w:tcW w:w="350" w:type="pct"/>
            <w:hideMark/>
          </w:tcPr>
          <w:p w14:paraId="339438EB" w14:textId="77777777" w:rsidR="007D54FA" w:rsidRPr="007D54FA" w:rsidRDefault="007D54FA" w:rsidP="007D54FA">
            <w:pPr>
              <w:spacing w:after="160"/>
              <w:rPr>
                <w:rFonts w:ascii="Verdana" w:hAnsi="Verdana"/>
                <w:sz w:val="22"/>
                <w:szCs w:val="22"/>
              </w:rPr>
            </w:pPr>
            <w:r w:rsidRPr="007D54FA">
              <w:rPr>
                <w:rFonts w:ascii="Verdana" w:hAnsi="Verdana"/>
                <w:sz w:val="22"/>
                <w:szCs w:val="22"/>
              </w:rPr>
              <w:t>E-09</w:t>
            </w:r>
          </w:p>
        </w:tc>
        <w:tc>
          <w:tcPr>
            <w:tcW w:w="4100" w:type="pct"/>
            <w:hideMark/>
          </w:tcPr>
          <w:p w14:paraId="58584D56" w14:textId="77777777" w:rsidR="007D54FA" w:rsidRPr="007D54FA" w:rsidRDefault="007D54FA" w:rsidP="007D54FA">
            <w:pPr>
              <w:spacing w:after="160"/>
              <w:rPr>
                <w:rFonts w:ascii="Verdana" w:hAnsi="Verdana"/>
                <w:sz w:val="22"/>
                <w:szCs w:val="22"/>
              </w:rPr>
            </w:pPr>
            <w:r w:rsidRPr="007D54FA">
              <w:rPr>
                <w:rFonts w:ascii="Verdana" w:hAnsi="Verdana"/>
                <w:sz w:val="22"/>
                <w:szCs w:val="22"/>
              </w:rPr>
              <w:t>CAES con marco pedagógico implementado y articulado a prácticas de justicia restaurativa.</w:t>
            </w:r>
          </w:p>
        </w:tc>
        <w:tc>
          <w:tcPr>
            <w:tcW w:w="600" w:type="pct"/>
            <w:hideMark/>
          </w:tcPr>
          <w:p w14:paraId="4E9BBE66" w14:textId="77777777" w:rsidR="007D54FA" w:rsidRPr="007D54FA" w:rsidRDefault="007D54FA" w:rsidP="007D54FA">
            <w:pPr>
              <w:spacing w:after="160"/>
              <w:rPr>
                <w:rFonts w:ascii="Verdana" w:hAnsi="Verdana"/>
                <w:sz w:val="22"/>
                <w:szCs w:val="22"/>
              </w:rPr>
            </w:pPr>
            <w:r w:rsidRPr="007D54FA">
              <w:rPr>
                <w:rFonts w:ascii="Verdana" w:hAnsi="Verdana"/>
                <w:sz w:val="22"/>
                <w:szCs w:val="22"/>
              </w:rPr>
              <w:t>18</w:t>
            </w:r>
          </w:p>
        </w:tc>
      </w:tr>
      <w:tr w:rsidR="007D54FA" w:rsidRPr="007D54FA" w14:paraId="78D7F50F" w14:textId="77777777" w:rsidTr="007D54FA">
        <w:tc>
          <w:tcPr>
            <w:tcW w:w="350" w:type="pct"/>
            <w:hideMark/>
          </w:tcPr>
          <w:p w14:paraId="16B6EE3B" w14:textId="77777777" w:rsidR="007D54FA" w:rsidRPr="007D54FA" w:rsidRDefault="007D54FA" w:rsidP="007D54FA">
            <w:pPr>
              <w:spacing w:after="160"/>
              <w:rPr>
                <w:rFonts w:ascii="Verdana" w:hAnsi="Verdana"/>
                <w:sz w:val="22"/>
                <w:szCs w:val="22"/>
              </w:rPr>
            </w:pPr>
            <w:r w:rsidRPr="007D54FA">
              <w:rPr>
                <w:rFonts w:ascii="Verdana" w:hAnsi="Verdana"/>
                <w:sz w:val="22"/>
                <w:szCs w:val="22"/>
              </w:rPr>
              <w:t>E-12</w:t>
            </w:r>
          </w:p>
        </w:tc>
        <w:tc>
          <w:tcPr>
            <w:tcW w:w="4100" w:type="pct"/>
            <w:hideMark/>
          </w:tcPr>
          <w:p w14:paraId="02DDF885" w14:textId="77777777" w:rsidR="007D54FA" w:rsidRPr="007D54FA" w:rsidRDefault="007D54FA" w:rsidP="007D54FA">
            <w:pPr>
              <w:spacing w:after="160"/>
              <w:rPr>
                <w:rFonts w:ascii="Verdana" w:hAnsi="Verdana"/>
                <w:sz w:val="22"/>
                <w:szCs w:val="22"/>
              </w:rPr>
            </w:pPr>
            <w:r w:rsidRPr="007D54FA">
              <w:rPr>
                <w:rFonts w:ascii="Verdana" w:hAnsi="Verdana"/>
                <w:sz w:val="22"/>
                <w:szCs w:val="22"/>
              </w:rPr>
              <w:t>Familias beneficiadas por el Programa “Familias con bienestar”.</w:t>
            </w:r>
          </w:p>
        </w:tc>
        <w:tc>
          <w:tcPr>
            <w:tcW w:w="600" w:type="pct"/>
            <w:hideMark/>
          </w:tcPr>
          <w:p w14:paraId="1893CACE" w14:textId="77777777" w:rsidR="007D54FA" w:rsidRPr="007D54FA" w:rsidRDefault="007D54FA" w:rsidP="007D54FA">
            <w:pPr>
              <w:spacing w:after="160"/>
              <w:rPr>
                <w:rFonts w:ascii="Verdana" w:hAnsi="Verdana"/>
                <w:sz w:val="22"/>
                <w:szCs w:val="22"/>
              </w:rPr>
            </w:pPr>
            <w:r w:rsidRPr="007D54FA">
              <w:rPr>
                <w:rFonts w:ascii="Verdana" w:hAnsi="Verdana"/>
                <w:sz w:val="22"/>
                <w:szCs w:val="22"/>
              </w:rPr>
              <w:t>138.059</w:t>
            </w:r>
          </w:p>
        </w:tc>
      </w:tr>
      <w:tr w:rsidR="007D54FA" w:rsidRPr="007D54FA" w14:paraId="0301F5D8" w14:textId="77777777" w:rsidTr="007D54FA">
        <w:tc>
          <w:tcPr>
            <w:tcW w:w="350" w:type="pct"/>
            <w:hideMark/>
          </w:tcPr>
          <w:p w14:paraId="0FE14873" w14:textId="77777777" w:rsidR="007D54FA" w:rsidRPr="007D54FA" w:rsidRDefault="007D54FA" w:rsidP="007D54FA">
            <w:pPr>
              <w:spacing w:after="160"/>
              <w:rPr>
                <w:rFonts w:ascii="Verdana" w:hAnsi="Verdana"/>
                <w:sz w:val="22"/>
                <w:szCs w:val="22"/>
              </w:rPr>
            </w:pPr>
            <w:r w:rsidRPr="007D54FA">
              <w:rPr>
                <w:rFonts w:ascii="Verdana" w:hAnsi="Verdana"/>
                <w:sz w:val="22"/>
                <w:szCs w:val="22"/>
              </w:rPr>
              <w:t>E-16</w:t>
            </w:r>
          </w:p>
        </w:tc>
        <w:tc>
          <w:tcPr>
            <w:tcW w:w="4100" w:type="pct"/>
            <w:hideMark/>
          </w:tcPr>
          <w:p w14:paraId="50A50AF7" w14:textId="77777777" w:rsidR="007D54FA" w:rsidRPr="007D54FA" w:rsidRDefault="007D54FA" w:rsidP="007D54FA">
            <w:pPr>
              <w:spacing w:after="160"/>
              <w:rPr>
                <w:rFonts w:ascii="Verdana" w:hAnsi="Verdana"/>
                <w:sz w:val="22"/>
                <w:szCs w:val="22"/>
              </w:rPr>
            </w:pPr>
            <w:r w:rsidRPr="007D54FA">
              <w:rPr>
                <w:rFonts w:ascii="Verdana" w:hAnsi="Verdana"/>
                <w:sz w:val="22"/>
                <w:szCs w:val="22"/>
              </w:rPr>
              <w:t>Niños, niñas y adolescentes en situación de adoptabilidad en firme, por consentimiento o por autorización, con características y necesidades especiales y posibilidad de adopción presentados a Comité de Adopciones, con familia asignada.</w:t>
            </w:r>
          </w:p>
        </w:tc>
        <w:tc>
          <w:tcPr>
            <w:tcW w:w="600" w:type="pct"/>
            <w:hideMark/>
          </w:tcPr>
          <w:p w14:paraId="66A27F7E" w14:textId="77777777" w:rsidR="007D54FA" w:rsidRPr="007D54FA" w:rsidRDefault="007D54FA" w:rsidP="007D54FA">
            <w:pPr>
              <w:spacing w:after="160"/>
              <w:rPr>
                <w:rFonts w:ascii="Verdana" w:hAnsi="Verdana"/>
                <w:sz w:val="22"/>
                <w:szCs w:val="22"/>
              </w:rPr>
            </w:pPr>
            <w:r w:rsidRPr="007D54FA">
              <w:rPr>
                <w:rFonts w:ascii="Verdana" w:hAnsi="Verdana"/>
                <w:sz w:val="22"/>
                <w:szCs w:val="22"/>
              </w:rPr>
              <w:t>45%</w:t>
            </w:r>
          </w:p>
        </w:tc>
      </w:tr>
      <w:tr w:rsidR="007D54FA" w:rsidRPr="007D54FA" w14:paraId="39C37C8F" w14:textId="77777777" w:rsidTr="007D54FA">
        <w:tc>
          <w:tcPr>
            <w:tcW w:w="350" w:type="pct"/>
            <w:hideMark/>
          </w:tcPr>
          <w:p w14:paraId="7D41169D" w14:textId="77777777" w:rsidR="007D54FA" w:rsidRPr="007D54FA" w:rsidRDefault="007D54FA" w:rsidP="007D54FA">
            <w:pPr>
              <w:spacing w:after="160"/>
              <w:rPr>
                <w:rFonts w:ascii="Verdana" w:hAnsi="Verdana"/>
                <w:sz w:val="22"/>
                <w:szCs w:val="22"/>
              </w:rPr>
            </w:pPr>
            <w:r w:rsidRPr="007D54FA">
              <w:rPr>
                <w:rFonts w:ascii="Verdana" w:hAnsi="Verdana"/>
                <w:sz w:val="22"/>
                <w:szCs w:val="22"/>
              </w:rPr>
              <w:t>E-18</w:t>
            </w:r>
          </w:p>
        </w:tc>
        <w:tc>
          <w:tcPr>
            <w:tcW w:w="4100" w:type="pct"/>
            <w:hideMark/>
          </w:tcPr>
          <w:p w14:paraId="450D7940" w14:textId="77777777" w:rsidR="007D54FA" w:rsidRPr="007D54FA" w:rsidRDefault="007D54FA" w:rsidP="007D54FA">
            <w:pPr>
              <w:spacing w:after="160"/>
              <w:rPr>
                <w:rFonts w:ascii="Verdana" w:hAnsi="Verdana"/>
                <w:sz w:val="22"/>
                <w:szCs w:val="22"/>
              </w:rPr>
            </w:pPr>
            <w:r w:rsidRPr="007D54FA">
              <w:rPr>
                <w:rFonts w:ascii="Verdana" w:hAnsi="Verdana"/>
                <w:sz w:val="22"/>
                <w:szCs w:val="22"/>
              </w:rPr>
              <w:t>Porcentaje de niños, niñas y adolescentes víctimas del desplazamiento forzado con proceso de acompañamiento familiar por las unidades móviles para contribuir a la atención, asistencia, reparación integral y al restablecimiento de sus derechos.</w:t>
            </w:r>
          </w:p>
        </w:tc>
        <w:tc>
          <w:tcPr>
            <w:tcW w:w="600" w:type="pct"/>
            <w:hideMark/>
          </w:tcPr>
          <w:p w14:paraId="30F17287" w14:textId="77777777" w:rsidR="007D54FA" w:rsidRPr="007D54FA" w:rsidRDefault="007D54FA" w:rsidP="007D54FA">
            <w:pPr>
              <w:spacing w:after="160"/>
              <w:rPr>
                <w:rFonts w:ascii="Verdana" w:hAnsi="Verdana"/>
                <w:sz w:val="22"/>
                <w:szCs w:val="22"/>
              </w:rPr>
            </w:pPr>
            <w:r w:rsidRPr="007D54FA">
              <w:rPr>
                <w:rFonts w:ascii="Verdana" w:hAnsi="Verdana"/>
                <w:sz w:val="22"/>
                <w:szCs w:val="22"/>
              </w:rPr>
              <w:t>100%.</w:t>
            </w:r>
          </w:p>
        </w:tc>
      </w:tr>
      <w:tr w:rsidR="007D54FA" w:rsidRPr="007D54FA" w14:paraId="20C1BEC5" w14:textId="77777777" w:rsidTr="007D54FA">
        <w:tc>
          <w:tcPr>
            <w:tcW w:w="350" w:type="pct"/>
            <w:hideMark/>
          </w:tcPr>
          <w:p w14:paraId="1B8E59C9" w14:textId="77777777" w:rsidR="007D54FA" w:rsidRPr="007D54FA" w:rsidRDefault="007D54FA" w:rsidP="007D54FA">
            <w:pPr>
              <w:spacing w:after="160"/>
              <w:rPr>
                <w:rFonts w:ascii="Verdana" w:hAnsi="Verdana"/>
                <w:sz w:val="22"/>
                <w:szCs w:val="22"/>
              </w:rPr>
            </w:pPr>
            <w:r w:rsidRPr="007D54FA">
              <w:rPr>
                <w:rFonts w:ascii="Verdana" w:hAnsi="Verdana"/>
                <w:sz w:val="22"/>
                <w:szCs w:val="22"/>
              </w:rPr>
              <w:t>E-19</w:t>
            </w:r>
          </w:p>
        </w:tc>
        <w:tc>
          <w:tcPr>
            <w:tcW w:w="4100" w:type="pct"/>
            <w:hideMark/>
          </w:tcPr>
          <w:p w14:paraId="3F1733B5" w14:textId="77777777" w:rsidR="007D54FA" w:rsidRPr="007D54FA" w:rsidRDefault="007D54FA" w:rsidP="007D54FA">
            <w:pPr>
              <w:spacing w:after="160"/>
              <w:rPr>
                <w:rFonts w:ascii="Verdana" w:hAnsi="Verdana"/>
                <w:sz w:val="22"/>
                <w:szCs w:val="22"/>
              </w:rPr>
            </w:pPr>
            <w:r w:rsidRPr="007D54FA">
              <w:rPr>
                <w:rFonts w:ascii="Verdana" w:hAnsi="Verdana"/>
                <w:sz w:val="22"/>
                <w:szCs w:val="22"/>
              </w:rPr>
              <w:t xml:space="preserve">Porcentaje de niños, niñas y adolescentes víctimas de reclutamiento ilícito que se desvinculan de los grupos armados organizados al margen de la ley, que egresan del programa especializado cumpliendo los objetivos </w:t>
            </w:r>
            <w:proofErr w:type="gramStart"/>
            <w:r w:rsidRPr="007D54FA">
              <w:rPr>
                <w:rFonts w:ascii="Verdana" w:hAnsi="Verdana"/>
                <w:sz w:val="22"/>
                <w:szCs w:val="22"/>
              </w:rPr>
              <w:t>del mismo</w:t>
            </w:r>
            <w:proofErr w:type="gramEnd"/>
            <w:r w:rsidRPr="007D54FA">
              <w:rPr>
                <w:rFonts w:ascii="Verdana" w:hAnsi="Verdana"/>
                <w:sz w:val="22"/>
                <w:szCs w:val="22"/>
              </w:rPr>
              <w:t>.</w:t>
            </w:r>
          </w:p>
        </w:tc>
        <w:tc>
          <w:tcPr>
            <w:tcW w:w="600" w:type="pct"/>
            <w:hideMark/>
          </w:tcPr>
          <w:p w14:paraId="78278FBA" w14:textId="77777777" w:rsidR="007D54FA" w:rsidRPr="007D54FA" w:rsidRDefault="007D54FA" w:rsidP="007D54FA">
            <w:pPr>
              <w:spacing w:after="160"/>
              <w:rPr>
                <w:rFonts w:ascii="Verdana" w:hAnsi="Verdana"/>
                <w:sz w:val="22"/>
                <w:szCs w:val="22"/>
              </w:rPr>
            </w:pPr>
            <w:r w:rsidRPr="007D54FA">
              <w:rPr>
                <w:rFonts w:ascii="Verdana" w:hAnsi="Verdana"/>
                <w:sz w:val="22"/>
                <w:szCs w:val="22"/>
              </w:rPr>
              <w:t>65%</w:t>
            </w:r>
          </w:p>
        </w:tc>
      </w:tr>
      <w:tr w:rsidR="007D54FA" w:rsidRPr="007D54FA" w14:paraId="3C5E6CD3" w14:textId="77777777" w:rsidTr="007D54FA">
        <w:tc>
          <w:tcPr>
            <w:tcW w:w="350" w:type="pct"/>
            <w:hideMark/>
          </w:tcPr>
          <w:p w14:paraId="43C04A22" w14:textId="77777777" w:rsidR="007D54FA" w:rsidRPr="007D54FA" w:rsidRDefault="007D54FA" w:rsidP="007D54FA">
            <w:pPr>
              <w:spacing w:after="160"/>
              <w:rPr>
                <w:rFonts w:ascii="Verdana" w:hAnsi="Verdana"/>
                <w:sz w:val="22"/>
                <w:szCs w:val="22"/>
              </w:rPr>
            </w:pPr>
            <w:r w:rsidRPr="007D54FA">
              <w:rPr>
                <w:rFonts w:ascii="Verdana" w:hAnsi="Verdana"/>
                <w:sz w:val="22"/>
                <w:szCs w:val="22"/>
              </w:rPr>
              <w:t>E-22</w:t>
            </w:r>
          </w:p>
        </w:tc>
        <w:tc>
          <w:tcPr>
            <w:tcW w:w="4100" w:type="pct"/>
            <w:hideMark/>
          </w:tcPr>
          <w:p w14:paraId="42E8C787" w14:textId="77777777" w:rsidR="007D54FA" w:rsidRPr="007D54FA" w:rsidRDefault="007D54FA" w:rsidP="007D54FA">
            <w:pPr>
              <w:spacing w:after="160"/>
              <w:rPr>
                <w:rFonts w:ascii="Verdana" w:hAnsi="Verdana"/>
                <w:sz w:val="22"/>
                <w:szCs w:val="22"/>
              </w:rPr>
            </w:pPr>
            <w:proofErr w:type="gramStart"/>
            <w:r w:rsidRPr="007D54FA">
              <w:rPr>
                <w:rFonts w:ascii="Verdana" w:hAnsi="Verdana"/>
                <w:sz w:val="22"/>
                <w:szCs w:val="22"/>
              </w:rPr>
              <w:t>Niños y niñas</w:t>
            </w:r>
            <w:proofErr w:type="gramEnd"/>
            <w:r w:rsidRPr="007D54FA">
              <w:rPr>
                <w:rFonts w:ascii="Verdana" w:hAnsi="Verdana"/>
                <w:sz w:val="22"/>
                <w:szCs w:val="22"/>
              </w:rPr>
              <w:t xml:space="preserve"> en primera infancia con valoración y seguimiento nutricional.</w:t>
            </w:r>
          </w:p>
        </w:tc>
        <w:tc>
          <w:tcPr>
            <w:tcW w:w="600" w:type="pct"/>
            <w:hideMark/>
          </w:tcPr>
          <w:p w14:paraId="773B6353" w14:textId="77777777" w:rsidR="007D54FA" w:rsidRPr="007D54FA" w:rsidRDefault="007D54FA" w:rsidP="007D54FA">
            <w:pPr>
              <w:spacing w:after="160"/>
              <w:rPr>
                <w:rFonts w:ascii="Verdana" w:hAnsi="Verdana"/>
                <w:sz w:val="22"/>
                <w:szCs w:val="22"/>
              </w:rPr>
            </w:pPr>
            <w:r w:rsidRPr="007D54FA">
              <w:rPr>
                <w:rFonts w:ascii="Verdana" w:hAnsi="Verdana"/>
                <w:sz w:val="22"/>
                <w:szCs w:val="22"/>
              </w:rPr>
              <w:t>1.122.000</w:t>
            </w:r>
          </w:p>
        </w:tc>
      </w:tr>
      <w:tr w:rsidR="007D54FA" w:rsidRPr="007D54FA" w14:paraId="69B9B6ED" w14:textId="77777777" w:rsidTr="007D54FA">
        <w:tc>
          <w:tcPr>
            <w:tcW w:w="350" w:type="pct"/>
            <w:hideMark/>
          </w:tcPr>
          <w:p w14:paraId="0D81B64B" w14:textId="77777777" w:rsidR="007D54FA" w:rsidRPr="007D54FA" w:rsidRDefault="007D54FA" w:rsidP="007D54FA">
            <w:pPr>
              <w:spacing w:after="160"/>
              <w:rPr>
                <w:rFonts w:ascii="Verdana" w:hAnsi="Verdana"/>
                <w:sz w:val="22"/>
                <w:szCs w:val="22"/>
              </w:rPr>
            </w:pPr>
            <w:r w:rsidRPr="007D54FA">
              <w:rPr>
                <w:rFonts w:ascii="Verdana" w:hAnsi="Verdana"/>
                <w:sz w:val="22"/>
                <w:szCs w:val="22"/>
              </w:rPr>
              <w:t>E-23</w:t>
            </w:r>
          </w:p>
        </w:tc>
        <w:tc>
          <w:tcPr>
            <w:tcW w:w="4100" w:type="pct"/>
            <w:hideMark/>
          </w:tcPr>
          <w:p w14:paraId="443B1457" w14:textId="77777777" w:rsidR="007D54FA" w:rsidRPr="007D54FA" w:rsidRDefault="007D54FA" w:rsidP="007D54FA">
            <w:pPr>
              <w:spacing w:after="160"/>
              <w:rPr>
                <w:rFonts w:ascii="Verdana" w:hAnsi="Verdana"/>
                <w:sz w:val="22"/>
                <w:szCs w:val="22"/>
              </w:rPr>
            </w:pPr>
            <w:r w:rsidRPr="007D54FA">
              <w:rPr>
                <w:rFonts w:ascii="Verdana" w:hAnsi="Verdana"/>
                <w:sz w:val="22"/>
                <w:szCs w:val="22"/>
              </w:rPr>
              <w:t xml:space="preserve">Porcentaje de </w:t>
            </w:r>
            <w:proofErr w:type="gramStart"/>
            <w:r w:rsidRPr="007D54FA">
              <w:rPr>
                <w:rFonts w:ascii="Verdana" w:hAnsi="Verdana"/>
                <w:sz w:val="22"/>
                <w:szCs w:val="22"/>
              </w:rPr>
              <w:t>niños y niñas</w:t>
            </w:r>
            <w:proofErr w:type="gramEnd"/>
            <w:r w:rsidRPr="007D54FA">
              <w:rPr>
                <w:rFonts w:ascii="Verdana" w:hAnsi="Verdana"/>
                <w:sz w:val="22"/>
                <w:szCs w:val="22"/>
              </w:rPr>
              <w:t xml:space="preserve"> que mejoraron su estado nutricional que se encuentran en la modalidad Recuperación Nutricional con Enfoque Comunitario (RNEC).</w:t>
            </w:r>
          </w:p>
        </w:tc>
        <w:tc>
          <w:tcPr>
            <w:tcW w:w="600" w:type="pct"/>
            <w:hideMark/>
          </w:tcPr>
          <w:p w14:paraId="2988372E" w14:textId="77777777" w:rsidR="007D54FA" w:rsidRPr="007D54FA" w:rsidRDefault="007D54FA" w:rsidP="007D54FA">
            <w:pPr>
              <w:spacing w:after="160"/>
              <w:rPr>
                <w:rFonts w:ascii="Verdana" w:hAnsi="Verdana"/>
                <w:sz w:val="22"/>
                <w:szCs w:val="22"/>
              </w:rPr>
            </w:pPr>
            <w:r w:rsidRPr="007D54FA">
              <w:rPr>
                <w:rFonts w:ascii="Verdana" w:hAnsi="Verdana"/>
                <w:sz w:val="22"/>
                <w:szCs w:val="22"/>
              </w:rPr>
              <w:t>80%</w:t>
            </w:r>
          </w:p>
        </w:tc>
      </w:tr>
      <w:tr w:rsidR="007D54FA" w:rsidRPr="007D54FA" w14:paraId="72BF13E5" w14:textId="77777777" w:rsidTr="007D54FA">
        <w:tc>
          <w:tcPr>
            <w:tcW w:w="350" w:type="pct"/>
            <w:hideMark/>
          </w:tcPr>
          <w:p w14:paraId="14AB8C6D" w14:textId="77777777" w:rsidR="007D54FA" w:rsidRPr="007D54FA" w:rsidRDefault="007D54FA" w:rsidP="007D54FA">
            <w:pPr>
              <w:spacing w:after="160"/>
              <w:rPr>
                <w:rFonts w:ascii="Verdana" w:hAnsi="Verdana"/>
                <w:sz w:val="22"/>
                <w:szCs w:val="22"/>
              </w:rPr>
            </w:pPr>
            <w:r w:rsidRPr="007D54FA">
              <w:rPr>
                <w:rFonts w:ascii="Verdana" w:hAnsi="Verdana"/>
                <w:sz w:val="22"/>
                <w:szCs w:val="22"/>
              </w:rPr>
              <w:t>E-24</w:t>
            </w:r>
          </w:p>
        </w:tc>
        <w:tc>
          <w:tcPr>
            <w:tcW w:w="4100" w:type="pct"/>
            <w:hideMark/>
          </w:tcPr>
          <w:p w14:paraId="1436DB69" w14:textId="77777777" w:rsidR="007D54FA" w:rsidRPr="007D54FA" w:rsidRDefault="007D54FA" w:rsidP="007D54FA">
            <w:pPr>
              <w:spacing w:after="160"/>
              <w:rPr>
                <w:rFonts w:ascii="Verdana" w:hAnsi="Verdana"/>
                <w:sz w:val="22"/>
                <w:szCs w:val="22"/>
              </w:rPr>
            </w:pPr>
            <w:r w:rsidRPr="007D54FA">
              <w:rPr>
                <w:rFonts w:ascii="Verdana" w:hAnsi="Verdana"/>
                <w:sz w:val="22"/>
                <w:szCs w:val="22"/>
              </w:rPr>
              <w:t xml:space="preserve">Toneladas distribuidas de </w:t>
            </w:r>
            <w:proofErr w:type="spellStart"/>
            <w:r w:rsidRPr="007D54FA">
              <w:rPr>
                <w:rFonts w:ascii="Verdana" w:hAnsi="Verdana"/>
                <w:sz w:val="22"/>
                <w:szCs w:val="22"/>
              </w:rPr>
              <w:t>Bienestarina</w:t>
            </w:r>
            <w:proofErr w:type="spellEnd"/>
            <w:r w:rsidRPr="007D54FA">
              <w:rPr>
                <w:rFonts w:ascii="Verdana" w:hAnsi="Verdana"/>
                <w:sz w:val="22"/>
                <w:szCs w:val="22"/>
              </w:rPr>
              <w:t>.</w:t>
            </w:r>
          </w:p>
        </w:tc>
        <w:tc>
          <w:tcPr>
            <w:tcW w:w="600" w:type="pct"/>
            <w:hideMark/>
          </w:tcPr>
          <w:p w14:paraId="178C0C43" w14:textId="77777777" w:rsidR="007D54FA" w:rsidRPr="007D54FA" w:rsidRDefault="007D54FA" w:rsidP="007D54FA">
            <w:pPr>
              <w:spacing w:after="160"/>
              <w:rPr>
                <w:rFonts w:ascii="Verdana" w:hAnsi="Verdana"/>
                <w:sz w:val="22"/>
                <w:szCs w:val="22"/>
              </w:rPr>
            </w:pPr>
            <w:r w:rsidRPr="007D54FA">
              <w:rPr>
                <w:rFonts w:ascii="Verdana" w:hAnsi="Verdana"/>
                <w:sz w:val="22"/>
                <w:szCs w:val="22"/>
              </w:rPr>
              <w:t>26.000</w:t>
            </w:r>
          </w:p>
        </w:tc>
      </w:tr>
      <w:tr w:rsidR="007D54FA" w:rsidRPr="007D54FA" w14:paraId="4EFF6D11" w14:textId="77777777" w:rsidTr="007D54FA">
        <w:tc>
          <w:tcPr>
            <w:tcW w:w="350" w:type="pct"/>
            <w:hideMark/>
          </w:tcPr>
          <w:p w14:paraId="276B22D1" w14:textId="77777777" w:rsidR="007D54FA" w:rsidRPr="007D54FA" w:rsidRDefault="007D54FA" w:rsidP="007D54FA">
            <w:pPr>
              <w:spacing w:after="160"/>
              <w:rPr>
                <w:rFonts w:ascii="Verdana" w:hAnsi="Verdana"/>
                <w:sz w:val="22"/>
                <w:szCs w:val="22"/>
              </w:rPr>
            </w:pPr>
            <w:r w:rsidRPr="007D54FA">
              <w:rPr>
                <w:rFonts w:ascii="Verdana" w:hAnsi="Verdana"/>
                <w:sz w:val="22"/>
                <w:szCs w:val="22"/>
              </w:rPr>
              <w:t>E-25</w:t>
            </w:r>
          </w:p>
        </w:tc>
        <w:tc>
          <w:tcPr>
            <w:tcW w:w="4100" w:type="pct"/>
            <w:hideMark/>
          </w:tcPr>
          <w:p w14:paraId="542371AF" w14:textId="77777777" w:rsidR="007D54FA" w:rsidRPr="007D54FA" w:rsidRDefault="007D54FA" w:rsidP="007D54FA">
            <w:pPr>
              <w:spacing w:after="160"/>
              <w:rPr>
                <w:rFonts w:ascii="Verdana" w:hAnsi="Verdana"/>
                <w:sz w:val="22"/>
                <w:szCs w:val="22"/>
              </w:rPr>
            </w:pPr>
            <w:r w:rsidRPr="007D54FA">
              <w:rPr>
                <w:rFonts w:ascii="Verdana" w:hAnsi="Verdana"/>
                <w:sz w:val="22"/>
                <w:szCs w:val="22"/>
              </w:rPr>
              <w:t xml:space="preserve">Toneladas producidas de </w:t>
            </w:r>
            <w:proofErr w:type="spellStart"/>
            <w:r w:rsidRPr="007D54FA">
              <w:rPr>
                <w:rFonts w:ascii="Verdana" w:hAnsi="Verdana"/>
                <w:sz w:val="22"/>
                <w:szCs w:val="22"/>
              </w:rPr>
              <w:t>Bienestarina</w:t>
            </w:r>
            <w:proofErr w:type="spellEnd"/>
            <w:r w:rsidRPr="007D54FA">
              <w:rPr>
                <w:rFonts w:ascii="Verdana" w:hAnsi="Verdana"/>
                <w:sz w:val="22"/>
                <w:szCs w:val="22"/>
              </w:rPr>
              <w:t>.</w:t>
            </w:r>
          </w:p>
        </w:tc>
        <w:tc>
          <w:tcPr>
            <w:tcW w:w="600" w:type="pct"/>
            <w:hideMark/>
          </w:tcPr>
          <w:p w14:paraId="6ECD2488" w14:textId="77777777" w:rsidR="007D54FA" w:rsidRPr="007D54FA" w:rsidRDefault="007D54FA" w:rsidP="007D54FA">
            <w:pPr>
              <w:spacing w:after="160"/>
              <w:rPr>
                <w:rFonts w:ascii="Verdana" w:hAnsi="Verdana"/>
                <w:sz w:val="22"/>
                <w:szCs w:val="22"/>
              </w:rPr>
            </w:pPr>
            <w:r w:rsidRPr="007D54FA">
              <w:rPr>
                <w:rFonts w:ascii="Verdana" w:hAnsi="Verdana"/>
                <w:sz w:val="22"/>
                <w:szCs w:val="22"/>
              </w:rPr>
              <w:t>26.000</w:t>
            </w:r>
          </w:p>
        </w:tc>
      </w:tr>
      <w:tr w:rsidR="007D54FA" w:rsidRPr="007D54FA" w14:paraId="18617F32" w14:textId="77777777" w:rsidTr="007D54FA">
        <w:tc>
          <w:tcPr>
            <w:tcW w:w="350" w:type="pct"/>
            <w:hideMark/>
          </w:tcPr>
          <w:p w14:paraId="3808022A" w14:textId="77777777" w:rsidR="007D54FA" w:rsidRPr="007D54FA" w:rsidRDefault="007D54FA" w:rsidP="007D54FA">
            <w:pPr>
              <w:spacing w:after="160"/>
              <w:rPr>
                <w:rFonts w:ascii="Verdana" w:hAnsi="Verdana"/>
                <w:sz w:val="22"/>
                <w:szCs w:val="22"/>
              </w:rPr>
            </w:pPr>
            <w:r w:rsidRPr="007D54FA">
              <w:rPr>
                <w:rFonts w:ascii="Verdana" w:hAnsi="Verdana"/>
                <w:sz w:val="22"/>
                <w:szCs w:val="22"/>
              </w:rPr>
              <w:t>E-26</w:t>
            </w:r>
          </w:p>
        </w:tc>
        <w:tc>
          <w:tcPr>
            <w:tcW w:w="4100" w:type="pct"/>
            <w:hideMark/>
          </w:tcPr>
          <w:p w14:paraId="2647C8B2" w14:textId="77777777" w:rsidR="007D54FA" w:rsidRPr="007D54FA" w:rsidRDefault="007D54FA" w:rsidP="007D54FA">
            <w:pPr>
              <w:spacing w:after="160"/>
              <w:rPr>
                <w:rFonts w:ascii="Verdana" w:hAnsi="Verdana"/>
                <w:sz w:val="22"/>
                <w:szCs w:val="22"/>
              </w:rPr>
            </w:pPr>
            <w:r w:rsidRPr="007D54FA">
              <w:rPr>
                <w:rFonts w:ascii="Verdana" w:hAnsi="Verdana"/>
                <w:sz w:val="22"/>
                <w:szCs w:val="22"/>
              </w:rPr>
              <w:t>Porcentaje de avance en el diseño e implementación del Modelo de Enfoque Diferencial.</w:t>
            </w:r>
          </w:p>
        </w:tc>
        <w:tc>
          <w:tcPr>
            <w:tcW w:w="600" w:type="pct"/>
            <w:hideMark/>
          </w:tcPr>
          <w:p w14:paraId="2AEB1A6D" w14:textId="77777777" w:rsidR="007D54FA" w:rsidRPr="007D54FA" w:rsidRDefault="007D54FA" w:rsidP="007D54FA">
            <w:pPr>
              <w:spacing w:after="160"/>
              <w:rPr>
                <w:rFonts w:ascii="Verdana" w:hAnsi="Verdana"/>
                <w:sz w:val="22"/>
                <w:szCs w:val="22"/>
              </w:rPr>
            </w:pPr>
            <w:r w:rsidRPr="007D54FA">
              <w:rPr>
                <w:rFonts w:ascii="Verdana" w:hAnsi="Verdana"/>
                <w:sz w:val="22"/>
                <w:szCs w:val="22"/>
              </w:rPr>
              <w:t>100%</w:t>
            </w:r>
          </w:p>
        </w:tc>
      </w:tr>
      <w:tr w:rsidR="007D54FA" w:rsidRPr="007D54FA" w14:paraId="60DCB381" w14:textId="77777777" w:rsidTr="007D54FA">
        <w:tc>
          <w:tcPr>
            <w:tcW w:w="350" w:type="pct"/>
            <w:hideMark/>
          </w:tcPr>
          <w:p w14:paraId="6F597275" w14:textId="77777777" w:rsidR="007D54FA" w:rsidRPr="007D54FA" w:rsidRDefault="007D54FA" w:rsidP="007D54FA">
            <w:pPr>
              <w:spacing w:after="160"/>
              <w:rPr>
                <w:rFonts w:ascii="Verdana" w:hAnsi="Verdana"/>
                <w:sz w:val="22"/>
                <w:szCs w:val="22"/>
              </w:rPr>
            </w:pPr>
            <w:r w:rsidRPr="007D54FA">
              <w:rPr>
                <w:rFonts w:ascii="Verdana" w:hAnsi="Verdana"/>
                <w:sz w:val="22"/>
                <w:szCs w:val="22"/>
              </w:rPr>
              <w:t>E-28</w:t>
            </w:r>
          </w:p>
        </w:tc>
        <w:tc>
          <w:tcPr>
            <w:tcW w:w="4100" w:type="pct"/>
            <w:hideMark/>
          </w:tcPr>
          <w:p w14:paraId="5588F5C7" w14:textId="77777777" w:rsidR="007D54FA" w:rsidRPr="007D54FA" w:rsidRDefault="007D54FA" w:rsidP="007D54FA">
            <w:pPr>
              <w:spacing w:after="160"/>
              <w:rPr>
                <w:rFonts w:ascii="Verdana" w:hAnsi="Verdana"/>
                <w:sz w:val="22"/>
                <w:szCs w:val="22"/>
              </w:rPr>
            </w:pPr>
            <w:r w:rsidRPr="007D54FA">
              <w:rPr>
                <w:rFonts w:ascii="Verdana" w:hAnsi="Verdana"/>
                <w:sz w:val="22"/>
                <w:szCs w:val="22"/>
              </w:rPr>
              <w:t>Número de departamentos con asistencia técnica del ICBF en la formulación de políticas diferenciales en favor de niños, niñas y adolescentes.</w:t>
            </w:r>
          </w:p>
        </w:tc>
        <w:tc>
          <w:tcPr>
            <w:tcW w:w="600" w:type="pct"/>
            <w:hideMark/>
          </w:tcPr>
          <w:p w14:paraId="0249B621" w14:textId="77777777" w:rsidR="007D54FA" w:rsidRPr="007D54FA" w:rsidRDefault="007D54FA" w:rsidP="007D54FA">
            <w:pPr>
              <w:spacing w:after="160"/>
              <w:rPr>
                <w:rFonts w:ascii="Verdana" w:hAnsi="Verdana"/>
                <w:sz w:val="22"/>
                <w:szCs w:val="22"/>
              </w:rPr>
            </w:pPr>
            <w:r w:rsidRPr="007D54FA">
              <w:rPr>
                <w:rFonts w:ascii="Verdana" w:hAnsi="Verdana"/>
                <w:sz w:val="22"/>
                <w:szCs w:val="22"/>
              </w:rPr>
              <w:t>32</w:t>
            </w:r>
          </w:p>
        </w:tc>
      </w:tr>
      <w:tr w:rsidR="007D54FA" w:rsidRPr="007D54FA" w14:paraId="14328EB1" w14:textId="77777777" w:rsidTr="007D54FA">
        <w:tc>
          <w:tcPr>
            <w:tcW w:w="350" w:type="pct"/>
            <w:hideMark/>
          </w:tcPr>
          <w:p w14:paraId="0DDF3974" w14:textId="77777777" w:rsidR="007D54FA" w:rsidRPr="007D54FA" w:rsidRDefault="007D54FA" w:rsidP="007D54FA">
            <w:pPr>
              <w:spacing w:after="160"/>
              <w:rPr>
                <w:rFonts w:ascii="Verdana" w:hAnsi="Verdana"/>
                <w:sz w:val="22"/>
                <w:szCs w:val="22"/>
              </w:rPr>
            </w:pPr>
            <w:r w:rsidRPr="007D54FA">
              <w:rPr>
                <w:rFonts w:ascii="Verdana" w:hAnsi="Verdana"/>
                <w:sz w:val="22"/>
                <w:szCs w:val="22"/>
              </w:rPr>
              <w:t>E-29</w:t>
            </w:r>
          </w:p>
        </w:tc>
        <w:tc>
          <w:tcPr>
            <w:tcW w:w="4100" w:type="pct"/>
            <w:hideMark/>
          </w:tcPr>
          <w:p w14:paraId="47ABDC99" w14:textId="77777777" w:rsidR="007D54FA" w:rsidRPr="007D54FA" w:rsidRDefault="007D54FA" w:rsidP="007D54FA">
            <w:pPr>
              <w:spacing w:after="160"/>
              <w:rPr>
                <w:rFonts w:ascii="Verdana" w:hAnsi="Verdana"/>
                <w:sz w:val="22"/>
                <w:szCs w:val="22"/>
              </w:rPr>
            </w:pPr>
            <w:r w:rsidRPr="007D54FA">
              <w:rPr>
                <w:rFonts w:ascii="Verdana" w:hAnsi="Verdana"/>
                <w:sz w:val="22"/>
                <w:szCs w:val="22"/>
              </w:rPr>
              <w:t>Número de municipios con asistencia técnica del ICBF en la formulación de políticas diferenciales en favor de niños, niñas y adolescentes.</w:t>
            </w:r>
          </w:p>
        </w:tc>
        <w:tc>
          <w:tcPr>
            <w:tcW w:w="600" w:type="pct"/>
            <w:hideMark/>
          </w:tcPr>
          <w:p w14:paraId="273AC209" w14:textId="77777777" w:rsidR="007D54FA" w:rsidRPr="007D54FA" w:rsidRDefault="007D54FA" w:rsidP="007D54FA">
            <w:pPr>
              <w:spacing w:after="160"/>
              <w:rPr>
                <w:rFonts w:ascii="Verdana" w:hAnsi="Verdana"/>
                <w:sz w:val="22"/>
                <w:szCs w:val="22"/>
              </w:rPr>
            </w:pPr>
            <w:r w:rsidRPr="007D54FA">
              <w:rPr>
                <w:rFonts w:ascii="Verdana" w:hAnsi="Verdana"/>
                <w:sz w:val="22"/>
                <w:szCs w:val="22"/>
              </w:rPr>
              <w:t>1.102</w:t>
            </w:r>
          </w:p>
        </w:tc>
      </w:tr>
      <w:tr w:rsidR="007D54FA" w:rsidRPr="007D54FA" w14:paraId="4FC736B1" w14:textId="77777777" w:rsidTr="007D54FA">
        <w:tc>
          <w:tcPr>
            <w:tcW w:w="350" w:type="pct"/>
            <w:hideMark/>
          </w:tcPr>
          <w:p w14:paraId="7298D159" w14:textId="77777777" w:rsidR="007D54FA" w:rsidRPr="007D54FA" w:rsidRDefault="007D54FA" w:rsidP="007D54FA">
            <w:pPr>
              <w:spacing w:after="160"/>
              <w:rPr>
                <w:rFonts w:ascii="Verdana" w:hAnsi="Verdana"/>
                <w:sz w:val="22"/>
                <w:szCs w:val="22"/>
              </w:rPr>
            </w:pPr>
            <w:r w:rsidRPr="007D54FA">
              <w:rPr>
                <w:rFonts w:ascii="Verdana" w:hAnsi="Verdana"/>
                <w:sz w:val="22"/>
                <w:szCs w:val="22"/>
              </w:rPr>
              <w:t>E-31</w:t>
            </w:r>
          </w:p>
        </w:tc>
        <w:tc>
          <w:tcPr>
            <w:tcW w:w="4100" w:type="pct"/>
            <w:hideMark/>
          </w:tcPr>
          <w:p w14:paraId="6BA4343F" w14:textId="77777777" w:rsidR="007D54FA" w:rsidRPr="007D54FA" w:rsidRDefault="007D54FA" w:rsidP="007D54FA">
            <w:pPr>
              <w:spacing w:after="160"/>
              <w:rPr>
                <w:rFonts w:ascii="Verdana" w:hAnsi="Verdana"/>
                <w:sz w:val="22"/>
                <w:szCs w:val="22"/>
              </w:rPr>
            </w:pPr>
            <w:r w:rsidRPr="007D54FA">
              <w:rPr>
                <w:rFonts w:ascii="Verdana" w:hAnsi="Verdana"/>
                <w:sz w:val="22"/>
                <w:szCs w:val="22"/>
              </w:rPr>
              <w:t>Número de municipios con los Consejos Municipales de Política Social monitoreados.</w:t>
            </w:r>
          </w:p>
        </w:tc>
        <w:tc>
          <w:tcPr>
            <w:tcW w:w="600" w:type="pct"/>
            <w:hideMark/>
          </w:tcPr>
          <w:p w14:paraId="15754AE7" w14:textId="77777777" w:rsidR="007D54FA" w:rsidRPr="007D54FA" w:rsidRDefault="007D54FA" w:rsidP="007D54FA">
            <w:pPr>
              <w:spacing w:after="160"/>
              <w:rPr>
                <w:rFonts w:ascii="Verdana" w:hAnsi="Verdana"/>
                <w:sz w:val="22"/>
                <w:szCs w:val="22"/>
              </w:rPr>
            </w:pPr>
            <w:r w:rsidRPr="007D54FA">
              <w:rPr>
                <w:rFonts w:ascii="Verdana" w:hAnsi="Verdana"/>
                <w:sz w:val="22"/>
                <w:szCs w:val="22"/>
              </w:rPr>
              <w:t>1.102</w:t>
            </w:r>
          </w:p>
        </w:tc>
      </w:tr>
      <w:tr w:rsidR="007D54FA" w:rsidRPr="007D54FA" w14:paraId="2267EB65" w14:textId="77777777" w:rsidTr="007D54FA">
        <w:tc>
          <w:tcPr>
            <w:tcW w:w="350" w:type="pct"/>
            <w:hideMark/>
          </w:tcPr>
          <w:p w14:paraId="2889F5AD" w14:textId="77777777" w:rsidR="007D54FA" w:rsidRPr="007D54FA" w:rsidRDefault="007D54FA" w:rsidP="007D54FA">
            <w:pPr>
              <w:spacing w:after="160"/>
              <w:rPr>
                <w:rFonts w:ascii="Verdana" w:hAnsi="Verdana"/>
                <w:sz w:val="22"/>
                <w:szCs w:val="22"/>
              </w:rPr>
            </w:pPr>
            <w:r w:rsidRPr="007D54FA">
              <w:rPr>
                <w:rFonts w:ascii="Verdana" w:hAnsi="Verdana"/>
                <w:sz w:val="22"/>
                <w:szCs w:val="22"/>
              </w:rPr>
              <w:lastRenderedPageBreak/>
              <w:t>E-32</w:t>
            </w:r>
          </w:p>
        </w:tc>
        <w:tc>
          <w:tcPr>
            <w:tcW w:w="4100" w:type="pct"/>
            <w:hideMark/>
          </w:tcPr>
          <w:p w14:paraId="4FA2AB5D" w14:textId="77777777" w:rsidR="007D54FA" w:rsidRPr="007D54FA" w:rsidRDefault="007D54FA" w:rsidP="007D54FA">
            <w:pPr>
              <w:spacing w:after="160"/>
              <w:rPr>
                <w:rFonts w:ascii="Verdana" w:hAnsi="Verdana"/>
                <w:sz w:val="22"/>
                <w:szCs w:val="22"/>
              </w:rPr>
            </w:pPr>
            <w:r w:rsidRPr="007D54FA">
              <w:rPr>
                <w:rFonts w:ascii="Verdana" w:hAnsi="Verdana"/>
                <w:sz w:val="22"/>
                <w:szCs w:val="22"/>
              </w:rPr>
              <w:t>Número de planes de acción del SNBF implementados y monitoreados en entidades territoriales e instituciones del nivel nacional.</w:t>
            </w:r>
          </w:p>
        </w:tc>
        <w:tc>
          <w:tcPr>
            <w:tcW w:w="600" w:type="pct"/>
            <w:hideMark/>
          </w:tcPr>
          <w:p w14:paraId="2E94ED7F" w14:textId="77777777" w:rsidR="007D54FA" w:rsidRPr="007D54FA" w:rsidRDefault="007D54FA" w:rsidP="007D54FA">
            <w:pPr>
              <w:spacing w:after="160"/>
              <w:rPr>
                <w:rFonts w:ascii="Verdana" w:hAnsi="Verdana"/>
                <w:sz w:val="22"/>
                <w:szCs w:val="22"/>
              </w:rPr>
            </w:pPr>
            <w:r w:rsidRPr="007D54FA">
              <w:rPr>
                <w:rFonts w:ascii="Verdana" w:hAnsi="Verdana"/>
                <w:sz w:val="22"/>
                <w:szCs w:val="22"/>
              </w:rPr>
              <w:t>32</w:t>
            </w:r>
          </w:p>
        </w:tc>
      </w:tr>
      <w:tr w:rsidR="007D54FA" w:rsidRPr="007D54FA" w14:paraId="76C3CE0C" w14:textId="77777777" w:rsidTr="007D54FA">
        <w:tc>
          <w:tcPr>
            <w:tcW w:w="350" w:type="pct"/>
            <w:hideMark/>
          </w:tcPr>
          <w:p w14:paraId="07BE3565" w14:textId="77777777" w:rsidR="007D54FA" w:rsidRPr="007D54FA" w:rsidRDefault="007D54FA" w:rsidP="007D54FA">
            <w:pPr>
              <w:spacing w:after="160"/>
              <w:rPr>
                <w:rFonts w:ascii="Verdana" w:hAnsi="Verdana"/>
                <w:sz w:val="22"/>
                <w:szCs w:val="22"/>
              </w:rPr>
            </w:pPr>
            <w:r w:rsidRPr="007D54FA">
              <w:rPr>
                <w:rFonts w:ascii="Verdana" w:hAnsi="Verdana"/>
                <w:sz w:val="22"/>
                <w:szCs w:val="22"/>
              </w:rPr>
              <w:t>E-34</w:t>
            </w:r>
          </w:p>
        </w:tc>
        <w:tc>
          <w:tcPr>
            <w:tcW w:w="4100" w:type="pct"/>
            <w:hideMark/>
          </w:tcPr>
          <w:p w14:paraId="271323E8" w14:textId="77777777" w:rsidR="007D54FA" w:rsidRPr="007D54FA" w:rsidRDefault="007D54FA" w:rsidP="007D54FA">
            <w:pPr>
              <w:spacing w:after="160"/>
              <w:rPr>
                <w:rFonts w:ascii="Verdana" w:hAnsi="Verdana"/>
                <w:sz w:val="22"/>
                <w:szCs w:val="22"/>
              </w:rPr>
            </w:pPr>
            <w:r w:rsidRPr="007D54FA">
              <w:rPr>
                <w:rFonts w:ascii="Verdana" w:hAnsi="Verdana"/>
                <w:sz w:val="22"/>
                <w:szCs w:val="22"/>
              </w:rPr>
              <w:t>Índice de avance en la implementación de la estrategia de compras locales y compras eficientes.</w:t>
            </w:r>
          </w:p>
        </w:tc>
        <w:tc>
          <w:tcPr>
            <w:tcW w:w="600" w:type="pct"/>
            <w:hideMark/>
          </w:tcPr>
          <w:p w14:paraId="2455484F" w14:textId="77777777" w:rsidR="007D54FA" w:rsidRPr="007D54FA" w:rsidRDefault="007D54FA" w:rsidP="007D54FA">
            <w:pPr>
              <w:spacing w:after="160"/>
              <w:rPr>
                <w:rFonts w:ascii="Verdana" w:hAnsi="Verdana"/>
                <w:sz w:val="22"/>
                <w:szCs w:val="22"/>
              </w:rPr>
            </w:pPr>
            <w:r w:rsidRPr="007D54FA">
              <w:rPr>
                <w:rFonts w:ascii="Verdana" w:hAnsi="Verdana"/>
                <w:sz w:val="22"/>
                <w:szCs w:val="22"/>
              </w:rPr>
              <w:t>100%</w:t>
            </w:r>
          </w:p>
        </w:tc>
      </w:tr>
      <w:tr w:rsidR="007D54FA" w:rsidRPr="007D54FA" w14:paraId="652EA97B" w14:textId="77777777" w:rsidTr="007D54FA">
        <w:tc>
          <w:tcPr>
            <w:tcW w:w="350" w:type="pct"/>
            <w:hideMark/>
          </w:tcPr>
          <w:p w14:paraId="50C489E9" w14:textId="77777777" w:rsidR="007D54FA" w:rsidRPr="007D54FA" w:rsidRDefault="007D54FA" w:rsidP="007D54FA">
            <w:pPr>
              <w:spacing w:after="160"/>
              <w:rPr>
                <w:rFonts w:ascii="Verdana" w:hAnsi="Verdana"/>
                <w:sz w:val="22"/>
                <w:szCs w:val="22"/>
              </w:rPr>
            </w:pPr>
            <w:r w:rsidRPr="007D54FA">
              <w:rPr>
                <w:rFonts w:ascii="Verdana" w:hAnsi="Verdana"/>
                <w:sz w:val="22"/>
                <w:szCs w:val="22"/>
              </w:rPr>
              <w:t>E-39</w:t>
            </w:r>
          </w:p>
        </w:tc>
        <w:tc>
          <w:tcPr>
            <w:tcW w:w="4100" w:type="pct"/>
            <w:hideMark/>
          </w:tcPr>
          <w:p w14:paraId="1EEB8AAF" w14:textId="77777777" w:rsidR="007D54FA" w:rsidRPr="007D54FA" w:rsidRDefault="007D54FA" w:rsidP="007D54FA">
            <w:pPr>
              <w:spacing w:after="160"/>
              <w:rPr>
                <w:rFonts w:ascii="Verdana" w:hAnsi="Verdana"/>
                <w:sz w:val="22"/>
                <w:szCs w:val="22"/>
              </w:rPr>
            </w:pPr>
            <w:r w:rsidRPr="007D54FA">
              <w:rPr>
                <w:rFonts w:ascii="Verdana" w:hAnsi="Verdana"/>
                <w:sz w:val="22"/>
                <w:szCs w:val="22"/>
              </w:rPr>
              <w:t>Porcentaje de avance en la implementación del Modelo de Gestión por Competencias.</w:t>
            </w:r>
          </w:p>
        </w:tc>
        <w:tc>
          <w:tcPr>
            <w:tcW w:w="600" w:type="pct"/>
            <w:hideMark/>
          </w:tcPr>
          <w:p w14:paraId="4D3429A6" w14:textId="77777777" w:rsidR="007D54FA" w:rsidRPr="007D54FA" w:rsidRDefault="007D54FA" w:rsidP="007D54FA">
            <w:pPr>
              <w:spacing w:after="160"/>
              <w:rPr>
                <w:rFonts w:ascii="Verdana" w:hAnsi="Verdana"/>
                <w:sz w:val="22"/>
                <w:szCs w:val="22"/>
              </w:rPr>
            </w:pPr>
            <w:r w:rsidRPr="007D54FA">
              <w:rPr>
                <w:rFonts w:ascii="Verdana" w:hAnsi="Verdana"/>
                <w:sz w:val="22"/>
                <w:szCs w:val="22"/>
              </w:rPr>
              <w:t>40%</w:t>
            </w:r>
          </w:p>
        </w:tc>
      </w:tr>
      <w:tr w:rsidR="007D54FA" w:rsidRPr="007D54FA" w14:paraId="7F4037D3" w14:textId="77777777" w:rsidTr="007D54FA">
        <w:tc>
          <w:tcPr>
            <w:tcW w:w="350" w:type="pct"/>
            <w:hideMark/>
          </w:tcPr>
          <w:p w14:paraId="4A28CE44" w14:textId="77777777" w:rsidR="007D54FA" w:rsidRPr="007D54FA" w:rsidRDefault="007D54FA" w:rsidP="007D54FA">
            <w:pPr>
              <w:spacing w:after="160"/>
              <w:rPr>
                <w:rFonts w:ascii="Verdana" w:hAnsi="Verdana"/>
                <w:sz w:val="22"/>
                <w:szCs w:val="22"/>
              </w:rPr>
            </w:pPr>
            <w:r w:rsidRPr="007D54FA">
              <w:rPr>
                <w:rFonts w:ascii="Verdana" w:hAnsi="Verdana"/>
                <w:sz w:val="22"/>
                <w:szCs w:val="22"/>
              </w:rPr>
              <w:t>E-50</w:t>
            </w:r>
          </w:p>
        </w:tc>
        <w:tc>
          <w:tcPr>
            <w:tcW w:w="4100" w:type="pct"/>
            <w:hideMark/>
          </w:tcPr>
          <w:p w14:paraId="1A7DE6D7" w14:textId="77777777" w:rsidR="007D54FA" w:rsidRPr="007D54FA" w:rsidRDefault="007D54FA" w:rsidP="007D54FA">
            <w:pPr>
              <w:spacing w:after="160"/>
              <w:rPr>
                <w:rFonts w:ascii="Verdana" w:hAnsi="Verdana"/>
                <w:sz w:val="22"/>
                <w:szCs w:val="22"/>
              </w:rPr>
            </w:pPr>
            <w:r w:rsidRPr="007D54FA">
              <w:rPr>
                <w:rFonts w:ascii="Verdana" w:hAnsi="Verdana"/>
                <w:sz w:val="22"/>
                <w:szCs w:val="22"/>
              </w:rPr>
              <w:t>Porcentaje de macroprocesos con registro en la bitácora de innovaciones implementadas.</w:t>
            </w:r>
          </w:p>
        </w:tc>
        <w:tc>
          <w:tcPr>
            <w:tcW w:w="600" w:type="pct"/>
            <w:hideMark/>
          </w:tcPr>
          <w:p w14:paraId="6B0D7B4D" w14:textId="77777777" w:rsidR="007D54FA" w:rsidRPr="007D54FA" w:rsidRDefault="007D54FA" w:rsidP="007D54FA">
            <w:pPr>
              <w:spacing w:after="160"/>
              <w:rPr>
                <w:rFonts w:ascii="Verdana" w:hAnsi="Verdana"/>
                <w:sz w:val="22"/>
                <w:szCs w:val="22"/>
              </w:rPr>
            </w:pPr>
            <w:r w:rsidRPr="007D54FA">
              <w:rPr>
                <w:rFonts w:ascii="Verdana" w:hAnsi="Verdana"/>
                <w:sz w:val="22"/>
                <w:szCs w:val="22"/>
              </w:rPr>
              <w:t>100%</w:t>
            </w:r>
          </w:p>
        </w:tc>
      </w:tr>
    </w:tbl>
    <w:p w14:paraId="5DAA876C" w14:textId="77777777" w:rsidR="007D54FA" w:rsidRPr="007D54FA" w:rsidRDefault="007D54FA" w:rsidP="007D54FA">
      <w:pPr>
        <w:rPr>
          <w:rFonts w:ascii="Verdana" w:hAnsi="Verdana"/>
          <w:sz w:val="22"/>
          <w:szCs w:val="22"/>
        </w:rPr>
      </w:pPr>
      <w:r w:rsidRPr="007D54FA">
        <w:rPr>
          <w:rFonts w:ascii="Verdana" w:hAnsi="Verdana"/>
          <w:sz w:val="22"/>
          <w:szCs w:val="22"/>
        </w:rPr>
        <w:t>-- Indicadores con cambio solo en el nombre:</w:t>
      </w:r>
    </w:p>
    <w:tbl>
      <w:tblPr>
        <w:tblStyle w:val="Tablaconcuadrcula"/>
        <w:tblW w:w="4750" w:type="pct"/>
        <w:tblLook w:val="04A0" w:firstRow="1" w:lastRow="0" w:firstColumn="1" w:lastColumn="0" w:noHBand="0" w:noVBand="1"/>
      </w:tblPr>
      <w:tblGrid>
        <w:gridCol w:w="760"/>
        <w:gridCol w:w="7627"/>
      </w:tblGrid>
      <w:tr w:rsidR="007D54FA" w:rsidRPr="007D54FA" w14:paraId="4927ACE3" w14:textId="77777777" w:rsidTr="007D54FA">
        <w:tc>
          <w:tcPr>
            <w:tcW w:w="350" w:type="pct"/>
            <w:hideMark/>
          </w:tcPr>
          <w:p w14:paraId="721A181E" w14:textId="77777777" w:rsidR="007D54FA" w:rsidRPr="007D54FA" w:rsidRDefault="007D54FA" w:rsidP="007D54FA">
            <w:pPr>
              <w:spacing w:after="160"/>
              <w:rPr>
                <w:rFonts w:ascii="Verdana" w:hAnsi="Verdana"/>
                <w:sz w:val="22"/>
                <w:szCs w:val="22"/>
              </w:rPr>
            </w:pPr>
            <w:r w:rsidRPr="007D54FA">
              <w:rPr>
                <w:rFonts w:ascii="Verdana" w:hAnsi="Verdana"/>
                <w:b/>
                <w:bCs/>
                <w:sz w:val="22"/>
                <w:szCs w:val="22"/>
              </w:rPr>
              <w:t>Cód.</w:t>
            </w:r>
          </w:p>
        </w:tc>
        <w:tc>
          <w:tcPr>
            <w:tcW w:w="4650" w:type="pct"/>
            <w:hideMark/>
          </w:tcPr>
          <w:p w14:paraId="6E1C2797" w14:textId="77777777" w:rsidR="007D54FA" w:rsidRPr="007D54FA" w:rsidRDefault="007D54FA" w:rsidP="007D54FA">
            <w:pPr>
              <w:spacing w:after="160"/>
              <w:rPr>
                <w:rFonts w:ascii="Verdana" w:hAnsi="Verdana"/>
                <w:sz w:val="22"/>
                <w:szCs w:val="22"/>
              </w:rPr>
            </w:pPr>
            <w:r w:rsidRPr="007D54FA">
              <w:rPr>
                <w:rFonts w:ascii="Verdana" w:hAnsi="Verdana"/>
                <w:b/>
                <w:bCs/>
                <w:sz w:val="22"/>
                <w:szCs w:val="22"/>
              </w:rPr>
              <w:t>Indicador 2014</w:t>
            </w:r>
          </w:p>
        </w:tc>
      </w:tr>
      <w:tr w:rsidR="007D54FA" w:rsidRPr="007D54FA" w14:paraId="5201056F" w14:textId="77777777" w:rsidTr="007D54FA">
        <w:tc>
          <w:tcPr>
            <w:tcW w:w="350" w:type="pct"/>
            <w:hideMark/>
          </w:tcPr>
          <w:p w14:paraId="12206300" w14:textId="77777777" w:rsidR="007D54FA" w:rsidRPr="007D54FA" w:rsidRDefault="007D54FA" w:rsidP="007D54FA">
            <w:pPr>
              <w:spacing w:after="160"/>
              <w:rPr>
                <w:rFonts w:ascii="Verdana" w:hAnsi="Verdana"/>
                <w:sz w:val="22"/>
                <w:szCs w:val="22"/>
              </w:rPr>
            </w:pPr>
            <w:r w:rsidRPr="007D54FA">
              <w:rPr>
                <w:rFonts w:ascii="Verdana" w:hAnsi="Verdana"/>
                <w:sz w:val="22"/>
                <w:szCs w:val="22"/>
              </w:rPr>
              <w:t>E-02</w:t>
            </w:r>
          </w:p>
        </w:tc>
        <w:tc>
          <w:tcPr>
            <w:tcW w:w="4650" w:type="pct"/>
            <w:hideMark/>
          </w:tcPr>
          <w:p w14:paraId="7F82A501" w14:textId="77777777" w:rsidR="007D54FA" w:rsidRPr="007D54FA" w:rsidRDefault="007D54FA" w:rsidP="007D54FA">
            <w:pPr>
              <w:spacing w:after="160"/>
              <w:rPr>
                <w:rFonts w:ascii="Verdana" w:hAnsi="Verdana"/>
                <w:sz w:val="22"/>
                <w:szCs w:val="22"/>
              </w:rPr>
            </w:pPr>
            <w:r w:rsidRPr="007D54FA">
              <w:rPr>
                <w:rFonts w:ascii="Verdana" w:hAnsi="Verdana"/>
                <w:sz w:val="22"/>
                <w:szCs w:val="22"/>
              </w:rPr>
              <w:t>Centros de Desarrollo Infantil Temprano construidos.</w:t>
            </w:r>
          </w:p>
        </w:tc>
      </w:tr>
      <w:tr w:rsidR="007D54FA" w:rsidRPr="007D54FA" w14:paraId="53419241" w14:textId="77777777" w:rsidTr="007D54FA">
        <w:tc>
          <w:tcPr>
            <w:tcW w:w="350" w:type="pct"/>
            <w:hideMark/>
          </w:tcPr>
          <w:p w14:paraId="0C3A46B9" w14:textId="77777777" w:rsidR="007D54FA" w:rsidRPr="007D54FA" w:rsidRDefault="007D54FA" w:rsidP="007D54FA">
            <w:pPr>
              <w:spacing w:after="160"/>
              <w:rPr>
                <w:rFonts w:ascii="Verdana" w:hAnsi="Verdana"/>
                <w:sz w:val="22"/>
                <w:szCs w:val="22"/>
              </w:rPr>
            </w:pPr>
            <w:r w:rsidRPr="007D54FA">
              <w:rPr>
                <w:rFonts w:ascii="Verdana" w:hAnsi="Verdana"/>
                <w:sz w:val="22"/>
                <w:szCs w:val="22"/>
              </w:rPr>
              <w:t>E-03</w:t>
            </w:r>
          </w:p>
        </w:tc>
        <w:tc>
          <w:tcPr>
            <w:tcW w:w="4650" w:type="pct"/>
            <w:hideMark/>
          </w:tcPr>
          <w:p w14:paraId="32B7E10E" w14:textId="77777777" w:rsidR="007D54FA" w:rsidRPr="007D54FA" w:rsidRDefault="007D54FA" w:rsidP="007D54FA">
            <w:pPr>
              <w:spacing w:after="160"/>
              <w:rPr>
                <w:rFonts w:ascii="Verdana" w:hAnsi="Verdana"/>
                <w:sz w:val="22"/>
                <w:szCs w:val="22"/>
              </w:rPr>
            </w:pPr>
            <w:proofErr w:type="gramStart"/>
            <w:r w:rsidRPr="007D54FA">
              <w:rPr>
                <w:rFonts w:ascii="Verdana" w:hAnsi="Verdana"/>
                <w:sz w:val="22"/>
                <w:szCs w:val="22"/>
              </w:rPr>
              <w:t>Niños y Niñas</w:t>
            </w:r>
            <w:proofErr w:type="gramEnd"/>
            <w:r w:rsidRPr="007D54FA">
              <w:rPr>
                <w:rFonts w:ascii="Verdana" w:hAnsi="Verdana"/>
                <w:sz w:val="22"/>
                <w:szCs w:val="22"/>
              </w:rPr>
              <w:t xml:space="preserve"> atendidos en hogares ICBF que brindan educación inicial, cuidado y nutrición.</w:t>
            </w:r>
          </w:p>
        </w:tc>
      </w:tr>
      <w:tr w:rsidR="007D54FA" w:rsidRPr="007D54FA" w14:paraId="4A31C2EF" w14:textId="77777777" w:rsidTr="007D54FA">
        <w:tc>
          <w:tcPr>
            <w:tcW w:w="350" w:type="pct"/>
            <w:hideMark/>
          </w:tcPr>
          <w:p w14:paraId="15949BFC" w14:textId="77777777" w:rsidR="007D54FA" w:rsidRPr="007D54FA" w:rsidRDefault="007D54FA" w:rsidP="007D54FA">
            <w:pPr>
              <w:spacing w:after="160"/>
              <w:rPr>
                <w:rFonts w:ascii="Verdana" w:hAnsi="Verdana"/>
                <w:sz w:val="22"/>
                <w:szCs w:val="22"/>
              </w:rPr>
            </w:pPr>
            <w:r w:rsidRPr="007D54FA">
              <w:rPr>
                <w:rFonts w:ascii="Verdana" w:hAnsi="Verdana"/>
                <w:sz w:val="22"/>
                <w:szCs w:val="22"/>
              </w:rPr>
              <w:t>E-04</w:t>
            </w:r>
          </w:p>
        </w:tc>
        <w:tc>
          <w:tcPr>
            <w:tcW w:w="4650" w:type="pct"/>
            <w:hideMark/>
          </w:tcPr>
          <w:p w14:paraId="0130DA42" w14:textId="77777777" w:rsidR="007D54FA" w:rsidRPr="007D54FA" w:rsidRDefault="007D54FA" w:rsidP="007D54FA">
            <w:pPr>
              <w:spacing w:after="160"/>
              <w:rPr>
                <w:rFonts w:ascii="Verdana" w:hAnsi="Verdana"/>
                <w:sz w:val="22"/>
                <w:szCs w:val="22"/>
              </w:rPr>
            </w:pPr>
            <w:r w:rsidRPr="007D54FA">
              <w:rPr>
                <w:rFonts w:ascii="Verdana" w:hAnsi="Verdana"/>
                <w:sz w:val="22"/>
                <w:szCs w:val="22"/>
              </w:rPr>
              <w:t>Nuevos agentes educativos vinculados a procesos de formación en el modelo de atención integral.</w:t>
            </w:r>
          </w:p>
        </w:tc>
      </w:tr>
      <w:tr w:rsidR="007D54FA" w:rsidRPr="007D54FA" w14:paraId="0BED5584" w14:textId="77777777" w:rsidTr="007D54FA">
        <w:tc>
          <w:tcPr>
            <w:tcW w:w="350" w:type="pct"/>
            <w:hideMark/>
          </w:tcPr>
          <w:p w14:paraId="72102410" w14:textId="77777777" w:rsidR="007D54FA" w:rsidRPr="007D54FA" w:rsidRDefault="007D54FA" w:rsidP="007D54FA">
            <w:pPr>
              <w:spacing w:after="160"/>
              <w:rPr>
                <w:rFonts w:ascii="Verdana" w:hAnsi="Verdana"/>
                <w:sz w:val="22"/>
                <w:szCs w:val="22"/>
              </w:rPr>
            </w:pPr>
            <w:r w:rsidRPr="007D54FA">
              <w:rPr>
                <w:rFonts w:ascii="Verdana" w:hAnsi="Verdana"/>
                <w:sz w:val="22"/>
                <w:szCs w:val="22"/>
              </w:rPr>
              <w:t>E-08</w:t>
            </w:r>
          </w:p>
        </w:tc>
        <w:tc>
          <w:tcPr>
            <w:tcW w:w="4650" w:type="pct"/>
            <w:hideMark/>
          </w:tcPr>
          <w:p w14:paraId="70446BED" w14:textId="77777777" w:rsidR="007D54FA" w:rsidRPr="007D54FA" w:rsidRDefault="007D54FA" w:rsidP="007D54FA">
            <w:pPr>
              <w:spacing w:after="160"/>
              <w:rPr>
                <w:rFonts w:ascii="Verdana" w:hAnsi="Verdana"/>
                <w:sz w:val="22"/>
                <w:szCs w:val="22"/>
              </w:rPr>
            </w:pPr>
            <w:r w:rsidRPr="007D54FA">
              <w:rPr>
                <w:rFonts w:ascii="Verdana" w:hAnsi="Verdana"/>
                <w:sz w:val="22"/>
                <w:szCs w:val="22"/>
              </w:rPr>
              <w:t>Porcentaje de niños, niñas, adolescentes y jóvenes con estudios de bachillerato terminado que estén vinculados a procesos de formación.</w:t>
            </w:r>
          </w:p>
        </w:tc>
      </w:tr>
      <w:tr w:rsidR="007D54FA" w:rsidRPr="007D54FA" w14:paraId="0B4818B0" w14:textId="77777777" w:rsidTr="007D54FA">
        <w:tc>
          <w:tcPr>
            <w:tcW w:w="350" w:type="pct"/>
            <w:hideMark/>
          </w:tcPr>
          <w:p w14:paraId="2AF66A84" w14:textId="77777777" w:rsidR="007D54FA" w:rsidRPr="007D54FA" w:rsidRDefault="007D54FA" w:rsidP="007D54FA">
            <w:pPr>
              <w:spacing w:after="160"/>
              <w:rPr>
                <w:rFonts w:ascii="Verdana" w:hAnsi="Verdana"/>
                <w:sz w:val="22"/>
                <w:szCs w:val="22"/>
              </w:rPr>
            </w:pPr>
            <w:r w:rsidRPr="007D54FA">
              <w:rPr>
                <w:rFonts w:ascii="Verdana" w:hAnsi="Verdana"/>
                <w:sz w:val="22"/>
                <w:szCs w:val="22"/>
              </w:rPr>
              <w:t>E-10</w:t>
            </w:r>
          </w:p>
        </w:tc>
        <w:tc>
          <w:tcPr>
            <w:tcW w:w="4650" w:type="pct"/>
            <w:hideMark/>
          </w:tcPr>
          <w:p w14:paraId="4A612152" w14:textId="77777777" w:rsidR="007D54FA" w:rsidRPr="007D54FA" w:rsidRDefault="007D54FA" w:rsidP="007D54FA">
            <w:pPr>
              <w:spacing w:after="160"/>
              <w:rPr>
                <w:rFonts w:ascii="Verdana" w:hAnsi="Verdana"/>
                <w:sz w:val="22"/>
                <w:szCs w:val="22"/>
              </w:rPr>
            </w:pPr>
            <w:r w:rsidRPr="007D54FA">
              <w:rPr>
                <w:rFonts w:ascii="Verdana" w:hAnsi="Verdana"/>
                <w:sz w:val="22"/>
                <w:szCs w:val="22"/>
              </w:rPr>
              <w:t>Número de centros de atención especializada construidos.</w:t>
            </w:r>
          </w:p>
        </w:tc>
      </w:tr>
      <w:tr w:rsidR="007D54FA" w:rsidRPr="007D54FA" w14:paraId="7B2D7140" w14:textId="77777777" w:rsidTr="007D54FA">
        <w:tc>
          <w:tcPr>
            <w:tcW w:w="350" w:type="pct"/>
            <w:hideMark/>
          </w:tcPr>
          <w:p w14:paraId="67E7DFDE" w14:textId="77777777" w:rsidR="007D54FA" w:rsidRPr="007D54FA" w:rsidRDefault="007D54FA" w:rsidP="007D54FA">
            <w:pPr>
              <w:spacing w:after="160"/>
              <w:rPr>
                <w:rFonts w:ascii="Verdana" w:hAnsi="Verdana"/>
                <w:sz w:val="22"/>
                <w:szCs w:val="22"/>
              </w:rPr>
            </w:pPr>
            <w:r w:rsidRPr="007D54FA">
              <w:rPr>
                <w:rFonts w:ascii="Verdana" w:hAnsi="Verdana"/>
                <w:sz w:val="22"/>
                <w:szCs w:val="22"/>
              </w:rPr>
              <w:t>E-13</w:t>
            </w:r>
          </w:p>
        </w:tc>
        <w:tc>
          <w:tcPr>
            <w:tcW w:w="4650" w:type="pct"/>
            <w:hideMark/>
          </w:tcPr>
          <w:p w14:paraId="45842FE0" w14:textId="77777777" w:rsidR="007D54FA" w:rsidRPr="007D54FA" w:rsidRDefault="007D54FA" w:rsidP="007D54FA">
            <w:pPr>
              <w:spacing w:after="160"/>
              <w:rPr>
                <w:rFonts w:ascii="Verdana" w:hAnsi="Verdana"/>
                <w:sz w:val="22"/>
                <w:szCs w:val="22"/>
              </w:rPr>
            </w:pPr>
            <w:r w:rsidRPr="007D54FA">
              <w:rPr>
                <w:rFonts w:ascii="Verdana" w:hAnsi="Verdana"/>
                <w:sz w:val="22"/>
                <w:szCs w:val="22"/>
              </w:rPr>
              <w:t>Porcentaje de niños, niñas y adolescentes que reingresan al proceso de restablecimiento de derechos.</w:t>
            </w:r>
          </w:p>
        </w:tc>
      </w:tr>
      <w:tr w:rsidR="007D54FA" w:rsidRPr="007D54FA" w14:paraId="29715778" w14:textId="77777777" w:rsidTr="007D54FA">
        <w:tc>
          <w:tcPr>
            <w:tcW w:w="350" w:type="pct"/>
            <w:hideMark/>
          </w:tcPr>
          <w:p w14:paraId="195E8C07" w14:textId="77777777" w:rsidR="007D54FA" w:rsidRPr="007D54FA" w:rsidRDefault="007D54FA" w:rsidP="007D54FA">
            <w:pPr>
              <w:spacing w:after="160"/>
              <w:rPr>
                <w:rFonts w:ascii="Verdana" w:hAnsi="Verdana"/>
                <w:sz w:val="22"/>
                <w:szCs w:val="22"/>
              </w:rPr>
            </w:pPr>
            <w:r w:rsidRPr="007D54FA">
              <w:rPr>
                <w:rFonts w:ascii="Verdana" w:hAnsi="Verdana"/>
                <w:sz w:val="22"/>
                <w:szCs w:val="22"/>
              </w:rPr>
              <w:t>E-14</w:t>
            </w:r>
          </w:p>
        </w:tc>
        <w:tc>
          <w:tcPr>
            <w:tcW w:w="4650" w:type="pct"/>
            <w:hideMark/>
          </w:tcPr>
          <w:p w14:paraId="5B2EB20C" w14:textId="77777777" w:rsidR="007D54FA" w:rsidRPr="007D54FA" w:rsidRDefault="007D54FA" w:rsidP="007D54FA">
            <w:pPr>
              <w:spacing w:after="160"/>
              <w:rPr>
                <w:rFonts w:ascii="Verdana" w:hAnsi="Verdana"/>
                <w:sz w:val="22"/>
                <w:szCs w:val="22"/>
              </w:rPr>
            </w:pPr>
            <w:r w:rsidRPr="007D54FA">
              <w:rPr>
                <w:rFonts w:ascii="Verdana" w:hAnsi="Verdana"/>
                <w:sz w:val="22"/>
                <w:szCs w:val="22"/>
              </w:rPr>
              <w:t>Porcentaje de niños, niñas y adolescentes menores de 18 años en protección con auto de apertura de investigación con situación legal dentro de los 120 días definidos por la ley.</w:t>
            </w:r>
          </w:p>
        </w:tc>
      </w:tr>
      <w:tr w:rsidR="007D54FA" w:rsidRPr="007D54FA" w14:paraId="69FF086A" w14:textId="77777777" w:rsidTr="007D54FA">
        <w:tc>
          <w:tcPr>
            <w:tcW w:w="350" w:type="pct"/>
            <w:hideMark/>
          </w:tcPr>
          <w:p w14:paraId="7C3559A7" w14:textId="77777777" w:rsidR="007D54FA" w:rsidRPr="007D54FA" w:rsidRDefault="007D54FA" w:rsidP="007D54FA">
            <w:pPr>
              <w:spacing w:after="160"/>
              <w:rPr>
                <w:rFonts w:ascii="Verdana" w:hAnsi="Verdana"/>
                <w:sz w:val="22"/>
                <w:szCs w:val="22"/>
              </w:rPr>
            </w:pPr>
            <w:r w:rsidRPr="007D54FA">
              <w:rPr>
                <w:rFonts w:ascii="Verdana" w:hAnsi="Verdana"/>
                <w:sz w:val="22"/>
                <w:szCs w:val="22"/>
              </w:rPr>
              <w:t>E-15</w:t>
            </w:r>
          </w:p>
        </w:tc>
        <w:tc>
          <w:tcPr>
            <w:tcW w:w="4650" w:type="pct"/>
            <w:hideMark/>
          </w:tcPr>
          <w:p w14:paraId="25BD4B50" w14:textId="77777777" w:rsidR="007D54FA" w:rsidRPr="007D54FA" w:rsidRDefault="007D54FA" w:rsidP="007D54FA">
            <w:pPr>
              <w:spacing w:after="160"/>
              <w:rPr>
                <w:rFonts w:ascii="Verdana" w:hAnsi="Verdana"/>
                <w:sz w:val="22"/>
                <w:szCs w:val="22"/>
              </w:rPr>
            </w:pPr>
            <w:r w:rsidRPr="007D54FA">
              <w:rPr>
                <w:rFonts w:ascii="Verdana" w:hAnsi="Verdana"/>
                <w:sz w:val="22"/>
                <w:szCs w:val="22"/>
              </w:rPr>
              <w:t>Niños, niñas y adolescentes en situación de adoptabilidad en firme, por consentimiento o por autorización, SIN características especiales presentados a comité de adopciones, con familia asignada.</w:t>
            </w:r>
          </w:p>
        </w:tc>
      </w:tr>
      <w:tr w:rsidR="007D54FA" w:rsidRPr="007D54FA" w14:paraId="4101BCB0" w14:textId="77777777" w:rsidTr="007D54FA">
        <w:tc>
          <w:tcPr>
            <w:tcW w:w="350" w:type="pct"/>
            <w:hideMark/>
          </w:tcPr>
          <w:p w14:paraId="77F2A7DE" w14:textId="77777777" w:rsidR="007D54FA" w:rsidRPr="007D54FA" w:rsidRDefault="007D54FA" w:rsidP="007D54FA">
            <w:pPr>
              <w:spacing w:after="160"/>
              <w:rPr>
                <w:rFonts w:ascii="Verdana" w:hAnsi="Verdana"/>
                <w:sz w:val="22"/>
                <w:szCs w:val="22"/>
              </w:rPr>
            </w:pPr>
            <w:r w:rsidRPr="007D54FA">
              <w:rPr>
                <w:rFonts w:ascii="Verdana" w:hAnsi="Verdana"/>
                <w:sz w:val="22"/>
                <w:szCs w:val="22"/>
              </w:rPr>
              <w:t>E-17</w:t>
            </w:r>
          </w:p>
        </w:tc>
        <w:tc>
          <w:tcPr>
            <w:tcW w:w="4650" w:type="pct"/>
            <w:hideMark/>
          </w:tcPr>
          <w:p w14:paraId="331ED5ED" w14:textId="77777777" w:rsidR="007D54FA" w:rsidRPr="007D54FA" w:rsidRDefault="007D54FA" w:rsidP="007D54FA">
            <w:pPr>
              <w:spacing w:after="160"/>
              <w:rPr>
                <w:rFonts w:ascii="Verdana" w:hAnsi="Verdana"/>
                <w:sz w:val="22"/>
                <w:szCs w:val="22"/>
              </w:rPr>
            </w:pPr>
            <w:r w:rsidRPr="007D54FA">
              <w:rPr>
                <w:rFonts w:ascii="Verdana" w:hAnsi="Verdana"/>
                <w:sz w:val="22"/>
                <w:szCs w:val="22"/>
              </w:rPr>
              <w:t xml:space="preserve">Porcentaje de niños, niñas y adolescentes </w:t>
            </w:r>
            <w:proofErr w:type="gramStart"/>
            <w:r w:rsidRPr="007D54FA">
              <w:rPr>
                <w:rFonts w:ascii="Verdana" w:hAnsi="Verdana"/>
                <w:sz w:val="22"/>
                <w:szCs w:val="22"/>
              </w:rPr>
              <w:t>que</w:t>
            </w:r>
            <w:proofErr w:type="gramEnd"/>
            <w:r w:rsidRPr="007D54FA">
              <w:rPr>
                <w:rFonts w:ascii="Verdana" w:hAnsi="Verdana"/>
                <w:sz w:val="22"/>
                <w:szCs w:val="22"/>
              </w:rPr>
              <w:t xml:space="preserve"> a partir de la fecha de sentencia de adopción en firme, cumplen con el número de informes de seguimientos post- adopción en el periodo establecido.</w:t>
            </w:r>
          </w:p>
        </w:tc>
      </w:tr>
      <w:tr w:rsidR="007D54FA" w:rsidRPr="007D54FA" w14:paraId="35401048" w14:textId="77777777" w:rsidTr="007D54FA">
        <w:tc>
          <w:tcPr>
            <w:tcW w:w="350" w:type="pct"/>
            <w:hideMark/>
          </w:tcPr>
          <w:p w14:paraId="7AB092BC" w14:textId="77777777" w:rsidR="007D54FA" w:rsidRPr="007D54FA" w:rsidRDefault="007D54FA" w:rsidP="007D54FA">
            <w:pPr>
              <w:spacing w:after="160"/>
              <w:rPr>
                <w:rFonts w:ascii="Verdana" w:hAnsi="Verdana"/>
                <w:sz w:val="22"/>
                <w:szCs w:val="22"/>
              </w:rPr>
            </w:pPr>
            <w:r w:rsidRPr="007D54FA">
              <w:rPr>
                <w:rFonts w:ascii="Verdana" w:hAnsi="Verdana"/>
                <w:sz w:val="22"/>
                <w:szCs w:val="22"/>
              </w:rPr>
              <w:t>E-21</w:t>
            </w:r>
          </w:p>
        </w:tc>
        <w:tc>
          <w:tcPr>
            <w:tcW w:w="4650" w:type="pct"/>
            <w:hideMark/>
          </w:tcPr>
          <w:p w14:paraId="62FA3E97" w14:textId="77777777" w:rsidR="007D54FA" w:rsidRPr="007D54FA" w:rsidRDefault="007D54FA" w:rsidP="007D54FA">
            <w:pPr>
              <w:spacing w:after="160"/>
              <w:rPr>
                <w:rFonts w:ascii="Verdana" w:hAnsi="Verdana"/>
                <w:sz w:val="22"/>
                <w:szCs w:val="22"/>
              </w:rPr>
            </w:pPr>
            <w:r w:rsidRPr="007D54FA">
              <w:rPr>
                <w:rFonts w:ascii="Verdana" w:hAnsi="Verdana"/>
                <w:sz w:val="22"/>
                <w:szCs w:val="22"/>
              </w:rPr>
              <w:t xml:space="preserve">Porcentaje de </w:t>
            </w:r>
            <w:proofErr w:type="gramStart"/>
            <w:r w:rsidRPr="007D54FA">
              <w:rPr>
                <w:rFonts w:ascii="Verdana" w:hAnsi="Verdana"/>
                <w:sz w:val="22"/>
                <w:szCs w:val="22"/>
              </w:rPr>
              <w:t>niños y niñas</w:t>
            </w:r>
            <w:proofErr w:type="gramEnd"/>
            <w:r w:rsidRPr="007D54FA">
              <w:rPr>
                <w:rFonts w:ascii="Verdana" w:hAnsi="Verdana"/>
                <w:sz w:val="22"/>
                <w:szCs w:val="22"/>
              </w:rPr>
              <w:t xml:space="preserve"> entre dos y cinco años reportados al Sistema de Seguimiento Nutricional (excluyendo FAMI, RN, RNLC) con desnutrición aguda que mejoraron su estado Nutricional.</w:t>
            </w:r>
          </w:p>
        </w:tc>
      </w:tr>
      <w:tr w:rsidR="007D54FA" w:rsidRPr="007D54FA" w14:paraId="79AF7953" w14:textId="77777777" w:rsidTr="007D54FA">
        <w:tc>
          <w:tcPr>
            <w:tcW w:w="350" w:type="pct"/>
            <w:hideMark/>
          </w:tcPr>
          <w:p w14:paraId="75BD636F" w14:textId="77777777" w:rsidR="007D54FA" w:rsidRPr="007D54FA" w:rsidRDefault="007D54FA" w:rsidP="007D54FA">
            <w:pPr>
              <w:spacing w:after="160"/>
              <w:rPr>
                <w:rFonts w:ascii="Verdana" w:hAnsi="Verdana"/>
                <w:sz w:val="22"/>
                <w:szCs w:val="22"/>
              </w:rPr>
            </w:pPr>
            <w:r w:rsidRPr="007D54FA">
              <w:rPr>
                <w:rFonts w:ascii="Verdana" w:hAnsi="Verdana"/>
                <w:sz w:val="22"/>
                <w:szCs w:val="22"/>
              </w:rPr>
              <w:t>E-38</w:t>
            </w:r>
          </w:p>
        </w:tc>
        <w:tc>
          <w:tcPr>
            <w:tcW w:w="4650" w:type="pct"/>
            <w:hideMark/>
          </w:tcPr>
          <w:p w14:paraId="7D9C8BE3" w14:textId="77777777" w:rsidR="007D54FA" w:rsidRPr="007D54FA" w:rsidRDefault="007D54FA" w:rsidP="007D54FA">
            <w:pPr>
              <w:spacing w:after="160"/>
              <w:rPr>
                <w:rFonts w:ascii="Verdana" w:hAnsi="Verdana"/>
                <w:sz w:val="22"/>
                <w:szCs w:val="22"/>
              </w:rPr>
            </w:pPr>
            <w:r w:rsidRPr="007D54FA">
              <w:rPr>
                <w:rFonts w:ascii="Verdana" w:hAnsi="Verdana"/>
                <w:sz w:val="22"/>
                <w:szCs w:val="22"/>
              </w:rPr>
              <w:t xml:space="preserve">Índice de cultura </w:t>
            </w:r>
            <w:proofErr w:type="spellStart"/>
            <w:r w:rsidRPr="007D54FA">
              <w:rPr>
                <w:rFonts w:ascii="Verdana" w:hAnsi="Verdana"/>
                <w:sz w:val="22"/>
                <w:szCs w:val="22"/>
              </w:rPr>
              <w:t>cultura</w:t>
            </w:r>
            <w:proofErr w:type="spellEnd"/>
            <w:r w:rsidRPr="007D54FA">
              <w:rPr>
                <w:rFonts w:ascii="Verdana" w:hAnsi="Verdana"/>
                <w:sz w:val="22"/>
                <w:szCs w:val="22"/>
              </w:rPr>
              <w:t xml:space="preserve"> organizacional.</w:t>
            </w:r>
          </w:p>
        </w:tc>
      </w:tr>
      <w:tr w:rsidR="007D54FA" w:rsidRPr="007D54FA" w14:paraId="068F73B9" w14:textId="77777777" w:rsidTr="007D54FA">
        <w:tc>
          <w:tcPr>
            <w:tcW w:w="350" w:type="pct"/>
            <w:hideMark/>
          </w:tcPr>
          <w:p w14:paraId="5BCE5AB7" w14:textId="77777777" w:rsidR="007D54FA" w:rsidRPr="007D54FA" w:rsidRDefault="007D54FA" w:rsidP="007D54FA">
            <w:pPr>
              <w:spacing w:after="160"/>
              <w:rPr>
                <w:rFonts w:ascii="Verdana" w:hAnsi="Verdana"/>
                <w:sz w:val="22"/>
                <w:szCs w:val="22"/>
              </w:rPr>
            </w:pPr>
            <w:r w:rsidRPr="007D54FA">
              <w:rPr>
                <w:rFonts w:ascii="Verdana" w:hAnsi="Verdana"/>
                <w:sz w:val="22"/>
                <w:szCs w:val="22"/>
              </w:rPr>
              <w:t>E-40</w:t>
            </w:r>
          </w:p>
        </w:tc>
        <w:tc>
          <w:tcPr>
            <w:tcW w:w="4650" w:type="pct"/>
            <w:hideMark/>
          </w:tcPr>
          <w:p w14:paraId="167AF82C" w14:textId="77777777" w:rsidR="007D54FA" w:rsidRPr="007D54FA" w:rsidRDefault="007D54FA" w:rsidP="007D54FA">
            <w:pPr>
              <w:spacing w:after="160"/>
              <w:rPr>
                <w:rFonts w:ascii="Verdana" w:hAnsi="Verdana"/>
                <w:sz w:val="22"/>
                <w:szCs w:val="22"/>
              </w:rPr>
            </w:pPr>
            <w:r w:rsidRPr="007D54FA">
              <w:rPr>
                <w:rFonts w:ascii="Verdana" w:hAnsi="Verdana"/>
                <w:sz w:val="22"/>
                <w:szCs w:val="22"/>
              </w:rPr>
              <w:t>Porcentaje de quejas y reclamos solucionados oportunamente.</w:t>
            </w:r>
          </w:p>
        </w:tc>
      </w:tr>
      <w:tr w:rsidR="007D54FA" w:rsidRPr="007D54FA" w14:paraId="4AA058E8" w14:textId="77777777" w:rsidTr="007D54FA">
        <w:tc>
          <w:tcPr>
            <w:tcW w:w="350" w:type="pct"/>
            <w:hideMark/>
          </w:tcPr>
          <w:p w14:paraId="48573B7A" w14:textId="77777777" w:rsidR="007D54FA" w:rsidRPr="007D54FA" w:rsidRDefault="007D54FA" w:rsidP="007D54FA">
            <w:pPr>
              <w:spacing w:after="160"/>
              <w:rPr>
                <w:rFonts w:ascii="Verdana" w:hAnsi="Verdana"/>
                <w:sz w:val="22"/>
                <w:szCs w:val="22"/>
              </w:rPr>
            </w:pPr>
            <w:r w:rsidRPr="007D54FA">
              <w:rPr>
                <w:rFonts w:ascii="Verdana" w:hAnsi="Verdana"/>
                <w:sz w:val="22"/>
                <w:szCs w:val="22"/>
              </w:rPr>
              <w:lastRenderedPageBreak/>
              <w:t>E-42</w:t>
            </w:r>
          </w:p>
        </w:tc>
        <w:tc>
          <w:tcPr>
            <w:tcW w:w="4650" w:type="pct"/>
            <w:hideMark/>
          </w:tcPr>
          <w:p w14:paraId="559184CC" w14:textId="77777777" w:rsidR="007D54FA" w:rsidRPr="007D54FA" w:rsidRDefault="007D54FA" w:rsidP="007D54FA">
            <w:pPr>
              <w:spacing w:after="160"/>
              <w:rPr>
                <w:rFonts w:ascii="Verdana" w:hAnsi="Verdana"/>
                <w:sz w:val="22"/>
                <w:szCs w:val="22"/>
              </w:rPr>
            </w:pPr>
            <w:r w:rsidRPr="007D54FA">
              <w:rPr>
                <w:rFonts w:ascii="Verdana" w:hAnsi="Verdana"/>
                <w:sz w:val="22"/>
                <w:szCs w:val="22"/>
              </w:rPr>
              <w:t>Regionales operando efectivamente el sistema tecnológico para otorgar citas de manera automatizadas.</w:t>
            </w:r>
          </w:p>
        </w:tc>
      </w:tr>
      <w:tr w:rsidR="007D54FA" w:rsidRPr="007D54FA" w14:paraId="59888049" w14:textId="77777777" w:rsidTr="007D54FA">
        <w:tc>
          <w:tcPr>
            <w:tcW w:w="350" w:type="pct"/>
            <w:hideMark/>
          </w:tcPr>
          <w:p w14:paraId="047F8B1C" w14:textId="77777777" w:rsidR="007D54FA" w:rsidRPr="007D54FA" w:rsidRDefault="007D54FA" w:rsidP="007D54FA">
            <w:pPr>
              <w:spacing w:after="160"/>
              <w:rPr>
                <w:rFonts w:ascii="Verdana" w:hAnsi="Verdana"/>
                <w:sz w:val="22"/>
                <w:szCs w:val="22"/>
              </w:rPr>
            </w:pPr>
            <w:r w:rsidRPr="007D54FA">
              <w:rPr>
                <w:rFonts w:ascii="Verdana" w:hAnsi="Verdana"/>
                <w:sz w:val="22"/>
                <w:szCs w:val="22"/>
              </w:rPr>
              <w:t>E-43</w:t>
            </w:r>
          </w:p>
        </w:tc>
        <w:tc>
          <w:tcPr>
            <w:tcW w:w="4650" w:type="pct"/>
            <w:hideMark/>
          </w:tcPr>
          <w:p w14:paraId="2C0867F2" w14:textId="77777777" w:rsidR="007D54FA" w:rsidRPr="007D54FA" w:rsidRDefault="007D54FA" w:rsidP="007D54FA">
            <w:pPr>
              <w:spacing w:after="160"/>
              <w:rPr>
                <w:rFonts w:ascii="Verdana" w:hAnsi="Verdana"/>
                <w:sz w:val="22"/>
                <w:szCs w:val="22"/>
              </w:rPr>
            </w:pPr>
            <w:r w:rsidRPr="007D54FA">
              <w:rPr>
                <w:rFonts w:ascii="Verdana" w:hAnsi="Verdana"/>
                <w:sz w:val="22"/>
                <w:szCs w:val="22"/>
              </w:rPr>
              <w:t>Porcentaje de implementación del proceso de adecuación institucional Fase II.</w:t>
            </w:r>
          </w:p>
        </w:tc>
      </w:tr>
      <w:tr w:rsidR="007D54FA" w:rsidRPr="007D54FA" w14:paraId="0F124876" w14:textId="77777777" w:rsidTr="007D54FA">
        <w:tc>
          <w:tcPr>
            <w:tcW w:w="350" w:type="pct"/>
            <w:hideMark/>
          </w:tcPr>
          <w:p w14:paraId="64AE5466" w14:textId="77777777" w:rsidR="007D54FA" w:rsidRPr="007D54FA" w:rsidRDefault="007D54FA" w:rsidP="007D54FA">
            <w:pPr>
              <w:spacing w:after="160"/>
              <w:rPr>
                <w:rFonts w:ascii="Verdana" w:hAnsi="Verdana"/>
                <w:sz w:val="22"/>
                <w:szCs w:val="22"/>
              </w:rPr>
            </w:pPr>
            <w:r w:rsidRPr="007D54FA">
              <w:rPr>
                <w:rFonts w:ascii="Verdana" w:hAnsi="Verdana"/>
                <w:sz w:val="22"/>
                <w:szCs w:val="22"/>
              </w:rPr>
              <w:t>E-44</w:t>
            </w:r>
          </w:p>
        </w:tc>
        <w:tc>
          <w:tcPr>
            <w:tcW w:w="4650" w:type="pct"/>
            <w:hideMark/>
          </w:tcPr>
          <w:p w14:paraId="0EE8ABC4" w14:textId="77777777" w:rsidR="007D54FA" w:rsidRPr="007D54FA" w:rsidRDefault="007D54FA" w:rsidP="007D54FA">
            <w:pPr>
              <w:spacing w:after="160"/>
              <w:rPr>
                <w:rFonts w:ascii="Verdana" w:hAnsi="Verdana"/>
                <w:sz w:val="22"/>
                <w:szCs w:val="22"/>
              </w:rPr>
            </w:pPr>
            <w:r w:rsidRPr="007D54FA">
              <w:rPr>
                <w:rFonts w:ascii="Verdana" w:hAnsi="Verdana"/>
                <w:sz w:val="22"/>
                <w:szCs w:val="22"/>
              </w:rPr>
              <w:t>Campañas y programas de movilización desarrollados por ejes para promoción y prevención de derechos de los niños, niñas, adolescentes y familias.</w:t>
            </w:r>
          </w:p>
        </w:tc>
      </w:tr>
      <w:tr w:rsidR="007D54FA" w:rsidRPr="007D54FA" w14:paraId="5D6161A3" w14:textId="77777777" w:rsidTr="007D54FA">
        <w:tc>
          <w:tcPr>
            <w:tcW w:w="350" w:type="pct"/>
            <w:hideMark/>
          </w:tcPr>
          <w:p w14:paraId="4B728A91" w14:textId="77777777" w:rsidR="007D54FA" w:rsidRPr="007D54FA" w:rsidRDefault="007D54FA" w:rsidP="007D54FA">
            <w:pPr>
              <w:spacing w:after="160"/>
              <w:rPr>
                <w:rFonts w:ascii="Verdana" w:hAnsi="Verdana"/>
                <w:sz w:val="22"/>
                <w:szCs w:val="22"/>
              </w:rPr>
            </w:pPr>
            <w:r w:rsidRPr="007D54FA">
              <w:rPr>
                <w:rFonts w:ascii="Verdana" w:hAnsi="Verdana"/>
                <w:sz w:val="22"/>
                <w:szCs w:val="22"/>
              </w:rPr>
              <w:t>E-46</w:t>
            </w:r>
          </w:p>
        </w:tc>
        <w:tc>
          <w:tcPr>
            <w:tcW w:w="4650" w:type="pct"/>
            <w:hideMark/>
          </w:tcPr>
          <w:p w14:paraId="043AC342" w14:textId="77777777" w:rsidR="007D54FA" w:rsidRPr="007D54FA" w:rsidRDefault="007D54FA" w:rsidP="007D54FA">
            <w:pPr>
              <w:spacing w:after="160"/>
              <w:rPr>
                <w:rFonts w:ascii="Verdana" w:hAnsi="Verdana"/>
                <w:sz w:val="22"/>
                <w:szCs w:val="22"/>
              </w:rPr>
            </w:pPr>
            <w:r w:rsidRPr="007D54FA">
              <w:rPr>
                <w:rFonts w:ascii="Verdana" w:hAnsi="Verdana"/>
                <w:sz w:val="22"/>
                <w:szCs w:val="22"/>
              </w:rPr>
              <w:t>Incremento anual de noticias con valoración positiva en monitoreo de prensa, cuya línea base será el histórico de valoración a 2011.</w:t>
            </w:r>
          </w:p>
        </w:tc>
      </w:tr>
      <w:tr w:rsidR="007D54FA" w:rsidRPr="007D54FA" w14:paraId="0D017159" w14:textId="77777777" w:rsidTr="007D54FA">
        <w:tc>
          <w:tcPr>
            <w:tcW w:w="350" w:type="pct"/>
            <w:hideMark/>
          </w:tcPr>
          <w:p w14:paraId="7BEB9FED" w14:textId="77777777" w:rsidR="007D54FA" w:rsidRPr="007D54FA" w:rsidRDefault="007D54FA" w:rsidP="007D54FA">
            <w:pPr>
              <w:spacing w:after="160"/>
              <w:rPr>
                <w:rFonts w:ascii="Verdana" w:hAnsi="Verdana"/>
                <w:sz w:val="22"/>
                <w:szCs w:val="22"/>
              </w:rPr>
            </w:pPr>
            <w:r w:rsidRPr="007D54FA">
              <w:rPr>
                <w:rFonts w:ascii="Verdana" w:hAnsi="Verdana"/>
                <w:sz w:val="22"/>
                <w:szCs w:val="22"/>
              </w:rPr>
              <w:t>E-47</w:t>
            </w:r>
          </w:p>
        </w:tc>
        <w:tc>
          <w:tcPr>
            <w:tcW w:w="4650" w:type="pct"/>
            <w:hideMark/>
          </w:tcPr>
          <w:p w14:paraId="19632EA7" w14:textId="77777777" w:rsidR="007D54FA" w:rsidRPr="007D54FA" w:rsidRDefault="007D54FA" w:rsidP="007D54FA">
            <w:pPr>
              <w:spacing w:after="160"/>
              <w:rPr>
                <w:rFonts w:ascii="Verdana" w:hAnsi="Verdana"/>
                <w:sz w:val="22"/>
                <w:szCs w:val="22"/>
              </w:rPr>
            </w:pPr>
            <w:r w:rsidRPr="007D54FA">
              <w:rPr>
                <w:rFonts w:ascii="Verdana" w:hAnsi="Verdana"/>
                <w:sz w:val="22"/>
                <w:szCs w:val="22"/>
              </w:rPr>
              <w:t>Porcentaje de evaluaciones finalizadas a los programas del ICBF.</w:t>
            </w:r>
          </w:p>
        </w:tc>
      </w:tr>
      <w:tr w:rsidR="007D54FA" w:rsidRPr="007D54FA" w14:paraId="16155792" w14:textId="77777777" w:rsidTr="007D54FA">
        <w:tc>
          <w:tcPr>
            <w:tcW w:w="350" w:type="pct"/>
            <w:hideMark/>
          </w:tcPr>
          <w:p w14:paraId="0B660B0C" w14:textId="77777777" w:rsidR="007D54FA" w:rsidRPr="007D54FA" w:rsidRDefault="007D54FA" w:rsidP="007D54FA">
            <w:pPr>
              <w:spacing w:after="160"/>
              <w:rPr>
                <w:rFonts w:ascii="Verdana" w:hAnsi="Verdana"/>
                <w:sz w:val="22"/>
                <w:szCs w:val="22"/>
              </w:rPr>
            </w:pPr>
            <w:r w:rsidRPr="007D54FA">
              <w:rPr>
                <w:rFonts w:ascii="Verdana" w:hAnsi="Verdana"/>
                <w:sz w:val="22"/>
                <w:szCs w:val="22"/>
              </w:rPr>
              <w:t>E-48</w:t>
            </w:r>
          </w:p>
        </w:tc>
        <w:tc>
          <w:tcPr>
            <w:tcW w:w="4650" w:type="pct"/>
            <w:hideMark/>
          </w:tcPr>
          <w:p w14:paraId="64C2892C" w14:textId="77777777" w:rsidR="007D54FA" w:rsidRPr="007D54FA" w:rsidRDefault="007D54FA" w:rsidP="007D54FA">
            <w:pPr>
              <w:spacing w:after="160"/>
              <w:rPr>
                <w:rFonts w:ascii="Verdana" w:hAnsi="Verdana"/>
                <w:sz w:val="22"/>
                <w:szCs w:val="22"/>
              </w:rPr>
            </w:pPr>
            <w:r w:rsidRPr="007D54FA">
              <w:rPr>
                <w:rFonts w:ascii="Verdana" w:hAnsi="Verdana"/>
                <w:sz w:val="22"/>
                <w:szCs w:val="22"/>
              </w:rPr>
              <w:t>Instituciones prestadoras del Servicio Público de Bienestar Familiar que trabajan con el ICBF, con requisitos validados en la Norma Técnica de Empresa - ICBF - NTE 001.</w:t>
            </w:r>
          </w:p>
        </w:tc>
      </w:tr>
      <w:tr w:rsidR="007D54FA" w:rsidRPr="007D54FA" w14:paraId="0C9A0E55" w14:textId="77777777" w:rsidTr="007D54FA">
        <w:tc>
          <w:tcPr>
            <w:tcW w:w="350" w:type="pct"/>
            <w:hideMark/>
          </w:tcPr>
          <w:p w14:paraId="4BCD35CF" w14:textId="77777777" w:rsidR="007D54FA" w:rsidRPr="007D54FA" w:rsidRDefault="007D54FA" w:rsidP="007D54FA">
            <w:pPr>
              <w:spacing w:after="160"/>
              <w:rPr>
                <w:rFonts w:ascii="Verdana" w:hAnsi="Verdana"/>
                <w:sz w:val="22"/>
                <w:szCs w:val="22"/>
              </w:rPr>
            </w:pPr>
            <w:r w:rsidRPr="007D54FA">
              <w:rPr>
                <w:rFonts w:ascii="Verdana" w:hAnsi="Verdana"/>
                <w:sz w:val="22"/>
                <w:szCs w:val="22"/>
              </w:rPr>
              <w:t>E-51</w:t>
            </w:r>
          </w:p>
        </w:tc>
        <w:tc>
          <w:tcPr>
            <w:tcW w:w="4650" w:type="pct"/>
            <w:hideMark/>
          </w:tcPr>
          <w:p w14:paraId="1A9621C4" w14:textId="77777777" w:rsidR="007D54FA" w:rsidRPr="007D54FA" w:rsidRDefault="007D54FA" w:rsidP="007D54FA">
            <w:pPr>
              <w:spacing w:after="160"/>
              <w:rPr>
                <w:rFonts w:ascii="Verdana" w:hAnsi="Verdana"/>
                <w:sz w:val="22"/>
                <w:szCs w:val="22"/>
              </w:rPr>
            </w:pPr>
            <w:r w:rsidRPr="007D54FA">
              <w:rPr>
                <w:rFonts w:ascii="Verdana" w:hAnsi="Verdana"/>
                <w:sz w:val="22"/>
                <w:szCs w:val="22"/>
              </w:rPr>
              <w:t>Porcentaje de avance del Sistema de Información de Primera Infancia desarrollado y operando.</w:t>
            </w:r>
          </w:p>
        </w:tc>
      </w:tr>
    </w:tbl>
    <w:p w14:paraId="2B077D3D" w14:textId="4EBC44AB" w:rsidR="007C0896" w:rsidRPr="007C0896" w:rsidRDefault="007C0896" w:rsidP="007C0896">
      <w:pPr>
        <w:rPr>
          <w:rFonts w:ascii="Verdana" w:hAnsi="Verdana"/>
          <w:sz w:val="22"/>
          <w:szCs w:val="22"/>
        </w:rPr>
      </w:pPr>
    </w:p>
    <w:p w14:paraId="45FCDE4C" w14:textId="2913BFDF" w:rsidR="007C0896" w:rsidRPr="007C0896" w:rsidRDefault="007C0896" w:rsidP="007C0896">
      <w:pPr>
        <w:rPr>
          <w:rFonts w:ascii="Verdana" w:hAnsi="Verdana"/>
          <w:sz w:val="22"/>
          <w:szCs w:val="22"/>
        </w:rPr>
      </w:pPr>
      <w:r w:rsidRPr="00680AFA">
        <w:rPr>
          <w:rFonts w:ascii="Verdana" w:hAnsi="Verdana"/>
          <w:b/>
          <w:bCs/>
          <w:sz w:val="22"/>
          <w:szCs w:val="22"/>
        </w:rPr>
        <w:t xml:space="preserve">ARTÍCULO </w:t>
      </w:r>
      <w:r w:rsidR="00E464AA">
        <w:rPr>
          <w:rFonts w:ascii="Verdana" w:hAnsi="Verdana"/>
          <w:b/>
          <w:bCs/>
          <w:sz w:val="22"/>
          <w:szCs w:val="22"/>
        </w:rPr>
        <w:t>2o</w:t>
      </w:r>
      <w:r w:rsidRPr="00680AFA">
        <w:rPr>
          <w:rFonts w:ascii="Verdana" w:hAnsi="Verdana"/>
          <w:b/>
          <w:bCs/>
          <w:sz w:val="22"/>
          <w:szCs w:val="22"/>
        </w:rPr>
        <w:t>.</w:t>
      </w:r>
      <w:r w:rsidRPr="007C0896">
        <w:rPr>
          <w:rFonts w:ascii="Verdana" w:hAnsi="Verdana"/>
          <w:sz w:val="22"/>
          <w:szCs w:val="22"/>
        </w:rPr>
        <w:t xml:space="preserve"> Modificar el Plan Indicativo Institucional para el periodo 2011-2014: “Para que los niños y las familias de Colombia tengan derecho a crecer con Bienestar. Nuestros resultados son Derechos”, estableciendo que los siguientes indicadores no aplican para la vigencia 2014:</w:t>
      </w:r>
    </w:p>
    <w:tbl>
      <w:tblPr>
        <w:tblStyle w:val="Tablaconcuadrcula"/>
        <w:tblW w:w="5050" w:type="pct"/>
        <w:tblLook w:val="04A0" w:firstRow="1" w:lastRow="0" w:firstColumn="1" w:lastColumn="0" w:noHBand="0" w:noVBand="1"/>
      </w:tblPr>
      <w:tblGrid>
        <w:gridCol w:w="760"/>
        <w:gridCol w:w="8156"/>
      </w:tblGrid>
      <w:tr w:rsidR="00680AFA" w:rsidRPr="00680AFA" w14:paraId="5B3983AB" w14:textId="77777777" w:rsidTr="00680AFA">
        <w:tc>
          <w:tcPr>
            <w:tcW w:w="400" w:type="pct"/>
            <w:hideMark/>
          </w:tcPr>
          <w:p w14:paraId="603D054A" w14:textId="77777777" w:rsidR="00680AFA" w:rsidRPr="00680AFA" w:rsidRDefault="00680AFA" w:rsidP="00680AFA">
            <w:pPr>
              <w:spacing w:after="160"/>
              <w:rPr>
                <w:rFonts w:ascii="Verdana" w:hAnsi="Verdana"/>
                <w:sz w:val="22"/>
                <w:szCs w:val="22"/>
              </w:rPr>
            </w:pPr>
            <w:r w:rsidRPr="00680AFA">
              <w:rPr>
                <w:rFonts w:ascii="Verdana" w:hAnsi="Verdana"/>
                <w:b/>
                <w:bCs/>
                <w:sz w:val="22"/>
                <w:szCs w:val="22"/>
              </w:rPr>
              <w:t>Cód.</w:t>
            </w:r>
          </w:p>
        </w:tc>
        <w:tc>
          <w:tcPr>
            <w:tcW w:w="4600" w:type="pct"/>
            <w:hideMark/>
          </w:tcPr>
          <w:p w14:paraId="2000D6B4" w14:textId="77777777" w:rsidR="00680AFA" w:rsidRPr="00680AFA" w:rsidRDefault="00680AFA" w:rsidP="00680AFA">
            <w:pPr>
              <w:spacing w:after="160"/>
              <w:rPr>
                <w:rFonts w:ascii="Verdana" w:hAnsi="Verdana"/>
                <w:sz w:val="22"/>
                <w:szCs w:val="22"/>
              </w:rPr>
            </w:pPr>
            <w:r w:rsidRPr="00680AFA">
              <w:rPr>
                <w:rFonts w:ascii="Verdana" w:hAnsi="Verdana"/>
                <w:b/>
                <w:bCs/>
                <w:sz w:val="22"/>
                <w:szCs w:val="22"/>
              </w:rPr>
              <w:t>Indicador</w:t>
            </w:r>
          </w:p>
        </w:tc>
      </w:tr>
      <w:tr w:rsidR="00680AFA" w:rsidRPr="00680AFA" w14:paraId="3A6F750D" w14:textId="77777777" w:rsidTr="00680AFA">
        <w:tc>
          <w:tcPr>
            <w:tcW w:w="400" w:type="pct"/>
            <w:hideMark/>
          </w:tcPr>
          <w:p w14:paraId="487D0D83" w14:textId="77777777" w:rsidR="00680AFA" w:rsidRPr="00680AFA" w:rsidRDefault="00680AFA" w:rsidP="00680AFA">
            <w:pPr>
              <w:spacing w:after="160"/>
              <w:rPr>
                <w:rFonts w:ascii="Verdana" w:hAnsi="Verdana"/>
                <w:sz w:val="22"/>
                <w:szCs w:val="22"/>
              </w:rPr>
            </w:pPr>
            <w:r w:rsidRPr="00680AFA">
              <w:rPr>
                <w:rFonts w:ascii="Verdana" w:hAnsi="Verdana"/>
                <w:sz w:val="22"/>
                <w:szCs w:val="22"/>
              </w:rPr>
              <w:t>E-20</w:t>
            </w:r>
          </w:p>
        </w:tc>
        <w:tc>
          <w:tcPr>
            <w:tcW w:w="4600" w:type="pct"/>
            <w:hideMark/>
          </w:tcPr>
          <w:p w14:paraId="007C44FE" w14:textId="77777777" w:rsidR="00680AFA" w:rsidRPr="00680AFA" w:rsidRDefault="00680AFA" w:rsidP="00680AFA">
            <w:pPr>
              <w:spacing w:after="160"/>
              <w:rPr>
                <w:rFonts w:ascii="Verdana" w:hAnsi="Verdana"/>
                <w:sz w:val="22"/>
                <w:szCs w:val="22"/>
              </w:rPr>
            </w:pPr>
            <w:r w:rsidRPr="00680AFA">
              <w:rPr>
                <w:rFonts w:ascii="Verdana" w:hAnsi="Verdana"/>
                <w:sz w:val="22"/>
                <w:szCs w:val="22"/>
              </w:rPr>
              <w:t>Formación de Agentes Educativos en la implementación de las Guías Alimentarias Basadas en Alimentos.</w:t>
            </w:r>
          </w:p>
        </w:tc>
      </w:tr>
      <w:tr w:rsidR="00680AFA" w:rsidRPr="00680AFA" w14:paraId="4E251743" w14:textId="77777777" w:rsidTr="00680AFA">
        <w:tc>
          <w:tcPr>
            <w:tcW w:w="400" w:type="pct"/>
            <w:hideMark/>
          </w:tcPr>
          <w:p w14:paraId="60EA5714" w14:textId="77777777" w:rsidR="00680AFA" w:rsidRPr="00680AFA" w:rsidRDefault="00680AFA" w:rsidP="00680AFA">
            <w:pPr>
              <w:spacing w:after="160"/>
              <w:rPr>
                <w:rFonts w:ascii="Verdana" w:hAnsi="Verdana"/>
                <w:sz w:val="22"/>
                <w:szCs w:val="22"/>
              </w:rPr>
            </w:pPr>
            <w:r w:rsidRPr="00680AFA">
              <w:rPr>
                <w:rFonts w:ascii="Verdana" w:hAnsi="Verdana"/>
                <w:sz w:val="22"/>
                <w:szCs w:val="22"/>
              </w:rPr>
              <w:t>E-27</w:t>
            </w:r>
          </w:p>
        </w:tc>
        <w:tc>
          <w:tcPr>
            <w:tcW w:w="4600" w:type="pct"/>
            <w:hideMark/>
          </w:tcPr>
          <w:p w14:paraId="191B7A07" w14:textId="77777777" w:rsidR="00680AFA" w:rsidRPr="00680AFA" w:rsidRDefault="00680AFA" w:rsidP="00680AFA">
            <w:pPr>
              <w:spacing w:after="160"/>
              <w:rPr>
                <w:rFonts w:ascii="Verdana" w:hAnsi="Verdana"/>
                <w:sz w:val="22"/>
                <w:szCs w:val="22"/>
              </w:rPr>
            </w:pPr>
            <w:r w:rsidRPr="00680AFA">
              <w:rPr>
                <w:rFonts w:ascii="Verdana" w:hAnsi="Verdana"/>
                <w:sz w:val="22"/>
                <w:szCs w:val="22"/>
              </w:rPr>
              <w:t xml:space="preserve">Número de redes público-privadas creadas y en funcionamiento (Defensores - Operadores y </w:t>
            </w:r>
            <w:proofErr w:type="gramStart"/>
            <w:r w:rsidRPr="00680AFA">
              <w:rPr>
                <w:rFonts w:ascii="Verdana" w:hAnsi="Verdana"/>
                <w:sz w:val="22"/>
                <w:szCs w:val="22"/>
              </w:rPr>
              <w:t>Delegados</w:t>
            </w:r>
            <w:proofErr w:type="gramEnd"/>
            <w:r w:rsidRPr="00680AFA">
              <w:rPr>
                <w:rFonts w:ascii="Verdana" w:hAnsi="Verdana"/>
                <w:sz w:val="22"/>
                <w:szCs w:val="22"/>
              </w:rPr>
              <w:t xml:space="preserve"> Municipales).</w:t>
            </w:r>
          </w:p>
        </w:tc>
      </w:tr>
      <w:tr w:rsidR="00680AFA" w:rsidRPr="00680AFA" w14:paraId="4FF76BF7" w14:textId="77777777" w:rsidTr="00680AFA">
        <w:tc>
          <w:tcPr>
            <w:tcW w:w="400" w:type="pct"/>
            <w:hideMark/>
          </w:tcPr>
          <w:p w14:paraId="7FFA526F" w14:textId="77777777" w:rsidR="00680AFA" w:rsidRPr="00680AFA" w:rsidRDefault="00680AFA" w:rsidP="00680AFA">
            <w:pPr>
              <w:spacing w:after="160"/>
              <w:rPr>
                <w:rFonts w:ascii="Verdana" w:hAnsi="Verdana"/>
                <w:sz w:val="22"/>
                <w:szCs w:val="22"/>
              </w:rPr>
            </w:pPr>
            <w:r w:rsidRPr="00680AFA">
              <w:rPr>
                <w:rFonts w:ascii="Verdana" w:hAnsi="Verdana"/>
                <w:sz w:val="22"/>
                <w:szCs w:val="22"/>
              </w:rPr>
              <w:t>E-33</w:t>
            </w:r>
          </w:p>
        </w:tc>
        <w:tc>
          <w:tcPr>
            <w:tcW w:w="4600" w:type="pct"/>
            <w:hideMark/>
          </w:tcPr>
          <w:p w14:paraId="41395825" w14:textId="77777777" w:rsidR="00680AFA" w:rsidRPr="00680AFA" w:rsidRDefault="00680AFA" w:rsidP="00680AFA">
            <w:pPr>
              <w:spacing w:after="160"/>
              <w:rPr>
                <w:rFonts w:ascii="Verdana" w:hAnsi="Verdana"/>
                <w:sz w:val="22"/>
                <w:szCs w:val="22"/>
              </w:rPr>
            </w:pPr>
            <w:r w:rsidRPr="00680AFA">
              <w:rPr>
                <w:rFonts w:ascii="Verdana" w:hAnsi="Verdana"/>
                <w:sz w:val="22"/>
                <w:szCs w:val="22"/>
              </w:rPr>
              <w:t>Eficiencias en la Cadena de Abastecimiento (cifra en millones de pesos).</w:t>
            </w:r>
          </w:p>
        </w:tc>
      </w:tr>
      <w:tr w:rsidR="00680AFA" w:rsidRPr="00680AFA" w14:paraId="6FA7B5BF" w14:textId="77777777" w:rsidTr="00680AFA">
        <w:tc>
          <w:tcPr>
            <w:tcW w:w="400" w:type="pct"/>
            <w:hideMark/>
          </w:tcPr>
          <w:p w14:paraId="61F5CB7A" w14:textId="77777777" w:rsidR="00680AFA" w:rsidRPr="00680AFA" w:rsidRDefault="00680AFA" w:rsidP="00680AFA">
            <w:pPr>
              <w:spacing w:after="160"/>
              <w:rPr>
                <w:rFonts w:ascii="Verdana" w:hAnsi="Verdana"/>
                <w:sz w:val="22"/>
                <w:szCs w:val="22"/>
              </w:rPr>
            </w:pPr>
            <w:r w:rsidRPr="00680AFA">
              <w:rPr>
                <w:rFonts w:ascii="Verdana" w:hAnsi="Verdana"/>
                <w:sz w:val="22"/>
                <w:szCs w:val="22"/>
              </w:rPr>
              <w:t>E-36</w:t>
            </w:r>
          </w:p>
        </w:tc>
        <w:tc>
          <w:tcPr>
            <w:tcW w:w="4600" w:type="pct"/>
            <w:hideMark/>
          </w:tcPr>
          <w:p w14:paraId="2D8C04FA" w14:textId="77777777" w:rsidR="00680AFA" w:rsidRPr="00680AFA" w:rsidRDefault="00680AFA" w:rsidP="00680AFA">
            <w:pPr>
              <w:spacing w:after="160"/>
              <w:rPr>
                <w:rFonts w:ascii="Verdana" w:hAnsi="Verdana"/>
                <w:sz w:val="22"/>
                <w:szCs w:val="22"/>
              </w:rPr>
            </w:pPr>
            <w:r w:rsidRPr="00680AFA">
              <w:rPr>
                <w:rFonts w:ascii="Verdana" w:hAnsi="Verdana"/>
                <w:sz w:val="22"/>
                <w:szCs w:val="22"/>
              </w:rPr>
              <w:t>Recaudo parafiscal para operación del Instituto (cifra en billones de pesos).</w:t>
            </w:r>
          </w:p>
        </w:tc>
      </w:tr>
    </w:tbl>
    <w:p w14:paraId="10E8E04E" w14:textId="77777777" w:rsidR="007C0896" w:rsidRPr="007C0896" w:rsidRDefault="007C0896" w:rsidP="007C0896">
      <w:pPr>
        <w:rPr>
          <w:rFonts w:ascii="Verdana" w:hAnsi="Verdana"/>
          <w:sz w:val="22"/>
          <w:szCs w:val="22"/>
        </w:rPr>
      </w:pPr>
    </w:p>
    <w:p w14:paraId="4436B153" w14:textId="1B39593A" w:rsidR="007C0896" w:rsidRPr="007C0896" w:rsidRDefault="007C0896" w:rsidP="007C0896">
      <w:pPr>
        <w:rPr>
          <w:rFonts w:ascii="Verdana" w:hAnsi="Verdana"/>
          <w:sz w:val="22"/>
          <w:szCs w:val="22"/>
        </w:rPr>
      </w:pPr>
      <w:r w:rsidRPr="007C0896">
        <w:rPr>
          <w:rFonts w:ascii="Verdana" w:hAnsi="Verdana"/>
          <w:b/>
          <w:bCs/>
          <w:sz w:val="22"/>
          <w:szCs w:val="22"/>
        </w:rPr>
        <w:t xml:space="preserve">ARTÍCULO </w:t>
      </w:r>
      <w:r w:rsidR="00E464AA">
        <w:rPr>
          <w:rFonts w:ascii="Verdana" w:hAnsi="Verdana"/>
          <w:b/>
          <w:bCs/>
          <w:sz w:val="22"/>
          <w:szCs w:val="22"/>
        </w:rPr>
        <w:t>3o</w:t>
      </w:r>
      <w:r w:rsidRPr="007C0896">
        <w:rPr>
          <w:rFonts w:ascii="Verdana" w:hAnsi="Verdana"/>
          <w:b/>
          <w:bCs/>
          <w:sz w:val="22"/>
          <w:szCs w:val="22"/>
        </w:rPr>
        <w:t>.</w:t>
      </w:r>
      <w:r w:rsidRPr="007C0896">
        <w:rPr>
          <w:rFonts w:ascii="Verdana" w:hAnsi="Verdana"/>
          <w:sz w:val="22"/>
          <w:szCs w:val="22"/>
        </w:rPr>
        <w:t xml:space="preserve"> Las metas trazadas para las vigencias anteriores 2011, 2012 y 2013 continúan vigentes teniendo en cuenta que han sido evaluadas en periodos anteriores.</w:t>
      </w:r>
    </w:p>
    <w:p w14:paraId="31862615" w14:textId="226DA211" w:rsidR="007C0896" w:rsidRPr="007C0896" w:rsidRDefault="007C0896" w:rsidP="007C0896">
      <w:pPr>
        <w:rPr>
          <w:rFonts w:ascii="Verdana" w:hAnsi="Verdana"/>
          <w:sz w:val="22"/>
          <w:szCs w:val="22"/>
        </w:rPr>
      </w:pPr>
      <w:r w:rsidRPr="007C0896">
        <w:rPr>
          <w:rFonts w:ascii="Verdana" w:hAnsi="Verdana"/>
          <w:b/>
          <w:bCs/>
          <w:sz w:val="22"/>
          <w:szCs w:val="22"/>
        </w:rPr>
        <w:t xml:space="preserve">ARTÍCULO </w:t>
      </w:r>
      <w:r w:rsidR="00E464AA">
        <w:rPr>
          <w:rFonts w:ascii="Verdana" w:hAnsi="Verdana"/>
          <w:b/>
          <w:bCs/>
          <w:sz w:val="22"/>
          <w:szCs w:val="22"/>
        </w:rPr>
        <w:t>4o</w:t>
      </w:r>
      <w:r w:rsidRPr="007C0896">
        <w:rPr>
          <w:rFonts w:ascii="Verdana" w:hAnsi="Verdana"/>
          <w:b/>
          <w:bCs/>
          <w:sz w:val="22"/>
          <w:szCs w:val="22"/>
        </w:rPr>
        <w:t>.</w:t>
      </w:r>
      <w:r w:rsidRPr="007C0896">
        <w:rPr>
          <w:rFonts w:ascii="Verdana" w:hAnsi="Verdana"/>
          <w:sz w:val="22"/>
          <w:szCs w:val="22"/>
        </w:rPr>
        <w:t xml:space="preserve"> La presente resolución rige a partir de la fecha de su expedición y modifica en lo pertinente la Resolución número 3041 de 2012.</w:t>
      </w:r>
    </w:p>
    <w:p w14:paraId="1241FEC7" w14:textId="6BAFD92A" w:rsidR="007C0896" w:rsidRPr="007C0896" w:rsidRDefault="007C0896" w:rsidP="007C0896">
      <w:pPr>
        <w:jc w:val="center"/>
        <w:rPr>
          <w:rFonts w:ascii="Verdana" w:hAnsi="Verdana"/>
          <w:b/>
          <w:bCs/>
          <w:sz w:val="22"/>
          <w:szCs w:val="22"/>
        </w:rPr>
      </w:pPr>
      <w:r w:rsidRPr="007C0896">
        <w:rPr>
          <w:rFonts w:ascii="Verdana" w:hAnsi="Verdana"/>
          <w:b/>
          <w:bCs/>
          <w:sz w:val="22"/>
          <w:szCs w:val="22"/>
        </w:rPr>
        <w:t>PUBLÍQUESE, COMUNÍQUESE Y CÚMPLASE,</w:t>
      </w:r>
    </w:p>
    <w:p w14:paraId="58458D9A" w14:textId="062F331D" w:rsidR="007C0896" w:rsidRPr="007C0896" w:rsidRDefault="007C0896" w:rsidP="007C0896">
      <w:pPr>
        <w:jc w:val="center"/>
        <w:rPr>
          <w:rFonts w:ascii="Verdana" w:hAnsi="Verdana"/>
          <w:sz w:val="22"/>
          <w:szCs w:val="22"/>
        </w:rPr>
      </w:pPr>
      <w:r w:rsidRPr="007C0896">
        <w:rPr>
          <w:rFonts w:ascii="Verdana" w:hAnsi="Verdana"/>
          <w:sz w:val="22"/>
          <w:szCs w:val="22"/>
        </w:rPr>
        <w:t xml:space="preserve">Dada en Bogotá, D. C., a </w:t>
      </w:r>
      <w:r>
        <w:rPr>
          <w:rFonts w:ascii="Verdana" w:hAnsi="Verdana"/>
          <w:sz w:val="22"/>
          <w:szCs w:val="22"/>
        </w:rPr>
        <w:t xml:space="preserve">los </w:t>
      </w:r>
      <w:r w:rsidRPr="007C0896">
        <w:rPr>
          <w:rFonts w:ascii="Verdana" w:hAnsi="Verdana"/>
          <w:sz w:val="22"/>
          <w:szCs w:val="22"/>
        </w:rPr>
        <w:t xml:space="preserve">29 </w:t>
      </w:r>
      <w:r>
        <w:rPr>
          <w:rFonts w:ascii="Verdana" w:hAnsi="Verdana"/>
          <w:sz w:val="22"/>
          <w:szCs w:val="22"/>
        </w:rPr>
        <w:t xml:space="preserve">días del mes </w:t>
      </w:r>
      <w:r w:rsidRPr="007C0896">
        <w:rPr>
          <w:rFonts w:ascii="Verdana" w:hAnsi="Verdana"/>
          <w:sz w:val="22"/>
          <w:szCs w:val="22"/>
        </w:rPr>
        <w:t>de julio de 2014.</w:t>
      </w:r>
    </w:p>
    <w:p w14:paraId="7DF87C29" w14:textId="542B2268" w:rsidR="007C0896" w:rsidRDefault="007C0896" w:rsidP="007C0896">
      <w:pPr>
        <w:jc w:val="center"/>
        <w:rPr>
          <w:rFonts w:ascii="Verdana" w:hAnsi="Verdana"/>
          <w:sz w:val="22"/>
          <w:szCs w:val="22"/>
        </w:rPr>
      </w:pPr>
      <w:r w:rsidRPr="007C0896">
        <w:rPr>
          <w:rFonts w:ascii="Verdana" w:hAnsi="Verdana"/>
          <w:b/>
          <w:bCs/>
          <w:sz w:val="22"/>
          <w:szCs w:val="22"/>
        </w:rPr>
        <w:lastRenderedPageBreak/>
        <w:t>GABRIEL VALLEJO LÓPEZ</w:t>
      </w:r>
    </w:p>
    <w:p w14:paraId="426F8BCB" w14:textId="458923EE" w:rsidR="007C0896" w:rsidRPr="007C0896" w:rsidRDefault="007C0896" w:rsidP="007C0896">
      <w:pPr>
        <w:jc w:val="center"/>
        <w:rPr>
          <w:rFonts w:ascii="Verdana" w:hAnsi="Verdana"/>
          <w:sz w:val="22"/>
          <w:szCs w:val="22"/>
        </w:rPr>
      </w:pPr>
      <w:r w:rsidRPr="007C0896">
        <w:rPr>
          <w:rFonts w:ascii="Verdana" w:hAnsi="Verdana"/>
          <w:sz w:val="22"/>
          <w:szCs w:val="22"/>
        </w:rPr>
        <w:t>EL DIRECTOR GENERAL (E)</w:t>
      </w:r>
    </w:p>
    <w:p w14:paraId="3C89B0BE" w14:textId="4C52BE4A" w:rsidR="007C0896" w:rsidRPr="007C0896" w:rsidRDefault="007C0896" w:rsidP="007C0896">
      <w:pPr>
        <w:rPr>
          <w:rFonts w:ascii="Verdana" w:hAnsi="Verdana"/>
          <w:b/>
          <w:bCs/>
          <w:sz w:val="22"/>
          <w:szCs w:val="22"/>
        </w:rPr>
      </w:pPr>
    </w:p>
    <w:sectPr w:rsidR="007C0896" w:rsidRPr="007C08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D40ED"/>
    <w:multiLevelType w:val="hybridMultilevel"/>
    <w:tmpl w:val="16E832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82792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431"/>
    <w:rsid w:val="00015D2A"/>
    <w:rsid w:val="003D0091"/>
    <w:rsid w:val="00490B89"/>
    <w:rsid w:val="00550F5C"/>
    <w:rsid w:val="00680AFA"/>
    <w:rsid w:val="00766DEA"/>
    <w:rsid w:val="007C0896"/>
    <w:rsid w:val="007D54FA"/>
    <w:rsid w:val="0088455F"/>
    <w:rsid w:val="0088588F"/>
    <w:rsid w:val="00891E4D"/>
    <w:rsid w:val="00D00431"/>
    <w:rsid w:val="00DE2251"/>
    <w:rsid w:val="00E464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CE242"/>
  <w15:chartTrackingRefBased/>
  <w15:docId w15:val="{A645DD0C-50BA-4624-B06B-9A7BB366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896"/>
  </w:style>
  <w:style w:type="paragraph" w:styleId="Ttulo1">
    <w:name w:val="heading 1"/>
    <w:basedOn w:val="Normal"/>
    <w:next w:val="Normal"/>
    <w:link w:val="Ttulo1Car"/>
    <w:uiPriority w:val="9"/>
    <w:qFormat/>
    <w:rsid w:val="00D004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004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0043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004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00431"/>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0043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00431"/>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00431"/>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00431"/>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043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0043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00431"/>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00431"/>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D00431"/>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D00431"/>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D00431"/>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D00431"/>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D00431"/>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D0043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043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0043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00431"/>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D00431"/>
    <w:pPr>
      <w:spacing w:before="160"/>
      <w:jc w:val="center"/>
    </w:pPr>
    <w:rPr>
      <w:i/>
      <w:iCs/>
      <w:color w:val="404040" w:themeColor="text1" w:themeTint="BF"/>
    </w:rPr>
  </w:style>
  <w:style w:type="character" w:customStyle="1" w:styleId="CitaCar">
    <w:name w:val="Cita Car"/>
    <w:basedOn w:val="Fuentedeprrafopredeter"/>
    <w:link w:val="Cita"/>
    <w:uiPriority w:val="29"/>
    <w:rsid w:val="00D00431"/>
    <w:rPr>
      <w:i/>
      <w:iCs/>
      <w:color w:val="404040" w:themeColor="text1" w:themeTint="BF"/>
    </w:rPr>
  </w:style>
  <w:style w:type="paragraph" w:styleId="Prrafodelista">
    <w:name w:val="List Paragraph"/>
    <w:basedOn w:val="Normal"/>
    <w:uiPriority w:val="34"/>
    <w:qFormat/>
    <w:rsid w:val="00D00431"/>
    <w:pPr>
      <w:ind w:left="720"/>
      <w:contextualSpacing/>
    </w:pPr>
  </w:style>
  <w:style w:type="character" w:styleId="nfasisintenso">
    <w:name w:val="Intense Emphasis"/>
    <w:basedOn w:val="Fuentedeprrafopredeter"/>
    <w:uiPriority w:val="21"/>
    <w:qFormat/>
    <w:rsid w:val="00D00431"/>
    <w:rPr>
      <w:i/>
      <w:iCs/>
      <w:color w:val="0F4761" w:themeColor="accent1" w:themeShade="BF"/>
    </w:rPr>
  </w:style>
  <w:style w:type="paragraph" w:styleId="Citadestacada">
    <w:name w:val="Intense Quote"/>
    <w:basedOn w:val="Normal"/>
    <w:next w:val="Normal"/>
    <w:link w:val="CitadestacadaCar"/>
    <w:uiPriority w:val="30"/>
    <w:qFormat/>
    <w:rsid w:val="00D004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00431"/>
    <w:rPr>
      <w:i/>
      <w:iCs/>
      <w:color w:val="0F4761" w:themeColor="accent1" w:themeShade="BF"/>
    </w:rPr>
  </w:style>
  <w:style w:type="character" w:styleId="Referenciaintensa">
    <w:name w:val="Intense Reference"/>
    <w:basedOn w:val="Fuentedeprrafopredeter"/>
    <w:uiPriority w:val="32"/>
    <w:qFormat/>
    <w:rsid w:val="00D00431"/>
    <w:rPr>
      <w:b/>
      <w:bCs/>
      <w:smallCaps/>
      <w:color w:val="0F4761" w:themeColor="accent1" w:themeShade="BF"/>
      <w:spacing w:val="5"/>
    </w:rPr>
  </w:style>
  <w:style w:type="table" w:styleId="Tablaconcuadrcula">
    <w:name w:val="Table Grid"/>
    <w:basedOn w:val="Tablanormal"/>
    <w:uiPriority w:val="39"/>
    <w:rsid w:val="00680AF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1C726C-A431-4FF9-AB08-099138B07A93}"/>
</file>

<file path=customXml/itemProps2.xml><?xml version="1.0" encoding="utf-8"?>
<ds:datastoreItem xmlns:ds="http://schemas.openxmlformats.org/officeDocument/2006/customXml" ds:itemID="{9D3BCEFE-40DC-450C-A10C-B77BC20B5D9F}"/>
</file>

<file path=customXml/itemProps3.xml><?xml version="1.0" encoding="utf-8"?>
<ds:datastoreItem xmlns:ds="http://schemas.openxmlformats.org/officeDocument/2006/customXml" ds:itemID="{A50BBC55-A211-4913-B2AA-45ECAF4D04A3}"/>
</file>

<file path=docProps/app.xml><?xml version="1.0" encoding="utf-8"?>
<Properties xmlns="http://schemas.openxmlformats.org/officeDocument/2006/extended-properties" xmlns:vt="http://schemas.openxmlformats.org/officeDocument/2006/docPropsVTypes">
  <Template>Normal</Template>
  <TotalTime>1</TotalTime>
  <Pages>6</Pages>
  <Words>1630</Words>
  <Characters>8965</Characters>
  <Application>Microsoft Office Word</Application>
  <DocSecurity>0</DocSecurity>
  <Lines>74</Lines>
  <Paragraphs>21</Paragraphs>
  <ScaleCrop>false</ScaleCrop>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2026-01-27T19:53:00Z</dcterms:created>
  <dcterms:modified xsi:type="dcterms:W3CDTF">2026-01-27T19:53:00Z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