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89DCCB4"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053DD5">
        <w:rPr>
          <w:rFonts w:ascii="Verdana" w:hAnsi="Verdana"/>
          <w:b/>
          <w:bCs/>
          <w:sz w:val="22"/>
          <w:szCs w:val="22"/>
        </w:rPr>
        <w:t>3990</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4C557B78"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053DD5">
        <w:rPr>
          <w:rFonts w:ascii="Verdana" w:hAnsi="Verdana"/>
          <w:sz w:val="20"/>
          <w:szCs w:val="20"/>
        </w:rPr>
        <w:t>30</w:t>
      </w:r>
      <w:r w:rsidR="00A10529">
        <w:rPr>
          <w:rFonts w:ascii="Verdana" w:hAnsi="Verdana"/>
          <w:sz w:val="20"/>
          <w:szCs w:val="20"/>
        </w:rPr>
        <w:t xml:space="preserve"> de agosto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46620EB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053DD5">
        <w:rPr>
          <w:rFonts w:ascii="Verdana" w:hAnsi="Verdana"/>
          <w:sz w:val="20"/>
          <w:szCs w:val="20"/>
        </w:rPr>
        <w:t>30</w:t>
      </w:r>
      <w:r w:rsidR="00A10529">
        <w:rPr>
          <w:rFonts w:ascii="Verdana" w:hAnsi="Verdana"/>
          <w:sz w:val="20"/>
          <w:szCs w:val="20"/>
        </w:rPr>
        <w:t xml:space="preserve"> de agosto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2C08D802"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053DD5">
        <w:rPr>
          <w:rFonts w:ascii="Verdana" w:hAnsi="Verdana"/>
          <w:b/>
          <w:bCs/>
          <w:sz w:val="22"/>
          <w:szCs w:val="22"/>
        </w:rPr>
        <w:t>3990</w:t>
      </w:r>
      <w:r w:rsidRPr="00DB3505">
        <w:rPr>
          <w:rFonts w:ascii="Verdana" w:hAnsi="Verdana"/>
          <w:b/>
          <w:bCs/>
          <w:sz w:val="22"/>
          <w:szCs w:val="22"/>
        </w:rPr>
        <w:t xml:space="preserve"> DE 202</w:t>
      </w:r>
      <w:r w:rsidR="008D18D4">
        <w:rPr>
          <w:rFonts w:ascii="Verdana" w:hAnsi="Verdana"/>
          <w:b/>
          <w:bCs/>
          <w:sz w:val="22"/>
          <w:szCs w:val="22"/>
        </w:rPr>
        <w:t>4</w:t>
      </w:r>
    </w:p>
    <w:p w14:paraId="76C13A6D" w14:textId="040678DB"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053DD5">
        <w:rPr>
          <w:rFonts w:ascii="Verdana" w:hAnsi="Verdana"/>
          <w:b/>
          <w:bCs/>
          <w:sz w:val="22"/>
          <w:szCs w:val="22"/>
        </w:rPr>
        <w:t>30</w:t>
      </w:r>
      <w:r w:rsidR="00A10529">
        <w:rPr>
          <w:rFonts w:ascii="Verdana" w:hAnsi="Verdana"/>
          <w:b/>
          <w:bCs/>
          <w:sz w:val="22"/>
          <w:szCs w:val="22"/>
        </w:rPr>
        <w:t xml:space="preserve"> de agosto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7D172284" w14:textId="77777777" w:rsidR="0021357D" w:rsidRDefault="0021357D" w:rsidP="00357E58">
      <w:pPr>
        <w:jc w:val="center"/>
        <w:rPr>
          <w:rFonts w:ascii="Verdana" w:hAnsi="Verdana"/>
          <w:sz w:val="22"/>
          <w:szCs w:val="22"/>
        </w:rPr>
      </w:pPr>
      <w:r w:rsidRPr="0021357D">
        <w:rPr>
          <w:rFonts w:ascii="Verdana" w:hAnsi="Verdana"/>
          <w:sz w:val="22"/>
          <w:szCs w:val="22"/>
        </w:rPr>
        <w:t>"Por la cual se reasumen unas competencias y se deroga la Resolución 4365 del 23 de mayo de 2023"</w:t>
      </w:r>
    </w:p>
    <w:p w14:paraId="5EE89B5C" w14:textId="6FC8955E"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24E78EA3" w14:textId="77777777" w:rsidR="00683AB9" w:rsidRDefault="00683AB9" w:rsidP="006B7BC6">
      <w:pPr>
        <w:jc w:val="center"/>
        <w:rPr>
          <w:rFonts w:ascii="Verdana" w:hAnsi="Verdana"/>
          <w:sz w:val="22"/>
          <w:szCs w:val="22"/>
        </w:rPr>
      </w:pPr>
      <w:r w:rsidRPr="00683AB9">
        <w:rPr>
          <w:rFonts w:ascii="Verdana" w:hAnsi="Verdana"/>
          <w:sz w:val="22"/>
          <w:szCs w:val="22"/>
        </w:rPr>
        <w:t>En uso de sus facultades legales y estatutarias, en especial las conferidas en el literal b) del artículo 28 de la Ley 7 de 1979, el literal a) del artículo 78 de la Ley 489 de 1998 y,</w:t>
      </w:r>
    </w:p>
    <w:p w14:paraId="68698196" w14:textId="2FD1F66D" w:rsidR="006B7BC6" w:rsidRDefault="00DB3505" w:rsidP="006B7BC6">
      <w:pPr>
        <w:jc w:val="center"/>
        <w:rPr>
          <w:rFonts w:ascii="Verdana" w:hAnsi="Verdana"/>
          <w:b/>
          <w:bCs/>
          <w:sz w:val="22"/>
          <w:szCs w:val="22"/>
        </w:rPr>
      </w:pPr>
      <w:r w:rsidRPr="00DB3505">
        <w:rPr>
          <w:rFonts w:ascii="Verdana" w:hAnsi="Verdana"/>
          <w:b/>
          <w:bCs/>
          <w:sz w:val="22"/>
          <w:szCs w:val="22"/>
        </w:rPr>
        <w:t>CONSIDERANDO:</w:t>
      </w:r>
    </w:p>
    <w:p w14:paraId="7C0F5988" w14:textId="677225AD" w:rsidR="00683AB9" w:rsidRDefault="00683AB9" w:rsidP="00DD01A8">
      <w:pPr>
        <w:pStyle w:val="Prrafodelista"/>
        <w:numPr>
          <w:ilvl w:val="0"/>
          <w:numId w:val="17"/>
        </w:numPr>
        <w:rPr>
          <w:rFonts w:ascii="Verdana" w:hAnsi="Verdana"/>
          <w:sz w:val="22"/>
          <w:szCs w:val="22"/>
        </w:rPr>
      </w:pPr>
      <w:r w:rsidRPr="00683AB9">
        <w:rPr>
          <w:rFonts w:ascii="Verdana" w:hAnsi="Verdana"/>
          <w:sz w:val="22"/>
          <w:szCs w:val="22"/>
        </w:rPr>
        <w:t>Que de acuerdo con lo dispuesto en los artículos 209 de la Constitución Política y 3 de la Ley 489 de 1998, la función administrativa está al servicio de los intereses generales y se desarrolla con estricta atención de los principios de buena fe, igualdad, moralidad, celeridad, economía, imparcialidad, eficacia, eficiencia, participación, publicidad, responsabilidad y transparencia.</w:t>
      </w:r>
    </w:p>
    <w:p w14:paraId="551ACF61" w14:textId="77777777" w:rsidR="00DD01A8" w:rsidRPr="00DD01A8" w:rsidRDefault="00DD01A8" w:rsidP="00DD01A8">
      <w:pPr>
        <w:pStyle w:val="Prrafodelista"/>
        <w:rPr>
          <w:rFonts w:ascii="Verdana" w:hAnsi="Verdana"/>
          <w:sz w:val="22"/>
          <w:szCs w:val="22"/>
        </w:rPr>
      </w:pPr>
    </w:p>
    <w:p w14:paraId="73EAA958" w14:textId="77777777" w:rsidR="00683AB9" w:rsidRPr="00683AB9" w:rsidRDefault="00683AB9" w:rsidP="00683AB9">
      <w:pPr>
        <w:pStyle w:val="Prrafodelista"/>
        <w:numPr>
          <w:ilvl w:val="0"/>
          <w:numId w:val="17"/>
        </w:numPr>
        <w:rPr>
          <w:rFonts w:ascii="Verdana" w:hAnsi="Verdana"/>
          <w:sz w:val="22"/>
          <w:szCs w:val="22"/>
        </w:rPr>
      </w:pPr>
      <w:r w:rsidRPr="00683AB9">
        <w:rPr>
          <w:rFonts w:ascii="Verdana" w:hAnsi="Verdana"/>
          <w:sz w:val="22"/>
          <w:szCs w:val="22"/>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 Por su parte, el artículo 12 de esta Ley señala que la autoridad delegante puede, en cualquier tiempo, reasumir la competencia delegada.</w:t>
      </w:r>
    </w:p>
    <w:p w14:paraId="0C6F8763" w14:textId="77777777" w:rsidR="00683AB9" w:rsidRPr="00683AB9" w:rsidRDefault="00683AB9" w:rsidP="00DD01A8">
      <w:pPr>
        <w:pStyle w:val="Prrafodelista"/>
        <w:rPr>
          <w:rFonts w:ascii="Verdana" w:hAnsi="Verdana"/>
          <w:sz w:val="22"/>
          <w:szCs w:val="22"/>
        </w:rPr>
      </w:pPr>
    </w:p>
    <w:p w14:paraId="2DA9A287" w14:textId="77777777" w:rsidR="00683AB9" w:rsidRPr="00683AB9" w:rsidRDefault="00683AB9" w:rsidP="00683AB9">
      <w:pPr>
        <w:pStyle w:val="Prrafodelista"/>
        <w:numPr>
          <w:ilvl w:val="0"/>
          <w:numId w:val="17"/>
        </w:numPr>
        <w:rPr>
          <w:rFonts w:ascii="Verdana" w:hAnsi="Verdana"/>
          <w:sz w:val="22"/>
          <w:szCs w:val="22"/>
        </w:rPr>
      </w:pPr>
      <w:r w:rsidRPr="00683AB9">
        <w:rPr>
          <w:rFonts w:ascii="Verdana" w:hAnsi="Verdana"/>
          <w:sz w:val="22"/>
          <w:szCs w:val="22"/>
        </w:rPr>
        <w:t>Que por medio de la Ley 2220 de 2022 que expidió el Estatuto de la Conciliación. El artículo 118 de esta Ley se refiere a la integración de los Comités de Conciliación de las entidades estatales indicando que estos estarán conformados por los siguientes funcionarios, quienes concurrirán con voz y voto y serán miembros permanentes:</w:t>
      </w:r>
    </w:p>
    <w:p w14:paraId="5FCCEC68" w14:textId="77777777" w:rsidR="00683AB9" w:rsidRPr="00683AB9" w:rsidRDefault="00683AB9" w:rsidP="00DD01A8">
      <w:pPr>
        <w:pStyle w:val="Prrafodelista"/>
        <w:rPr>
          <w:rFonts w:ascii="Verdana" w:hAnsi="Verdana"/>
          <w:sz w:val="22"/>
          <w:szCs w:val="22"/>
        </w:rPr>
      </w:pPr>
    </w:p>
    <w:p w14:paraId="014749B2" w14:textId="53964A0A" w:rsidR="00683AB9" w:rsidRDefault="00683AB9" w:rsidP="00DD01A8">
      <w:pPr>
        <w:pStyle w:val="Prrafodelista"/>
        <w:ind w:left="1416"/>
        <w:rPr>
          <w:rFonts w:ascii="Verdana" w:hAnsi="Verdana"/>
          <w:i/>
          <w:iCs/>
          <w:sz w:val="22"/>
          <w:szCs w:val="22"/>
        </w:rPr>
      </w:pPr>
      <w:r w:rsidRPr="00DD01A8">
        <w:rPr>
          <w:rFonts w:ascii="Verdana" w:hAnsi="Verdana"/>
          <w:i/>
          <w:iCs/>
          <w:sz w:val="22"/>
          <w:szCs w:val="22"/>
        </w:rPr>
        <w:t>“</w:t>
      </w:r>
      <w:r w:rsidRPr="00777873">
        <w:rPr>
          <w:rFonts w:ascii="Verdana" w:hAnsi="Verdana"/>
          <w:b/>
          <w:bCs/>
          <w:i/>
          <w:iCs/>
          <w:sz w:val="22"/>
          <w:szCs w:val="22"/>
        </w:rPr>
        <w:t>1. El jefe, director, gerente, presidente o representante legal del ente respectivo o su delegado</w:t>
      </w:r>
      <w:r w:rsidRPr="00DD01A8">
        <w:rPr>
          <w:rFonts w:ascii="Verdana" w:hAnsi="Verdana"/>
          <w:i/>
          <w:iCs/>
          <w:sz w:val="22"/>
          <w:szCs w:val="22"/>
        </w:rPr>
        <w:t xml:space="preserve">; 2. El ordenador del gasto o quien haga sus veces; 3. El jefe de la Oficina Jurídica o de la dependencia que tenga a su cargo la defensa de los intereses litigiosos de la entidad. En el Departamento Administrativo de la Presidencia de la República, concurrirá el </w:t>
      </w:r>
      <w:proofErr w:type="gramStart"/>
      <w:r w:rsidRPr="00DD01A8">
        <w:rPr>
          <w:rFonts w:ascii="Verdana" w:hAnsi="Verdana"/>
          <w:i/>
          <w:iCs/>
          <w:sz w:val="22"/>
          <w:szCs w:val="22"/>
        </w:rPr>
        <w:t>Secretario</w:t>
      </w:r>
      <w:proofErr w:type="gramEnd"/>
      <w:r w:rsidRPr="00DD01A8">
        <w:rPr>
          <w:rFonts w:ascii="Verdana" w:hAnsi="Verdana"/>
          <w:i/>
          <w:iCs/>
          <w:sz w:val="22"/>
          <w:szCs w:val="22"/>
        </w:rPr>
        <w:t xml:space="preserve"> Jurídico o su delegado; 4. Dos (2) funcionarios de dirección o de confianza que se designen conforme a la estructura orgánica de cada ente. Que La participación de los integrantes será indelegable salvo las excepciones previstas en los numerales 1 y 3 del presentar artículo.” (Negrilla fuera del texto)</w:t>
      </w:r>
    </w:p>
    <w:p w14:paraId="683C159F" w14:textId="77777777" w:rsidR="00522FA8" w:rsidRDefault="00522FA8" w:rsidP="00DD01A8">
      <w:pPr>
        <w:pStyle w:val="Prrafodelista"/>
        <w:ind w:left="1416"/>
        <w:rPr>
          <w:rFonts w:ascii="Verdana" w:hAnsi="Verdana"/>
          <w:i/>
          <w:iCs/>
          <w:sz w:val="22"/>
          <w:szCs w:val="22"/>
        </w:rPr>
      </w:pPr>
    </w:p>
    <w:p w14:paraId="08DC943B" w14:textId="77777777" w:rsidR="00522FA8" w:rsidRPr="00522FA8" w:rsidRDefault="00522FA8" w:rsidP="00522FA8">
      <w:pPr>
        <w:pStyle w:val="Prrafodelista"/>
        <w:numPr>
          <w:ilvl w:val="0"/>
          <w:numId w:val="17"/>
        </w:numPr>
        <w:rPr>
          <w:rFonts w:ascii="Verdana" w:hAnsi="Verdana"/>
          <w:sz w:val="22"/>
          <w:szCs w:val="22"/>
        </w:rPr>
      </w:pPr>
      <w:r w:rsidRPr="00522FA8">
        <w:rPr>
          <w:rFonts w:ascii="Verdana" w:hAnsi="Verdana"/>
          <w:sz w:val="22"/>
          <w:szCs w:val="22"/>
        </w:rPr>
        <w:t>Que mediante Resolución 4046 de 16 de mayo de 2023, fue expedido el “Reglamento Interno del Comité de Defensa Judicial y Conciliación del Instituto Colombiano de Bienestar Familiar – ICBF”. De acuerdo con el artículo 4 de esta Resolución, este Comité está conformado, entre otros, por el “</w:t>
      </w:r>
      <w:proofErr w:type="gramStart"/>
      <w:r w:rsidRPr="00522FA8">
        <w:rPr>
          <w:rFonts w:ascii="Verdana" w:hAnsi="Verdana"/>
          <w:sz w:val="22"/>
          <w:szCs w:val="22"/>
        </w:rPr>
        <w:t>Director General</w:t>
      </w:r>
      <w:proofErr w:type="gramEnd"/>
      <w:r w:rsidRPr="00522FA8">
        <w:rPr>
          <w:rFonts w:ascii="Verdana" w:hAnsi="Verdana"/>
          <w:sz w:val="22"/>
          <w:szCs w:val="22"/>
        </w:rPr>
        <w:t xml:space="preserve"> o su delegado”.</w:t>
      </w:r>
    </w:p>
    <w:p w14:paraId="112F4CAA" w14:textId="77777777" w:rsidR="00522FA8" w:rsidRPr="00522FA8" w:rsidRDefault="00522FA8" w:rsidP="00522FA8">
      <w:pPr>
        <w:pStyle w:val="Prrafodelista"/>
        <w:rPr>
          <w:rFonts w:ascii="Verdana" w:hAnsi="Verdana"/>
          <w:sz w:val="22"/>
          <w:szCs w:val="22"/>
        </w:rPr>
      </w:pPr>
    </w:p>
    <w:p w14:paraId="5E9CD632" w14:textId="77777777" w:rsidR="00522FA8" w:rsidRPr="00522FA8" w:rsidRDefault="00522FA8" w:rsidP="00522FA8">
      <w:pPr>
        <w:pStyle w:val="Prrafodelista"/>
        <w:numPr>
          <w:ilvl w:val="0"/>
          <w:numId w:val="17"/>
        </w:numPr>
        <w:rPr>
          <w:rFonts w:ascii="Verdana" w:hAnsi="Verdana"/>
          <w:sz w:val="22"/>
          <w:szCs w:val="22"/>
        </w:rPr>
      </w:pPr>
      <w:r w:rsidRPr="00522FA8">
        <w:rPr>
          <w:rFonts w:ascii="Verdana" w:hAnsi="Verdana"/>
          <w:sz w:val="22"/>
          <w:szCs w:val="22"/>
        </w:rPr>
        <w:t xml:space="preserve">Que mediante Resolución 4365 del 23 de mayo de 2023 la </w:t>
      </w:r>
      <w:proofErr w:type="gramStart"/>
      <w:r w:rsidRPr="00522FA8">
        <w:rPr>
          <w:rFonts w:ascii="Verdana" w:hAnsi="Verdana"/>
          <w:sz w:val="22"/>
          <w:szCs w:val="22"/>
        </w:rPr>
        <w:t>Directora General</w:t>
      </w:r>
      <w:proofErr w:type="gramEnd"/>
      <w:r w:rsidRPr="00522FA8">
        <w:rPr>
          <w:rFonts w:ascii="Verdana" w:hAnsi="Verdana"/>
          <w:sz w:val="22"/>
          <w:szCs w:val="22"/>
        </w:rPr>
        <w:t xml:space="preserve"> del ICBF delegó en la Asesora Diana Mireya Parra Cardona su asistencia y participación ante el Comité de Defensa y Conciliación del ICBF.</w:t>
      </w:r>
    </w:p>
    <w:p w14:paraId="41D21E18" w14:textId="77777777" w:rsidR="00522FA8" w:rsidRPr="00522FA8" w:rsidRDefault="00522FA8" w:rsidP="00522FA8">
      <w:pPr>
        <w:pStyle w:val="Prrafodelista"/>
        <w:rPr>
          <w:rFonts w:ascii="Verdana" w:hAnsi="Verdana"/>
          <w:sz w:val="22"/>
          <w:szCs w:val="22"/>
        </w:rPr>
      </w:pPr>
    </w:p>
    <w:p w14:paraId="34D96812" w14:textId="77777777" w:rsidR="00522FA8" w:rsidRPr="00522FA8" w:rsidRDefault="00522FA8" w:rsidP="00522FA8">
      <w:pPr>
        <w:pStyle w:val="Prrafodelista"/>
        <w:numPr>
          <w:ilvl w:val="0"/>
          <w:numId w:val="17"/>
        </w:numPr>
        <w:rPr>
          <w:rFonts w:ascii="Verdana" w:hAnsi="Verdana"/>
          <w:sz w:val="22"/>
          <w:szCs w:val="22"/>
        </w:rPr>
      </w:pPr>
      <w:r w:rsidRPr="00522FA8">
        <w:rPr>
          <w:rFonts w:ascii="Verdana" w:hAnsi="Verdana"/>
          <w:sz w:val="22"/>
          <w:szCs w:val="22"/>
        </w:rPr>
        <w:t xml:space="preserve">Que mediante Resolución 1850 del 24 de abril de 2024 y Acta de Posesión No. 415 de la misma fecha, se nombró a la servidora pública Diana Mireya Parra Cardona como </w:t>
      </w:r>
      <w:proofErr w:type="gramStart"/>
      <w:r w:rsidRPr="00522FA8">
        <w:rPr>
          <w:rFonts w:ascii="Verdana" w:hAnsi="Verdana"/>
          <w:sz w:val="22"/>
          <w:szCs w:val="22"/>
        </w:rPr>
        <w:t>Secretaria General</w:t>
      </w:r>
      <w:proofErr w:type="gramEnd"/>
      <w:r w:rsidRPr="00522FA8">
        <w:rPr>
          <w:rFonts w:ascii="Verdana" w:hAnsi="Verdana"/>
          <w:sz w:val="22"/>
          <w:szCs w:val="22"/>
        </w:rPr>
        <w:t xml:space="preserve"> Código 0037 Grado 24 del ICBF.</w:t>
      </w:r>
    </w:p>
    <w:p w14:paraId="137A3CDB" w14:textId="77777777" w:rsidR="00522FA8" w:rsidRPr="00522FA8" w:rsidRDefault="00522FA8" w:rsidP="00522FA8">
      <w:pPr>
        <w:pStyle w:val="Prrafodelista"/>
        <w:rPr>
          <w:rFonts w:ascii="Verdana" w:hAnsi="Verdana"/>
          <w:sz w:val="22"/>
          <w:szCs w:val="22"/>
        </w:rPr>
      </w:pPr>
    </w:p>
    <w:p w14:paraId="537D4785" w14:textId="77777777" w:rsidR="00522FA8" w:rsidRPr="00522FA8" w:rsidRDefault="00522FA8" w:rsidP="00522FA8">
      <w:pPr>
        <w:pStyle w:val="Prrafodelista"/>
        <w:numPr>
          <w:ilvl w:val="0"/>
          <w:numId w:val="17"/>
        </w:numPr>
        <w:rPr>
          <w:rFonts w:ascii="Verdana" w:hAnsi="Verdana"/>
          <w:sz w:val="22"/>
          <w:szCs w:val="22"/>
        </w:rPr>
      </w:pPr>
      <w:proofErr w:type="gramStart"/>
      <w:r w:rsidRPr="00522FA8">
        <w:rPr>
          <w:rFonts w:ascii="Verdana" w:hAnsi="Verdana"/>
          <w:sz w:val="22"/>
          <w:szCs w:val="22"/>
        </w:rPr>
        <w:t>Que</w:t>
      </w:r>
      <w:proofErr w:type="gramEnd"/>
      <w:r w:rsidRPr="00522FA8">
        <w:rPr>
          <w:rFonts w:ascii="Verdana" w:hAnsi="Verdana"/>
          <w:sz w:val="22"/>
          <w:szCs w:val="22"/>
        </w:rPr>
        <w:t xml:space="preserve"> en consecuencia de lo anterior, resulta pertinente reasumir la función delegada en la servidora pública Diana Mireya Parra Cardona para asistir y participar con voz y voto como delegada de la suscrita ante el Comité de Defensa y Conciliación del ICBF, razón por la cual, resulta procedente derogatoria de la Resolución 4365 de 2023.</w:t>
      </w:r>
    </w:p>
    <w:p w14:paraId="082D885F" w14:textId="77777777" w:rsidR="00522FA8" w:rsidRPr="00522FA8" w:rsidRDefault="00522FA8" w:rsidP="00522FA8">
      <w:pPr>
        <w:pStyle w:val="Prrafodelista"/>
        <w:rPr>
          <w:rFonts w:ascii="Verdana" w:hAnsi="Verdana"/>
          <w:sz w:val="22"/>
          <w:szCs w:val="22"/>
        </w:rPr>
      </w:pPr>
    </w:p>
    <w:p w14:paraId="55D549D3" w14:textId="77777777" w:rsidR="00522FA8" w:rsidRPr="00522FA8" w:rsidRDefault="00522FA8" w:rsidP="00522FA8">
      <w:pPr>
        <w:pStyle w:val="Prrafodelista"/>
        <w:numPr>
          <w:ilvl w:val="0"/>
          <w:numId w:val="17"/>
        </w:numPr>
        <w:rPr>
          <w:rFonts w:ascii="Verdana" w:hAnsi="Verdana"/>
          <w:i/>
          <w:iCs/>
          <w:sz w:val="22"/>
          <w:szCs w:val="22"/>
        </w:rPr>
      </w:pPr>
      <w:proofErr w:type="gramStart"/>
      <w:r w:rsidRPr="00522FA8">
        <w:rPr>
          <w:rFonts w:ascii="Verdana" w:hAnsi="Verdana"/>
          <w:sz w:val="22"/>
          <w:szCs w:val="22"/>
        </w:rPr>
        <w:t>Que</w:t>
      </w:r>
      <w:proofErr w:type="gramEnd"/>
      <w:r w:rsidRPr="00522FA8">
        <w:rPr>
          <w:rFonts w:ascii="Verdana" w:hAnsi="Verdana"/>
          <w:sz w:val="22"/>
          <w:szCs w:val="22"/>
        </w:rPr>
        <w:t xml:space="preserve"> como sustento de lo anterior, se trae a colación el pronunciamiento de la Corte Constitucional en sentencia C-901 de 2011 en relación con la derogatoria de los actos administrativos, al señalar que “La derogación tiene como función “dejar sin efecto el deber ser de otra norma, expulsándola del ordenamiento. Por ello se ha entendido que la derogación es la cesación de la vigencia de una disposición como efecto de una norma posterior”, que no se fundamenta en un cuestionamiento sobre la validez de la norma, por ejemplo, cuando es declarada inexequible</w:t>
      </w:r>
      <w:r w:rsidRPr="00522FA8">
        <w:rPr>
          <w:rFonts w:ascii="Verdana" w:hAnsi="Verdana"/>
          <w:i/>
          <w:iCs/>
          <w:sz w:val="22"/>
          <w:szCs w:val="22"/>
        </w:rPr>
        <w:t>, “sino en criterios de oportunidad libremente evaluados por las autoridades competentes. (...) Así la derogación no deriva de conflictos entre normas de distinta jerarquía sino de la libertad política del legislador. (...)”</w:t>
      </w:r>
    </w:p>
    <w:p w14:paraId="727E0F06" w14:textId="77777777" w:rsidR="00522FA8" w:rsidRPr="00522FA8" w:rsidRDefault="00522FA8" w:rsidP="00522FA8">
      <w:pPr>
        <w:pStyle w:val="Prrafodelista"/>
        <w:rPr>
          <w:rFonts w:ascii="Verdana" w:hAnsi="Verdana"/>
          <w:sz w:val="22"/>
          <w:szCs w:val="22"/>
        </w:rPr>
      </w:pPr>
    </w:p>
    <w:p w14:paraId="16AA9FDE" w14:textId="69133E2E" w:rsidR="00DD01A8" w:rsidRDefault="00522FA8" w:rsidP="00522FA8">
      <w:pPr>
        <w:pStyle w:val="Prrafodelista"/>
        <w:numPr>
          <w:ilvl w:val="0"/>
          <w:numId w:val="17"/>
        </w:numPr>
        <w:rPr>
          <w:rFonts w:ascii="Verdana" w:hAnsi="Verdana"/>
          <w:sz w:val="22"/>
          <w:szCs w:val="22"/>
        </w:rPr>
      </w:pPr>
      <w:proofErr w:type="gramStart"/>
      <w:r w:rsidRPr="00522FA8">
        <w:rPr>
          <w:rFonts w:ascii="Verdana" w:hAnsi="Verdana"/>
          <w:sz w:val="22"/>
          <w:szCs w:val="22"/>
        </w:rPr>
        <w:lastRenderedPageBreak/>
        <w:t>Que</w:t>
      </w:r>
      <w:proofErr w:type="gramEnd"/>
      <w:r w:rsidRPr="00522FA8">
        <w:rPr>
          <w:rFonts w:ascii="Verdana" w:hAnsi="Verdana"/>
          <w:sz w:val="22"/>
          <w:szCs w:val="22"/>
        </w:rPr>
        <w:t xml:space="preserve"> en el mismo sentido, en sentencia del 31 de mayo de 2012 el Consejo de Estado precisó que “(...)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 (...)”.</w:t>
      </w:r>
    </w:p>
    <w:p w14:paraId="13E78738" w14:textId="77777777" w:rsidR="00522FA8" w:rsidRPr="00522FA8" w:rsidRDefault="00522FA8" w:rsidP="00522FA8">
      <w:pPr>
        <w:pStyle w:val="Prrafodelista"/>
        <w:rPr>
          <w:rFonts w:ascii="Verdana" w:hAnsi="Verdana"/>
          <w:sz w:val="22"/>
          <w:szCs w:val="22"/>
        </w:rPr>
      </w:pPr>
    </w:p>
    <w:p w14:paraId="481CCCBF" w14:textId="3D9BE381" w:rsidR="00522FA8" w:rsidRPr="00522FA8" w:rsidRDefault="00522FA8" w:rsidP="00522FA8">
      <w:pPr>
        <w:pStyle w:val="Prrafodelista"/>
        <w:numPr>
          <w:ilvl w:val="0"/>
          <w:numId w:val="17"/>
        </w:numPr>
        <w:rPr>
          <w:rFonts w:ascii="Verdana" w:hAnsi="Verdana"/>
          <w:sz w:val="22"/>
          <w:szCs w:val="22"/>
        </w:rPr>
      </w:pPr>
      <w:r w:rsidRPr="00522FA8">
        <w:rPr>
          <w:rFonts w:ascii="Verdana" w:hAnsi="Verdana"/>
          <w:sz w:val="22"/>
          <w:szCs w:val="22"/>
        </w:rPr>
        <w:t>En mérito de lo expuesto,</w:t>
      </w:r>
    </w:p>
    <w:p w14:paraId="4D19E32B" w14:textId="2F9587F9" w:rsidR="00DB3505" w:rsidRPr="00710692" w:rsidRDefault="00DB3505" w:rsidP="0072709D">
      <w:pPr>
        <w:pStyle w:val="Prrafodelista"/>
        <w:spacing w:after="0"/>
        <w:jc w:val="center"/>
        <w:textAlignment w:val="baseline"/>
        <w:rPr>
          <w:rFonts w:ascii="Verdana" w:hAnsi="Verdana"/>
          <w:sz w:val="22"/>
          <w:szCs w:val="22"/>
        </w:rPr>
      </w:pPr>
      <w:r w:rsidRPr="00710692">
        <w:rPr>
          <w:rFonts w:ascii="Verdana" w:hAnsi="Verdana"/>
          <w:b/>
          <w:bCs/>
          <w:sz w:val="22"/>
          <w:szCs w:val="22"/>
        </w:rPr>
        <w:t>RESUELVE:</w:t>
      </w:r>
    </w:p>
    <w:p w14:paraId="3479C87E" w14:textId="37916E8E" w:rsidR="00BB0715" w:rsidRDefault="00DB3505" w:rsidP="005E7568">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5E7568" w:rsidRPr="005E7568">
        <w:rPr>
          <w:rFonts w:ascii="Verdana" w:hAnsi="Verdana"/>
          <w:sz w:val="22"/>
          <w:szCs w:val="22"/>
        </w:rPr>
        <w:t>REASUMIR la función delegada en la servidora pública Diana Mireya Parra Cardona, para asistir y participar con voz y voto ante el Comité de Defensa y Conciliación del ICBF, de acuerdo con lo expuesto en la parte considerativa del presente acto administrativo.</w:t>
      </w:r>
      <w:r w:rsidR="005E7568">
        <w:rPr>
          <w:rFonts w:ascii="Verdana" w:hAnsi="Verdana"/>
          <w:sz w:val="22"/>
          <w:szCs w:val="22"/>
        </w:rPr>
        <w:t xml:space="preserve"> </w:t>
      </w:r>
    </w:p>
    <w:p w14:paraId="4A9A68A7" w14:textId="4628E54D" w:rsidR="00DD0750" w:rsidRPr="00DD0750" w:rsidRDefault="007832BB" w:rsidP="005E7568">
      <w:pPr>
        <w:rPr>
          <w:rFonts w:ascii="Verdana" w:hAnsi="Verdana"/>
          <w:b/>
          <w:bCs/>
          <w:sz w:val="22"/>
          <w:szCs w:val="22"/>
        </w:rPr>
      </w:pPr>
      <w:r w:rsidRPr="007832BB">
        <w:rPr>
          <w:rFonts w:ascii="Verdana" w:hAnsi="Verdana"/>
          <w:b/>
          <w:bCs/>
          <w:sz w:val="22"/>
          <w:szCs w:val="22"/>
        </w:rPr>
        <w:t>ARTÍCULO 2o.</w:t>
      </w:r>
      <w:r w:rsidRPr="007832BB">
        <w:rPr>
          <w:rFonts w:ascii="Verdana" w:hAnsi="Verdana"/>
          <w:sz w:val="22"/>
          <w:szCs w:val="22"/>
        </w:rPr>
        <w:t xml:space="preserve"> </w:t>
      </w:r>
      <w:r w:rsidR="005E7568" w:rsidRPr="005E7568">
        <w:rPr>
          <w:rFonts w:ascii="Verdana" w:hAnsi="Verdana"/>
          <w:sz w:val="22"/>
          <w:szCs w:val="22"/>
        </w:rPr>
        <w:t>DEROGAR la Resolución 4365 del 23 de mayo de 2023 “Por la cual se delega en la Asesora DIANA MIREYA PARRA CARDONA, Código 1020 Grado 18, adscrita al Despacho de la Dirección General del ICBF, la asistencia y participación con voz y voto ante el Comité de Defensa y Conciliación del Instituto Colombiano de Bienestar Familiar -ICBF”, de acuerdo con lo expuesto en la parte considerativa del presente acto administrativo.</w:t>
      </w:r>
    </w:p>
    <w:p w14:paraId="5AA5A0D4" w14:textId="259DDC99" w:rsidR="005E7568" w:rsidRPr="005E7568" w:rsidRDefault="00DD0750" w:rsidP="005E7568">
      <w:pPr>
        <w:rPr>
          <w:rFonts w:ascii="Verdana" w:hAnsi="Verdana"/>
          <w:sz w:val="22"/>
          <w:szCs w:val="22"/>
        </w:rPr>
      </w:pPr>
      <w:r w:rsidRPr="00DD0750">
        <w:rPr>
          <w:rFonts w:ascii="Verdana" w:hAnsi="Verdana"/>
          <w:b/>
          <w:bCs/>
          <w:sz w:val="22"/>
          <w:szCs w:val="22"/>
        </w:rPr>
        <w:t>ARTÍCULO 3o.</w:t>
      </w:r>
      <w:r w:rsidRPr="00DD0750">
        <w:rPr>
          <w:rFonts w:ascii="Verdana" w:hAnsi="Verdana"/>
          <w:sz w:val="22"/>
          <w:szCs w:val="22"/>
        </w:rPr>
        <w:t xml:space="preserve"> </w:t>
      </w:r>
      <w:bookmarkEnd w:id="1"/>
      <w:r w:rsidR="005E7568" w:rsidRPr="005E7568">
        <w:rPr>
          <w:rFonts w:ascii="Verdana" w:hAnsi="Verdana"/>
          <w:sz w:val="22"/>
          <w:szCs w:val="22"/>
        </w:rPr>
        <w:t>A través de la Oficina Asesora Jurídica, COMUNÍQUESE el presente acto administrativo a los interesados.</w:t>
      </w:r>
    </w:p>
    <w:p w14:paraId="7D12E525" w14:textId="324AA7BF" w:rsidR="005E7568" w:rsidRDefault="005E7568" w:rsidP="005E7568">
      <w:pPr>
        <w:rPr>
          <w:rFonts w:ascii="Verdana" w:hAnsi="Verdana"/>
          <w:sz w:val="22"/>
          <w:szCs w:val="22"/>
        </w:rPr>
      </w:pPr>
      <w:r w:rsidRPr="00777873">
        <w:rPr>
          <w:rFonts w:ascii="Verdana" w:hAnsi="Verdana"/>
          <w:b/>
          <w:bCs/>
          <w:sz w:val="22"/>
          <w:szCs w:val="22"/>
        </w:rPr>
        <w:t>ARTÍCULO 4</w:t>
      </w:r>
      <w:r w:rsidR="00777873" w:rsidRPr="00777873">
        <w:rPr>
          <w:rFonts w:ascii="Verdana" w:hAnsi="Verdana"/>
          <w:b/>
          <w:bCs/>
          <w:sz w:val="22"/>
          <w:szCs w:val="22"/>
        </w:rPr>
        <w:t>o</w:t>
      </w:r>
      <w:r w:rsidRPr="00777873">
        <w:rPr>
          <w:rFonts w:ascii="Verdana" w:hAnsi="Verdana"/>
          <w:b/>
          <w:bCs/>
          <w:sz w:val="22"/>
          <w:szCs w:val="22"/>
        </w:rPr>
        <w:t>.</w:t>
      </w:r>
      <w:r w:rsidRPr="005E7568">
        <w:rPr>
          <w:rFonts w:ascii="Verdana" w:hAnsi="Verdana"/>
          <w:sz w:val="22"/>
          <w:szCs w:val="22"/>
        </w:rPr>
        <w:t xml:space="preserve"> La presente Resolución rige a partir de su expedición.</w:t>
      </w:r>
    </w:p>
    <w:p w14:paraId="6F2189C5" w14:textId="2FBCE7BC" w:rsidR="00DB3505" w:rsidRPr="00DB3505" w:rsidRDefault="00DE103B" w:rsidP="00777873">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11655C3C"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053DD5">
        <w:rPr>
          <w:rFonts w:ascii="Verdana" w:hAnsi="Verdana"/>
          <w:sz w:val="22"/>
          <w:szCs w:val="22"/>
        </w:rPr>
        <w:t>30</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A10529">
        <w:rPr>
          <w:rFonts w:ascii="Verdana" w:hAnsi="Verdana"/>
          <w:sz w:val="22"/>
          <w:szCs w:val="22"/>
        </w:rPr>
        <w:t>agosto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784F" w14:textId="77777777" w:rsidR="0008025A" w:rsidRDefault="0008025A" w:rsidP="00251F6B">
      <w:pPr>
        <w:spacing w:after="0"/>
      </w:pPr>
      <w:r>
        <w:separator/>
      </w:r>
    </w:p>
  </w:endnote>
  <w:endnote w:type="continuationSeparator" w:id="0">
    <w:p w14:paraId="50D85625" w14:textId="77777777" w:rsidR="0008025A" w:rsidRDefault="0008025A"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2F54" w14:textId="77777777" w:rsidR="0008025A" w:rsidRDefault="0008025A" w:rsidP="00251F6B">
      <w:pPr>
        <w:spacing w:after="0"/>
      </w:pPr>
      <w:r>
        <w:separator/>
      </w:r>
    </w:p>
  </w:footnote>
  <w:footnote w:type="continuationSeparator" w:id="0">
    <w:p w14:paraId="1EAE7DF3" w14:textId="77777777" w:rsidR="0008025A" w:rsidRDefault="0008025A"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034DCF"/>
    <w:multiLevelType w:val="hybridMultilevel"/>
    <w:tmpl w:val="9C421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0"/>
  </w:num>
  <w:num w:numId="2" w16cid:durableId="707920155">
    <w:abstractNumId w:val="1"/>
  </w:num>
  <w:num w:numId="3" w16cid:durableId="1520006266">
    <w:abstractNumId w:val="4"/>
  </w:num>
  <w:num w:numId="4" w16cid:durableId="1994868198">
    <w:abstractNumId w:val="11"/>
  </w:num>
  <w:num w:numId="5" w16cid:durableId="101999986">
    <w:abstractNumId w:val="7"/>
  </w:num>
  <w:num w:numId="6" w16cid:durableId="1180050603">
    <w:abstractNumId w:val="5"/>
  </w:num>
  <w:num w:numId="7" w16cid:durableId="2102679533">
    <w:abstractNumId w:val="8"/>
  </w:num>
  <w:num w:numId="8" w16cid:durableId="2029526057">
    <w:abstractNumId w:val="16"/>
  </w:num>
  <w:num w:numId="9" w16cid:durableId="237833594">
    <w:abstractNumId w:val="12"/>
  </w:num>
  <w:num w:numId="10" w16cid:durableId="826289728">
    <w:abstractNumId w:val="0"/>
  </w:num>
  <w:num w:numId="11" w16cid:durableId="1064647544">
    <w:abstractNumId w:val="2"/>
  </w:num>
  <w:num w:numId="12" w16cid:durableId="1536431731">
    <w:abstractNumId w:val="14"/>
  </w:num>
  <w:num w:numId="13" w16cid:durableId="1993632824">
    <w:abstractNumId w:val="13"/>
  </w:num>
  <w:num w:numId="14" w16cid:durableId="462696812">
    <w:abstractNumId w:val="9"/>
  </w:num>
  <w:num w:numId="15" w16cid:durableId="1128934488">
    <w:abstractNumId w:val="6"/>
  </w:num>
  <w:num w:numId="16" w16cid:durableId="1012026253">
    <w:abstractNumId w:val="15"/>
  </w:num>
  <w:num w:numId="17" w16cid:durableId="632448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FDC"/>
    <w:rsid w:val="000222F7"/>
    <w:rsid w:val="00036A57"/>
    <w:rsid w:val="00043942"/>
    <w:rsid w:val="0004737F"/>
    <w:rsid w:val="00047C8F"/>
    <w:rsid w:val="0005221E"/>
    <w:rsid w:val="00053DD5"/>
    <w:rsid w:val="0005541A"/>
    <w:rsid w:val="00063CC1"/>
    <w:rsid w:val="0008025A"/>
    <w:rsid w:val="00085FC6"/>
    <w:rsid w:val="00094CC7"/>
    <w:rsid w:val="000A3044"/>
    <w:rsid w:val="000B4CB6"/>
    <w:rsid w:val="000C3F9A"/>
    <w:rsid w:val="000D0BEE"/>
    <w:rsid w:val="000D6943"/>
    <w:rsid w:val="000E0479"/>
    <w:rsid w:val="000E453A"/>
    <w:rsid w:val="000F1DB7"/>
    <w:rsid w:val="000F567A"/>
    <w:rsid w:val="00106430"/>
    <w:rsid w:val="001134AE"/>
    <w:rsid w:val="001250E7"/>
    <w:rsid w:val="00125E68"/>
    <w:rsid w:val="001335DC"/>
    <w:rsid w:val="00143A2C"/>
    <w:rsid w:val="0014658E"/>
    <w:rsid w:val="001502B8"/>
    <w:rsid w:val="00155835"/>
    <w:rsid w:val="001777A2"/>
    <w:rsid w:val="00183F91"/>
    <w:rsid w:val="001879CB"/>
    <w:rsid w:val="00194767"/>
    <w:rsid w:val="001A0A07"/>
    <w:rsid w:val="001A1F51"/>
    <w:rsid w:val="001B3B8D"/>
    <w:rsid w:val="001C78E7"/>
    <w:rsid w:val="001D35CF"/>
    <w:rsid w:val="001D3FE9"/>
    <w:rsid w:val="001E22D3"/>
    <w:rsid w:val="0020475F"/>
    <w:rsid w:val="00212507"/>
    <w:rsid w:val="0021357D"/>
    <w:rsid w:val="0022609A"/>
    <w:rsid w:val="002333E6"/>
    <w:rsid w:val="0023340E"/>
    <w:rsid w:val="00243CB4"/>
    <w:rsid w:val="00250AAF"/>
    <w:rsid w:val="00251F6B"/>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507E"/>
    <w:rsid w:val="00365D85"/>
    <w:rsid w:val="00371A46"/>
    <w:rsid w:val="00372A15"/>
    <w:rsid w:val="003773AA"/>
    <w:rsid w:val="00377856"/>
    <w:rsid w:val="003824C5"/>
    <w:rsid w:val="003875D7"/>
    <w:rsid w:val="003927C0"/>
    <w:rsid w:val="00393EED"/>
    <w:rsid w:val="003A147B"/>
    <w:rsid w:val="003A5EDC"/>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9060D"/>
    <w:rsid w:val="004965D9"/>
    <w:rsid w:val="004A0107"/>
    <w:rsid w:val="004A314D"/>
    <w:rsid w:val="004A4E06"/>
    <w:rsid w:val="004B495B"/>
    <w:rsid w:val="004D2937"/>
    <w:rsid w:val="004D5485"/>
    <w:rsid w:val="004E1D60"/>
    <w:rsid w:val="004E79F7"/>
    <w:rsid w:val="004F1F6B"/>
    <w:rsid w:val="004F2446"/>
    <w:rsid w:val="004F29E3"/>
    <w:rsid w:val="004F61F1"/>
    <w:rsid w:val="005041B1"/>
    <w:rsid w:val="00507D5F"/>
    <w:rsid w:val="00514767"/>
    <w:rsid w:val="00515836"/>
    <w:rsid w:val="00522FA8"/>
    <w:rsid w:val="00534960"/>
    <w:rsid w:val="005404BD"/>
    <w:rsid w:val="00543054"/>
    <w:rsid w:val="00553090"/>
    <w:rsid w:val="005656CC"/>
    <w:rsid w:val="00571511"/>
    <w:rsid w:val="00590000"/>
    <w:rsid w:val="0059244F"/>
    <w:rsid w:val="005A2590"/>
    <w:rsid w:val="005C02A7"/>
    <w:rsid w:val="005C1D40"/>
    <w:rsid w:val="005C27F6"/>
    <w:rsid w:val="005C47E1"/>
    <w:rsid w:val="005C6A9A"/>
    <w:rsid w:val="005C7A00"/>
    <w:rsid w:val="005D5138"/>
    <w:rsid w:val="005E7568"/>
    <w:rsid w:val="005F7F79"/>
    <w:rsid w:val="006053FC"/>
    <w:rsid w:val="0062053E"/>
    <w:rsid w:val="00620E21"/>
    <w:rsid w:val="00626E74"/>
    <w:rsid w:val="00644670"/>
    <w:rsid w:val="0064600F"/>
    <w:rsid w:val="00657673"/>
    <w:rsid w:val="006624FD"/>
    <w:rsid w:val="0067686D"/>
    <w:rsid w:val="00677306"/>
    <w:rsid w:val="00680D84"/>
    <w:rsid w:val="0068226F"/>
    <w:rsid w:val="00683AB9"/>
    <w:rsid w:val="006860F2"/>
    <w:rsid w:val="00692A8A"/>
    <w:rsid w:val="00692A92"/>
    <w:rsid w:val="00693221"/>
    <w:rsid w:val="006976BF"/>
    <w:rsid w:val="006A1FBF"/>
    <w:rsid w:val="006A45F2"/>
    <w:rsid w:val="006B545B"/>
    <w:rsid w:val="006B7BC6"/>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7F4"/>
    <w:rsid w:val="00741B09"/>
    <w:rsid w:val="00747453"/>
    <w:rsid w:val="007504D1"/>
    <w:rsid w:val="007577DF"/>
    <w:rsid w:val="007637F1"/>
    <w:rsid w:val="00765F4C"/>
    <w:rsid w:val="00777873"/>
    <w:rsid w:val="007832BB"/>
    <w:rsid w:val="007871FD"/>
    <w:rsid w:val="007A3901"/>
    <w:rsid w:val="007A7245"/>
    <w:rsid w:val="007B4741"/>
    <w:rsid w:val="007B70C0"/>
    <w:rsid w:val="007C0628"/>
    <w:rsid w:val="007C16F4"/>
    <w:rsid w:val="007C63E7"/>
    <w:rsid w:val="007D4E9B"/>
    <w:rsid w:val="007E0C98"/>
    <w:rsid w:val="007E727D"/>
    <w:rsid w:val="00801988"/>
    <w:rsid w:val="0083116C"/>
    <w:rsid w:val="00831C1E"/>
    <w:rsid w:val="0083332F"/>
    <w:rsid w:val="00833ACF"/>
    <w:rsid w:val="0083436E"/>
    <w:rsid w:val="00836C34"/>
    <w:rsid w:val="008410BC"/>
    <w:rsid w:val="008437FE"/>
    <w:rsid w:val="00844F31"/>
    <w:rsid w:val="00863A26"/>
    <w:rsid w:val="00871E0C"/>
    <w:rsid w:val="00877266"/>
    <w:rsid w:val="008A435C"/>
    <w:rsid w:val="008B5025"/>
    <w:rsid w:val="008D18D4"/>
    <w:rsid w:val="008D4B05"/>
    <w:rsid w:val="008E292B"/>
    <w:rsid w:val="00901A3F"/>
    <w:rsid w:val="009138DA"/>
    <w:rsid w:val="00922122"/>
    <w:rsid w:val="00933C0C"/>
    <w:rsid w:val="00942A54"/>
    <w:rsid w:val="009513A7"/>
    <w:rsid w:val="00964FFA"/>
    <w:rsid w:val="009668B7"/>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0529"/>
    <w:rsid w:val="00A121AD"/>
    <w:rsid w:val="00A14EC4"/>
    <w:rsid w:val="00A47455"/>
    <w:rsid w:val="00A51A14"/>
    <w:rsid w:val="00A52B65"/>
    <w:rsid w:val="00A645AB"/>
    <w:rsid w:val="00A724C4"/>
    <w:rsid w:val="00A81CDB"/>
    <w:rsid w:val="00A9582E"/>
    <w:rsid w:val="00A9702F"/>
    <w:rsid w:val="00A97813"/>
    <w:rsid w:val="00A97A1B"/>
    <w:rsid w:val="00AA16D9"/>
    <w:rsid w:val="00AA427E"/>
    <w:rsid w:val="00AB16D7"/>
    <w:rsid w:val="00AD38C3"/>
    <w:rsid w:val="00AD4A99"/>
    <w:rsid w:val="00AD7049"/>
    <w:rsid w:val="00AE12C5"/>
    <w:rsid w:val="00AE513F"/>
    <w:rsid w:val="00AF4327"/>
    <w:rsid w:val="00AF44A3"/>
    <w:rsid w:val="00AF4EF6"/>
    <w:rsid w:val="00B019EC"/>
    <w:rsid w:val="00B24E8E"/>
    <w:rsid w:val="00B31145"/>
    <w:rsid w:val="00B53C84"/>
    <w:rsid w:val="00B54788"/>
    <w:rsid w:val="00B64762"/>
    <w:rsid w:val="00B75E38"/>
    <w:rsid w:val="00B760A4"/>
    <w:rsid w:val="00B82553"/>
    <w:rsid w:val="00B87F74"/>
    <w:rsid w:val="00BA17B0"/>
    <w:rsid w:val="00BA6A0C"/>
    <w:rsid w:val="00BB0715"/>
    <w:rsid w:val="00BC10E6"/>
    <w:rsid w:val="00BC34DE"/>
    <w:rsid w:val="00BC36D0"/>
    <w:rsid w:val="00BC6522"/>
    <w:rsid w:val="00BD55E6"/>
    <w:rsid w:val="00BD717B"/>
    <w:rsid w:val="00BE115D"/>
    <w:rsid w:val="00C07D73"/>
    <w:rsid w:val="00C07F46"/>
    <w:rsid w:val="00C12114"/>
    <w:rsid w:val="00C233D3"/>
    <w:rsid w:val="00C24066"/>
    <w:rsid w:val="00C2424F"/>
    <w:rsid w:val="00C26A2A"/>
    <w:rsid w:val="00C37698"/>
    <w:rsid w:val="00C4037E"/>
    <w:rsid w:val="00C5648C"/>
    <w:rsid w:val="00C56CEF"/>
    <w:rsid w:val="00C66907"/>
    <w:rsid w:val="00C74FD6"/>
    <w:rsid w:val="00C91445"/>
    <w:rsid w:val="00CA3A9F"/>
    <w:rsid w:val="00CA78A1"/>
    <w:rsid w:val="00CC1628"/>
    <w:rsid w:val="00CE6111"/>
    <w:rsid w:val="00CE7ED6"/>
    <w:rsid w:val="00D0270B"/>
    <w:rsid w:val="00D14EBB"/>
    <w:rsid w:val="00D35493"/>
    <w:rsid w:val="00D4357D"/>
    <w:rsid w:val="00D5214B"/>
    <w:rsid w:val="00D54523"/>
    <w:rsid w:val="00D635BC"/>
    <w:rsid w:val="00D815FF"/>
    <w:rsid w:val="00D81960"/>
    <w:rsid w:val="00D84A62"/>
    <w:rsid w:val="00D902B0"/>
    <w:rsid w:val="00D9123E"/>
    <w:rsid w:val="00D966BC"/>
    <w:rsid w:val="00DA586D"/>
    <w:rsid w:val="00DB2214"/>
    <w:rsid w:val="00DB3505"/>
    <w:rsid w:val="00DB41D7"/>
    <w:rsid w:val="00DC6652"/>
    <w:rsid w:val="00DC6B48"/>
    <w:rsid w:val="00DD01A8"/>
    <w:rsid w:val="00DD0750"/>
    <w:rsid w:val="00DE103B"/>
    <w:rsid w:val="00DE63C8"/>
    <w:rsid w:val="00DF1B4B"/>
    <w:rsid w:val="00E07225"/>
    <w:rsid w:val="00E1280F"/>
    <w:rsid w:val="00E156F3"/>
    <w:rsid w:val="00E165C6"/>
    <w:rsid w:val="00E45DA5"/>
    <w:rsid w:val="00E4659F"/>
    <w:rsid w:val="00E47B9D"/>
    <w:rsid w:val="00E57D8F"/>
    <w:rsid w:val="00E60651"/>
    <w:rsid w:val="00E76D4A"/>
    <w:rsid w:val="00E802F1"/>
    <w:rsid w:val="00E8504C"/>
    <w:rsid w:val="00E91ED1"/>
    <w:rsid w:val="00E96AE6"/>
    <w:rsid w:val="00EA785D"/>
    <w:rsid w:val="00EB34F6"/>
    <w:rsid w:val="00EC53B9"/>
    <w:rsid w:val="00ED496F"/>
    <w:rsid w:val="00EE32E6"/>
    <w:rsid w:val="00EF24EA"/>
    <w:rsid w:val="00EF41E6"/>
    <w:rsid w:val="00F23ACF"/>
    <w:rsid w:val="00F43995"/>
    <w:rsid w:val="00F44C1C"/>
    <w:rsid w:val="00F45621"/>
    <w:rsid w:val="00F473A0"/>
    <w:rsid w:val="00F64ADB"/>
    <w:rsid w:val="00F75570"/>
    <w:rsid w:val="00F770E5"/>
    <w:rsid w:val="00F83E5C"/>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BBEFF047-1496-4FDD-83EF-9B5E32ADE3F4}"/>
</file>

<file path=customXml/itemProps3.xml><?xml version="1.0" encoding="utf-8"?>
<ds:datastoreItem xmlns:ds="http://schemas.openxmlformats.org/officeDocument/2006/customXml" ds:itemID="{E5D64313-4EA0-48B2-9051-578A013442B7}"/>
</file>

<file path=customXml/itemProps4.xml><?xml version="1.0" encoding="utf-8"?>
<ds:datastoreItem xmlns:ds="http://schemas.openxmlformats.org/officeDocument/2006/customXml" ds:itemID="{4366B5EB-6893-48BB-820C-E0B79526126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505</TotalTime>
  <Pages>3</Pages>
  <Words>952</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317</cp:revision>
  <dcterms:created xsi:type="dcterms:W3CDTF">2026-03-03T16:25:00Z</dcterms:created>
  <dcterms:modified xsi:type="dcterms:W3CDTF">2026-04-05T17:57:00Z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