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67F2D" w14:textId="3434CB82" w:rsidR="00EE7084" w:rsidRPr="00EE7084" w:rsidRDefault="00EE7084" w:rsidP="00EE7084">
      <w:pPr>
        <w:jc w:val="center"/>
        <w:rPr>
          <w:rFonts w:ascii="Verdana" w:hAnsi="Verdana"/>
          <w:b/>
          <w:bCs/>
          <w:sz w:val="22"/>
          <w:szCs w:val="22"/>
        </w:rPr>
      </w:pPr>
      <w:r w:rsidRPr="001429EA">
        <w:rPr>
          <w:rFonts w:ascii="Verdana" w:hAnsi="Verdana"/>
          <w:b/>
          <w:bCs/>
          <w:sz w:val="22"/>
          <w:szCs w:val="22"/>
        </w:rPr>
        <w:t>RESOLUCIÓN 399 DE 2010</w:t>
      </w:r>
    </w:p>
    <w:p w14:paraId="37565A6F" w14:textId="77777777" w:rsidR="005A3CDB" w:rsidRPr="005A3CDB" w:rsidRDefault="005A3CDB" w:rsidP="005A3CDB">
      <w:pPr>
        <w:pStyle w:val="Sinespaciado"/>
        <w:rPr>
          <w:rFonts w:ascii="Verdana" w:hAnsi="Verdana"/>
          <w:sz w:val="20"/>
          <w:szCs w:val="20"/>
        </w:rPr>
      </w:pPr>
      <w:r w:rsidRPr="005A3CDB">
        <w:rPr>
          <w:rFonts w:ascii="Verdana" w:hAnsi="Verdana"/>
          <w:sz w:val="20"/>
          <w:szCs w:val="20"/>
        </w:rPr>
        <w:t>Fecha de Expedición: 28 de enero de 2010</w:t>
      </w:r>
    </w:p>
    <w:p w14:paraId="06D83330" w14:textId="77777777" w:rsidR="005A3CDB" w:rsidRPr="005A3CDB" w:rsidRDefault="005A3CDB" w:rsidP="005A3CDB">
      <w:pPr>
        <w:pStyle w:val="Sinespaciado"/>
        <w:rPr>
          <w:rFonts w:ascii="Verdana" w:hAnsi="Verdana"/>
          <w:sz w:val="20"/>
          <w:szCs w:val="20"/>
        </w:rPr>
      </w:pPr>
      <w:r w:rsidRPr="005A3CDB">
        <w:rPr>
          <w:rFonts w:ascii="Verdana" w:hAnsi="Verdana"/>
          <w:sz w:val="20"/>
          <w:szCs w:val="20"/>
        </w:rPr>
        <w:t>Fecha de entrada en vigencia: 28 de enero de 2010</w:t>
      </w:r>
    </w:p>
    <w:p w14:paraId="2F3075BB" w14:textId="77777777" w:rsidR="005A3CDB" w:rsidRPr="005A3CDB" w:rsidRDefault="005A3CDB" w:rsidP="005A3CDB">
      <w:pPr>
        <w:pStyle w:val="Sinespaciado"/>
        <w:rPr>
          <w:rFonts w:ascii="Verdana" w:hAnsi="Verdana"/>
          <w:sz w:val="20"/>
          <w:szCs w:val="20"/>
        </w:rPr>
      </w:pPr>
      <w:r w:rsidRPr="005A3CDB">
        <w:rPr>
          <w:rFonts w:ascii="Verdana" w:hAnsi="Verdana"/>
          <w:sz w:val="20"/>
          <w:szCs w:val="20"/>
        </w:rPr>
        <w:t>Estado de la vigencia: vigente</w:t>
      </w:r>
    </w:p>
    <w:p w14:paraId="236C0655" w14:textId="77777777" w:rsidR="005A3CDB" w:rsidRPr="005A3CDB" w:rsidRDefault="005A3CDB" w:rsidP="005A3CDB">
      <w:pPr>
        <w:pStyle w:val="Sinespaciado"/>
        <w:rPr>
          <w:rFonts w:ascii="Verdana" w:hAnsi="Verdana"/>
          <w:sz w:val="20"/>
          <w:szCs w:val="20"/>
        </w:rPr>
      </w:pPr>
      <w:r w:rsidRPr="005A3CDB">
        <w:rPr>
          <w:rFonts w:ascii="Verdana" w:hAnsi="Verdana"/>
          <w:sz w:val="20"/>
          <w:szCs w:val="20"/>
        </w:rPr>
        <w:tab/>
      </w:r>
    </w:p>
    <w:p w14:paraId="712150BC" w14:textId="023BBA88" w:rsidR="005A3CDB" w:rsidRPr="005A3CDB" w:rsidRDefault="005A3CDB" w:rsidP="005A3CDB">
      <w:pPr>
        <w:pStyle w:val="Sinespaciado"/>
        <w:rPr>
          <w:rFonts w:ascii="Verdana" w:hAnsi="Verdana"/>
          <w:sz w:val="20"/>
          <w:szCs w:val="20"/>
        </w:rPr>
      </w:pPr>
      <w:r w:rsidRPr="005A3CDB">
        <w:rPr>
          <w:rFonts w:ascii="Verdana" w:hAnsi="Verdana"/>
          <w:sz w:val="20"/>
          <w:szCs w:val="20"/>
        </w:rPr>
        <w:t>Fecha de publicación en Diario Oficial: 17 de febrero de 2010</w:t>
      </w:r>
    </w:p>
    <w:p w14:paraId="7C2A520A" w14:textId="26233947" w:rsidR="00A724C4" w:rsidRPr="005A3CDB" w:rsidRDefault="005A3CDB" w:rsidP="005A3CDB">
      <w:pPr>
        <w:pStyle w:val="Sinespaciado"/>
        <w:rPr>
          <w:rFonts w:ascii="Verdana" w:hAnsi="Verdana"/>
          <w:sz w:val="20"/>
          <w:szCs w:val="20"/>
        </w:rPr>
      </w:pPr>
      <w:r w:rsidRPr="005A3CDB">
        <w:rPr>
          <w:rFonts w:ascii="Verdana" w:hAnsi="Verdana"/>
          <w:sz w:val="20"/>
          <w:szCs w:val="20"/>
        </w:rPr>
        <w:t>Número del Diario Oficial: 47.626</w:t>
      </w:r>
    </w:p>
    <w:p w14:paraId="68D5C413" w14:textId="77777777" w:rsidR="005A3CDB" w:rsidRPr="00885713" w:rsidRDefault="005A3CDB" w:rsidP="005A3CDB">
      <w:pPr>
        <w:pStyle w:val="Sinespaciado"/>
      </w:pPr>
    </w:p>
    <w:p w14:paraId="4C539FF9" w14:textId="053CA3C4" w:rsidR="00885713" w:rsidRPr="001429EA" w:rsidRDefault="00885713" w:rsidP="001429EA">
      <w:pPr>
        <w:jc w:val="center"/>
        <w:rPr>
          <w:rFonts w:ascii="Verdana" w:hAnsi="Verdana"/>
          <w:b/>
          <w:bCs/>
          <w:sz w:val="22"/>
          <w:szCs w:val="22"/>
        </w:rPr>
      </w:pPr>
      <w:r w:rsidRPr="001429EA">
        <w:rPr>
          <w:rFonts w:ascii="Verdana" w:hAnsi="Verdana"/>
          <w:b/>
          <w:bCs/>
          <w:sz w:val="22"/>
          <w:szCs w:val="22"/>
        </w:rPr>
        <w:t>RESOLUCIÓN 399 DE 2010</w:t>
      </w:r>
    </w:p>
    <w:p w14:paraId="3F2CE31B" w14:textId="5CD9035E" w:rsidR="00885713" w:rsidRPr="001429EA" w:rsidRDefault="00885713" w:rsidP="001429EA">
      <w:pPr>
        <w:jc w:val="center"/>
        <w:rPr>
          <w:rFonts w:ascii="Verdana" w:hAnsi="Verdana"/>
          <w:b/>
          <w:bCs/>
          <w:sz w:val="22"/>
          <w:szCs w:val="22"/>
        </w:rPr>
      </w:pPr>
      <w:r w:rsidRPr="001429EA">
        <w:rPr>
          <w:rFonts w:ascii="Verdana" w:hAnsi="Verdana"/>
          <w:b/>
          <w:bCs/>
          <w:sz w:val="22"/>
          <w:szCs w:val="22"/>
        </w:rPr>
        <w:t>(</w:t>
      </w:r>
      <w:r w:rsidR="00BC68C0" w:rsidRPr="001429EA">
        <w:rPr>
          <w:rFonts w:ascii="Verdana" w:hAnsi="Verdana"/>
          <w:b/>
          <w:bCs/>
          <w:sz w:val="22"/>
          <w:szCs w:val="22"/>
        </w:rPr>
        <w:t xml:space="preserve">28 </w:t>
      </w:r>
      <w:r w:rsidR="001429EA" w:rsidRPr="001429EA">
        <w:rPr>
          <w:rFonts w:ascii="Verdana" w:hAnsi="Verdana"/>
          <w:b/>
          <w:bCs/>
          <w:sz w:val="22"/>
          <w:szCs w:val="22"/>
        </w:rPr>
        <w:t xml:space="preserve">de </w:t>
      </w:r>
      <w:r w:rsidRPr="001429EA">
        <w:rPr>
          <w:rFonts w:ascii="Verdana" w:hAnsi="Verdana"/>
          <w:b/>
          <w:bCs/>
          <w:sz w:val="22"/>
          <w:szCs w:val="22"/>
        </w:rPr>
        <w:t>enero)</w:t>
      </w:r>
    </w:p>
    <w:p w14:paraId="778BE916" w14:textId="7BF53AFC" w:rsidR="00885713" w:rsidRPr="001429EA" w:rsidRDefault="00885713" w:rsidP="001429EA">
      <w:pPr>
        <w:jc w:val="center"/>
        <w:rPr>
          <w:rFonts w:ascii="Verdana" w:hAnsi="Verdana"/>
          <w:b/>
          <w:bCs/>
          <w:sz w:val="22"/>
          <w:szCs w:val="22"/>
        </w:rPr>
      </w:pPr>
      <w:r w:rsidRPr="001429EA">
        <w:rPr>
          <w:rFonts w:ascii="Verdana" w:hAnsi="Verdana"/>
          <w:b/>
          <w:bCs/>
          <w:sz w:val="22"/>
          <w:szCs w:val="22"/>
        </w:rPr>
        <w:t>INSTITUTO COLOMBIANO DE BIENESTAR FAMILIAR – ICBF</w:t>
      </w:r>
    </w:p>
    <w:p w14:paraId="5398EC96" w14:textId="77777777" w:rsidR="00885713" w:rsidRPr="00885713" w:rsidRDefault="00885713" w:rsidP="001429EA">
      <w:pPr>
        <w:jc w:val="center"/>
        <w:rPr>
          <w:rFonts w:ascii="Verdana" w:hAnsi="Verdana"/>
          <w:sz w:val="22"/>
          <w:szCs w:val="22"/>
        </w:rPr>
      </w:pPr>
      <w:r w:rsidRPr="00885713">
        <w:rPr>
          <w:rFonts w:ascii="Verdana" w:hAnsi="Verdana"/>
          <w:sz w:val="22"/>
          <w:szCs w:val="22"/>
        </w:rPr>
        <w:t>"Por la cual se modifica la Resolución No. 4670 del 23 de octubre de 2009"</w:t>
      </w:r>
    </w:p>
    <w:p w14:paraId="1F84A78F" w14:textId="77777777" w:rsidR="00885713" w:rsidRPr="001429EA" w:rsidRDefault="00885713" w:rsidP="001429EA">
      <w:pPr>
        <w:jc w:val="center"/>
        <w:rPr>
          <w:rFonts w:ascii="Verdana" w:hAnsi="Verdana"/>
          <w:b/>
          <w:bCs/>
          <w:sz w:val="22"/>
          <w:szCs w:val="22"/>
        </w:rPr>
      </w:pPr>
      <w:r w:rsidRPr="001429EA">
        <w:rPr>
          <w:rFonts w:ascii="Verdana" w:hAnsi="Verdana"/>
          <w:b/>
          <w:bCs/>
          <w:sz w:val="22"/>
          <w:szCs w:val="22"/>
        </w:rPr>
        <w:t>LA DIRECTORA GENERAL DEL INSTITUTO COLOMBIANO DE BIENESTAR FAMILIAR CECILIA DE LA FUENTE DE LLERAS</w:t>
      </w:r>
    </w:p>
    <w:p w14:paraId="79C54519" w14:textId="77777777" w:rsidR="00885713" w:rsidRPr="00885713" w:rsidRDefault="00885713" w:rsidP="001429EA">
      <w:pPr>
        <w:jc w:val="center"/>
        <w:rPr>
          <w:rFonts w:ascii="Verdana" w:hAnsi="Verdana"/>
          <w:sz w:val="22"/>
          <w:szCs w:val="22"/>
        </w:rPr>
      </w:pPr>
      <w:r w:rsidRPr="00885713">
        <w:rPr>
          <w:rFonts w:ascii="Verdana" w:hAnsi="Verdana"/>
          <w:sz w:val="22"/>
          <w:szCs w:val="22"/>
        </w:rPr>
        <w:t>En uso de las facultades constitucionales y legales, en especial las conferidas en el artículo 211 de la Constitución Política, el artículo 12 de la Ley 80 de 1993, el artículo 21 de la Ley 1150 de 2007, el artículo 9 de la Ley 489 de 1998, el artículo 89 del Decreto 2474 de 2008, y</w:t>
      </w:r>
    </w:p>
    <w:p w14:paraId="0561AA38" w14:textId="143E0914" w:rsidR="00885713" w:rsidRPr="001429EA" w:rsidRDefault="00885713" w:rsidP="001429EA">
      <w:pPr>
        <w:jc w:val="center"/>
        <w:rPr>
          <w:rFonts w:ascii="Verdana" w:hAnsi="Verdana"/>
          <w:b/>
          <w:bCs/>
          <w:sz w:val="22"/>
          <w:szCs w:val="22"/>
        </w:rPr>
      </w:pPr>
      <w:r w:rsidRPr="001429EA">
        <w:rPr>
          <w:rFonts w:ascii="Verdana" w:hAnsi="Verdana"/>
          <w:b/>
          <w:bCs/>
          <w:sz w:val="22"/>
          <w:szCs w:val="22"/>
        </w:rPr>
        <w:t>CONSIDERANDO:</w:t>
      </w:r>
    </w:p>
    <w:p w14:paraId="3B1A39DC" w14:textId="6CB6691E"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Que el 23 de octubre de 2009 la Dirección General del ICBF expidió la Resolución No. 4670, mediante la cual se modifica el Manual de Contratación del ICBF.</w:t>
      </w:r>
    </w:p>
    <w:p w14:paraId="14696287" w14:textId="7B49ADF6"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Que en el mencionado acto administrativo se delegó en la Dirección Técnica el ejercicio de la facultad de adelantar procesos de selección y celebrar contratos o convenios financiados con recursos de los proyectos y subproyectos de inversión a cargo de la Dirección Técnica, incluido el de aporte, hasta por cuantía de 10.000 SMLMV.</w:t>
      </w:r>
    </w:p>
    <w:p w14:paraId="4FB077E1" w14:textId="4CC3895E"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Que mediante Decreto 117 de enero 21 de 2010 se aprobó la estructura del Instituto Colombiano del Bienestar Familiar Cecilia de la Fuente de Lleras y se determinaron las funciones de sus dependencias.</w:t>
      </w:r>
    </w:p>
    <w:p w14:paraId="072459A1" w14:textId="0548A505"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Que mediante Decreto 118 de enero 21 de 2010 se aprobó la modificación de la planta de personal del Instituto Colombiano del Bienestar Familiar Cecilia de la Fuente de Lleras.</w:t>
      </w:r>
    </w:p>
    <w:p w14:paraId="49EC3D54" w14:textId="6395625A"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Que en razón de lo anterior se hace necesario modificar la delegación conferida mediante la Resolución No. 4670 de 2009 a la Dirección Técnica.</w:t>
      </w:r>
    </w:p>
    <w:p w14:paraId="327CB2B6" w14:textId="7392CEB5" w:rsidR="00885713" w:rsidRPr="001429EA" w:rsidRDefault="00885713" w:rsidP="00885713">
      <w:pPr>
        <w:pStyle w:val="Prrafodelista"/>
        <w:numPr>
          <w:ilvl w:val="0"/>
          <w:numId w:val="1"/>
        </w:numPr>
        <w:rPr>
          <w:rFonts w:ascii="Verdana" w:hAnsi="Verdana"/>
          <w:sz w:val="22"/>
          <w:szCs w:val="22"/>
        </w:rPr>
      </w:pPr>
      <w:r w:rsidRPr="001429EA">
        <w:rPr>
          <w:rFonts w:ascii="Verdana" w:hAnsi="Verdana"/>
          <w:sz w:val="22"/>
          <w:szCs w:val="22"/>
        </w:rPr>
        <w:t>En mérito de lo expuesto,</w:t>
      </w:r>
    </w:p>
    <w:p w14:paraId="74E0C4DC" w14:textId="77777777" w:rsidR="00885713" w:rsidRPr="001429EA" w:rsidRDefault="00885713" w:rsidP="001429EA">
      <w:pPr>
        <w:jc w:val="center"/>
        <w:rPr>
          <w:rFonts w:ascii="Verdana" w:hAnsi="Verdana"/>
          <w:b/>
          <w:bCs/>
          <w:sz w:val="22"/>
          <w:szCs w:val="22"/>
        </w:rPr>
      </w:pPr>
      <w:r w:rsidRPr="001429EA">
        <w:rPr>
          <w:rFonts w:ascii="Verdana" w:hAnsi="Verdana"/>
          <w:b/>
          <w:bCs/>
          <w:sz w:val="22"/>
          <w:szCs w:val="22"/>
        </w:rPr>
        <w:t>RESUELVE:</w:t>
      </w:r>
    </w:p>
    <w:p w14:paraId="6DED1678" w14:textId="77777777" w:rsidR="00885713" w:rsidRPr="00885713" w:rsidRDefault="00885713" w:rsidP="00885713">
      <w:pPr>
        <w:rPr>
          <w:rFonts w:ascii="Verdana" w:hAnsi="Verdana"/>
          <w:sz w:val="22"/>
          <w:szCs w:val="22"/>
        </w:rPr>
      </w:pPr>
    </w:p>
    <w:p w14:paraId="48114147" w14:textId="7EDD9836" w:rsidR="00885713" w:rsidRPr="00885713" w:rsidRDefault="00885713" w:rsidP="00885713">
      <w:pPr>
        <w:rPr>
          <w:rFonts w:ascii="Verdana" w:hAnsi="Verdana"/>
          <w:sz w:val="22"/>
          <w:szCs w:val="22"/>
        </w:rPr>
      </w:pPr>
      <w:r w:rsidRPr="001429EA">
        <w:rPr>
          <w:rFonts w:ascii="Verdana" w:hAnsi="Verdana"/>
          <w:b/>
          <w:bCs/>
          <w:sz w:val="22"/>
          <w:szCs w:val="22"/>
        </w:rPr>
        <w:lastRenderedPageBreak/>
        <w:t xml:space="preserve">ARTÍCULO </w:t>
      </w:r>
      <w:r w:rsidR="001429EA" w:rsidRPr="001429EA">
        <w:rPr>
          <w:rFonts w:ascii="Verdana" w:hAnsi="Verdana"/>
          <w:b/>
          <w:bCs/>
          <w:sz w:val="22"/>
          <w:szCs w:val="22"/>
        </w:rPr>
        <w:t>1o</w:t>
      </w:r>
      <w:r w:rsidRPr="001429EA">
        <w:rPr>
          <w:rFonts w:ascii="Verdana" w:hAnsi="Verdana"/>
          <w:b/>
          <w:bCs/>
          <w:sz w:val="22"/>
          <w:szCs w:val="22"/>
        </w:rPr>
        <w:t>.</w:t>
      </w:r>
      <w:r w:rsidRPr="00885713">
        <w:rPr>
          <w:rFonts w:ascii="Verdana" w:hAnsi="Verdana"/>
          <w:sz w:val="22"/>
          <w:szCs w:val="22"/>
        </w:rPr>
        <w:t xml:space="preserve"> Modificar el numeral </w:t>
      </w:r>
      <w:r w:rsidR="00EE7084">
        <w:rPr>
          <w:rFonts w:ascii="Verdana" w:hAnsi="Verdana"/>
          <w:sz w:val="22"/>
          <w:szCs w:val="22"/>
        </w:rPr>
        <w:t>[</w:t>
      </w:r>
      <w:r w:rsidRPr="00885713">
        <w:rPr>
          <w:rFonts w:ascii="Verdana" w:hAnsi="Verdana"/>
          <w:sz w:val="22"/>
          <w:szCs w:val="22"/>
        </w:rPr>
        <w:t>sic, 3</w:t>
      </w:r>
      <w:r w:rsidR="00EE7084">
        <w:rPr>
          <w:rFonts w:ascii="Verdana" w:hAnsi="Verdana"/>
          <w:sz w:val="22"/>
          <w:szCs w:val="22"/>
        </w:rPr>
        <w:t>]</w:t>
      </w:r>
      <w:r w:rsidRPr="00885713">
        <w:rPr>
          <w:rFonts w:ascii="Verdana" w:hAnsi="Verdana"/>
          <w:sz w:val="22"/>
          <w:szCs w:val="22"/>
        </w:rPr>
        <w:t xml:space="preserve"> segundo del artículo cuarto de la resolución 4670 de 2009 - Delegación, el cual quedará así:</w:t>
      </w:r>
    </w:p>
    <w:p w14:paraId="4131C59C" w14:textId="79AEA138" w:rsidR="00885713" w:rsidRPr="00885713" w:rsidRDefault="00885713" w:rsidP="00EE7084">
      <w:pPr>
        <w:ind w:left="708"/>
        <w:rPr>
          <w:rFonts w:ascii="Verdana" w:hAnsi="Verdana"/>
          <w:sz w:val="22"/>
          <w:szCs w:val="22"/>
        </w:rPr>
      </w:pPr>
      <w:r w:rsidRPr="00885713">
        <w:rPr>
          <w:rFonts w:ascii="Verdana" w:hAnsi="Verdana"/>
          <w:sz w:val="22"/>
          <w:szCs w:val="22"/>
        </w:rPr>
        <w:t xml:space="preserve">2. </w:t>
      </w:r>
      <w:r w:rsidR="00EE7084">
        <w:rPr>
          <w:rFonts w:ascii="Verdana" w:hAnsi="Verdana"/>
          <w:sz w:val="22"/>
          <w:szCs w:val="22"/>
        </w:rPr>
        <w:t>[</w:t>
      </w:r>
      <w:r w:rsidRPr="00885713">
        <w:rPr>
          <w:rFonts w:ascii="Verdana" w:hAnsi="Verdana"/>
          <w:sz w:val="22"/>
          <w:szCs w:val="22"/>
        </w:rPr>
        <w:t>sic, 3</w:t>
      </w:r>
      <w:r w:rsidR="00EE7084">
        <w:rPr>
          <w:rFonts w:ascii="Verdana" w:hAnsi="Verdana"/>
          <w:sz w:val="22"/>
          <w:szCs w:val="22"/>
        </w:rPr>
        <w:t>]</w:t>
      </w:r>
      <w:r w:rsidRPr="00885713">
        <w:rPr>
          <w:rFonts w:ascii="Verdana" w:hAnsi="Verdana"/>
          <w:sz w:val="22"/>
          <w:szCs w:val="22"/>
        </w:rPr>
        <w:t xml:space="preserve"> EN LA DIRECCIÓN DE PREVENCIÓN:</w:t>
      </w:r>
    </w:p>
    <w:p w14:paraId="40E03878" w14:textId="3E903A03" w:rsidR="00885713" w:rsidRPr="00885713" w:rsidRDefault="00885713" w:rsidP="00EE7084">
      <w:pPr>
        <w:ind w:left="708"/>
        <w:rPr>
          <w:rFonts w:ascii="Verdana" w:hAnsi="Verdana"/>
          <w:sz w:val="22"/>
          <w:szCs w:val="22"/>
        </w:rPr>
      </w:pPr>
      <w:r w:rsidRPr="00885713">
        <w:rPr>
          <w:rFonts w:ascii="Verdana" w:hAnsi="Verdana"/>
          <w:sz w:val="22"/>
          <w:szCs w:val="22"/>
        </w:rPr>
        <w:t>a. Adelantar procesos de selección y celebrar contratos o convenios financiados con recursos de los proyectos y subproyectos de inversión a cargo de las Direcciones de Prevención, Protección y Dirección del Sistema Nacional de Bienestar Familiar, incluido el de aporte, hasta por cuantía de 10.000 SMLMV, sin perjuicio de las competencias que se asignan a los Directores Regionales o Seccionales.</w:t>
      </w:r>
    </w:p>
    <w:p w14:paraId="45E9C7EF" w14:textId="2555BC8D" w:rsidR="00885713" w:rsidRPr="00885713" w:rsidRDefault="00885713" w:rsidP="00885713">
      <w:pPr>
        <w:rPr>
          <w:rFonts w:ascii="Verdana" w:hAnsi="Verdana"/>
          <w:sz w:val="22"/>
          <w:szCs w:val="22"/>
        </w:rPr>
      </w:pPr>
      <w:r w:rsidRPr="00EE7084">
        <w:rPr>
          <w:rFonts w:ascii="Verdana" w:hAnsi="Verdana"/>
          <w:b/>
          <w:bCs/>
          <w:sz w:val="22"/>
          <w:szCs w:val="22"/>
        </w:rPr>
        <w:t xml:space="preserve">ARTÍCULO </w:t>
      </w:r>
      <w:r w:rsidR="00EE7084" w:rsidRPr="00EE7084">
        <w:rPr>
          <w:rFonts w:ascii="Verdana" w:hAnsi="Verdana"/>
          <w:b/>
          <w:bCs/>
          <w:sz w:val="22"/>
          <w:szCs w:val="22"/>
        </w:rPr>
        <w:t>4o</w:t>
      </w:r>
      <w:r w:rsidRPr="00EE7084">
        <w:rPr>
          <w:rFonts w:ascii="Verdana" w:hAnsi="Verdana"/>
          <w:b/>
          <w:bCs/>
          <w:sz w:val="22"/>
          <w:szCs w:val="22"/>
        </w:rPr>
        <w:t xml:space="preserve">. </w:t>
      </w:r>
      <w:r w:rsidR="00EE7084" w:rsidRPr="00EE7084">
        <w:rPr>
          <w:rFonts w:ascii="Verdana" w:hAnsi="Verdana"/>
          <w:b/>
          <w:bCs/>
          <w:sz w:val="22"/>
          <w:szCs w:val="22"/>
        </w:rPr>
        <w:t>[</w:t>
      </w:r>
      <w:r w:rsidRPr="00EE7084">
        <w:rPr>
          <w:rFonts w:ascii="Verdana" w:hAnsi="Verdana"/>
          <w:b/>
          <w:bCs/>
          <w:sz w:val="22"/>
          <w:szCs w:val="22"/>
        </w:rPr>
        <w:t>sic, es 4</w:t>
      </w:r>
      <w:r w:rsidR="00EE7084" w:rsidRPr="00EE7084">
        <w:rPr>
          <w:rFonts w:ascii="Verdana" w:hAnsi="Verdana"/>
          <w:b/>
          <w:bCs/>
          <w:sz w:val="22"/>
          <w:szCs w:val="22"/>
        </w:rPr>
        <w:t>]</w:t>
      </w:r>
      <w:r w:rsidRPr="00EE7084">
        <w:rPr>
          <w:rFonts w:ascii="Verdana" w:hAnsi="Verdana"/>
          <w:b/>
          <w:bCs/>
          <w:sz w:val="22"/>
          <w:szCs w:val="22"/>
        </w:rPr>
        <w:t xml:space="preserve">. VIGENCIA. </w:t>
      </w:r>
      <w:r w:rsidR="00EE7084">
        <w:rPr>
          <w:rFonts w:ascii="Verdana" w:hAnsi="Verdana"/>
          <w:sz w:val="22"/>
          <w:szCs w:val="22"/>
        </w:rPr>
        <w:t>[</w:t>
      </w:r>
      <w:r w:rsidRPr="00885713">
        <w:rPr>
          <w:rFonts w:ascii="Verdana" w:hAnsi="Verdana"/>
          <w:sz w:val="22"/>
          <w:szCs w:val="22"/>
        </w:rPr>
        <w:t>Resolución 4670 de 2009 derogada por el artículo 47 de la Resolución 2111 de 2011</w:t>
      </w:r>
      <w:r w:rsidR="00EE7084">
        <w:rPr>
          <w:rFonts w:ascii="Verdana" w:hAnsi="Verdana"/>
          <w:sz w:val="22"/>
          <w:szCs w:val="22"/>
        </w:rPr>
        <w:t>]</w:t>
      </w:r>
      <w:r w:rsidRPr="00885713">
        <w:rPr>
          <w:rFonts w:ascii="Verdana" w:hAnsi="Verdana"/>
          <w:sz w:val="22"/>
          <w:szCs w:val="22"/>
        </w:rPr>
        <w:t xml:space="preserve"> El presente acto rige a partir de la fecha de su expedición y deroga las normas que le sean contrarias.</w:t>
      </w:r>
    </w:p>
    <w:p w14:paraId="670BDFD7" w14:textId="6ADF996A" w:rsidR="00885713" w:rsidRPr="00EE7084" w:rsidRDefault="00885713" w:rsidP="00EE7084">
      <w:pPr>
        <w:jc w:val="center"/>
        <w:rPr>
          <w:rFonts w:ascii="Verdana" w:hAnsi="Verdana"/>
          <w:b/>
          <w:bCs/>
          <w:sz w:val="22"/>
          <w:szCs w:val="22"/>
        </w:rPr>
      </w:pPr>
      <w:r w:rsidRPr="00EE7084">
        <w:rPr>
          <w:rFonts w:ascii="Verdana" w:hAnsi="Verdana"/>
          <w:b/>
          <w:bCs/>
          <w:sz w:val="22"/>
          <w:szCs w:val="22"/>
        </w:rPr>
        <w:t>PUBLÍQUESE, COMUNÍQUESE Y CÚMPLASE</w:t>
      </w:r>
      <w:r w:rsidR="00EE7084" w:rsidRPr="00EE7084">
        <w:rPr>
          <w:rFonts w:ascii="Verdana" w:hAnsi="Verdana"/>
          <w:b/>
          <w:bCs/>
          <w:sz w:val="22"/>
          <w:szCs w:val="22"/>
        </w:rPr>
        <w:t>,</w:t>
      </w:r>
    </w:p>
    <w:p w14:paraId="3CA024D2" w14:textId="3D404CB4" w:rsidR="00885713" w:rsidRPr="00885713" w:rsidRDefault="00885713" w:rsidP="00EE7084">
      <w:pPr>
        <w:jc w:val="center"/>
        <w:rPr>
          <w:rFonts w:ascii="Verdana" w:hAnsi="Verdana"/>
          <w:sz w:val="22"/>
          <w:szCs w:val="22"/>
        </w:rPr>
      </w:pPr>
      <w:r w:rsidRPr="00885713">
        <w:rPr>
          <w:rFonts w:ascii="Verdana" w:hAnsi="Verdana"/>
          <w:sz w:val="22"/>
          <w:szCs w:val="22"/>
        </w:rPr>
        <w:t xml:space="preserve">Dada en Bogotá, D. C., a los 28 </w:t>
      </w:r>
      <w:r w:rsidR="00EE7084">
        <w:rPr>
          <w:rFonts w:ascii="Verdana" w:hAnsi="Verdana"/>
          <w:sz w:val="22"/>
          <w:szCs w:val="22"/>
        </w:rPr>
        <w:t xml:space="preserve">días del mes de enero de </w:t>
      </w:r>
      <w:r w:rsidRPr="00885713">
        <w:rPr>
          <w:rFonts w:ascii="Verdana" w:hAnsi="Verdana"/>
          <w:sz w:val="22"/>
          <w:szCs w:val="22"/>
        </w:rPr>
        <w:t>2010</w:t>
      </w:r>
    </w:p>
    <w:p w14:paraId="3F93870E" w14:textId="39293F94" w:rsidR="00885713" w:rsidRPr="00EE7084" w:rsidRDefault="00885713" w:rsidP="00EE7084">
      <w:pPr>
        <w:jc w:val="center"/>
        <w:rPr>
          <w:rFonts w:ascii="Verdana" w:hAnsi="Verdana"/>
          <w:b/>
          <w:bCs/>
          <w:sz w:val="22"/>
          <w:szCs w:val="22"/>
        </w:rPr>
      </w:pPr>
      <w:r w:rsidRPr="00EE7084">
        <w:rPr>
          <w:rFonts w:ascii="Verdana" w:hAnsi="Verdana"/>
          <w:b/>
          <w:bCs/>
          <w:sz w:val="22"/>
          <w:szCs w:val="22"/>
        </w:rPr>
        <w:t>ELVIRA FORERO HERNÁNDEZ</w:t>
      </w:r>
    </w:p>
    <w:p w14:paraId="19B104D2" w14:textId="5E412648" w:rsidR="00885713" w:rsidRPr="00885713" w:rsidRDefault="00EE7084" w:rsidP="00EE7084">
      <w:pPr>
        <w:jc w:val="center"/>
        <w:rPr>
          <w:rFonts w:ascii="Verdana" w:hAnsi="Verdana"/>
          <w:sz w:val="22"/>
          <w:szCs w:val="22"/>
        </w:rPr>
      </w:pPr>
      <w:r w:rsidRPr="00885713">
        <w:rPr>
          <w:rFonts w:ascii="Verdana" w:hAnsi="Verdana"/>
          <w:sz w:val="22"/>
          <w:szCs w:val="22"/>
        </w:rPr>
        <w:t>DIRECTORA GENERAL</w:t>
      </w:r>
    </w:p>
    <w:p w14:paraId="6117C7C9" w14:textId="4E0212AD" w:rsidR="00885713" w:rsidRPr="00885713" w:rsidRDefault="00885713" w:rsidP="00885713">
      <w:pPr>
        <w:rPr>
          <w:rFonts w:ascii="Verdana" w:hAnsi="Verdana"/>
          <w:sz w:val="22"/>
          <w:szCs w:val="22"/>
        </w:rPr>
      </w:pPr>
    </w:p>
    <w:sectPr w:rsidR="00885713" w:rsidRPr="0088571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06F1D"/>
    <w:multiLevelType w:val="hybridMultilevel"/>
    <w:tmpl w:val="D1A66E4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77690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F2B"/>
    <w:rsid w:val="001429EA"/>
    <w:rsid w:val="00243CB4"/>
    <w:rsid w:val="002C5A87"/>
    <w:rsid w:val="003400CD"/>
    <w:rsid w:val="005A3CDB"/>
    <w:rsid w:val="00885713"/>
    <w:rsid w:val="00997F2B"/>
    <w:rsid w:val="00A724C4"/>
    <w:rsid w:val="00B03B2C"/>
    <w:rsid w:val="00B11A06"/>
    <w:rsid w:val="00BB5C30"/>
    <w:rsid w:val="00BC68C0"/>
    <w:rsid w:val="00DF646E"/>
    <w:rsid w:val="00EE2561"/>
    <w:rsid w:val="00EE708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70279"/>
  <w15:chartTrackingRefBased/>
  <w15:docId w15:val="{A1F05707-43D7-4240-A7A7-4F708364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46E"/>
    <w:pPr>
      <w:spacing w:line="240" w:lineRule="auto"/>
      <w:jc w:val="both"/>
    </w:pPr>
    <w:rPr>
      <w:rFonts w:ascii="Arial" w:hAnsi="Arial" w:cs="Arial"/>
    </w:rPr>
  </w:style>
  <w:style w:type="paragraph" w:styleId="Ttulo1">
    <w:name w:val="heading 1"/>
    <w:basedOn w:val="Normal"/>
    <w:next w:val="Normal"/>
    <w:link w:val="Ttulo1Car"/>
    <w:uiPriority w:val="9"/>
    <w:qFormat/>
    <w:rsid w:val="00997F2B"/>
    <w:pPr>
      <w:keepNext/>
      <w:keepLines/>
      <w:spacing w:before="360" w:after="80" w:line="278" w:lineRule="auto"/>
      <w:jc w:val="left"/>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97F2B"/>
    <w:pPr>
      <w:keepNext/>
      <w:keepLines/>
      <w:spacing w:before="160" w:after="80" w:line="278" w:lineRule="auto"/>
      <w:jc w:val="left"/>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97F2B"/>
    <w:pPr>
      <w:keepNext/>
      <w:keepLines/>
      <w:spacing w:before="160" w:after="80" w:line="278" w:lineRule="auto"/>
      <w:jc w:val="left"/>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97F2B"/>
    <w:pPr>
      <w:keepNext/>
      <w:keepLines/>
      <w:spacing w:before="80" w:after="40" w:line="278" w:lineRule="auto"/>
      <w:jc w:val="left"/>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997F2B"/>
    <w:pPr>
      <w:keepNext/>
      <w:keepLines/>
      <w:spacing w:before="80" w:after="40" w:line="278" w:lineRule="auto"/>
      <w:jc w:val="left"/>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997F2B"/>
    <w:pPr>
      <w:keepNext/>
      <w:keepLines/>
      <w:spacing w:before="40" w:after="0" w:line="278" w:lineRule="auto"/>
      <w:jc w:val="left"/>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997F2B"/>
    <w:pPr>
      <w:keepNext/>
      <w:keepLines/>
      <w:spacing w:before="40" w:after="0" w:line="278" w:lineRule="auto"/>
      <w:jc w:val="left"/>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997F2B"/>
    <w:pPr>
      <w:keepNext/>
      <w:keepLines/>
      <w:spacing w:after="0" w:line="278" w:lineRule="auto"/>
      <w:jc w:val="left"/>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997F2B"/>
    <w:pPr>
      <w:keepNext/>
      <w:keepLines/>
      <w:spacing w:after="0" w:line="278" w:lineRule="auto"/>
      <w:jc w:val="left"/>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97F2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97F2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97F2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97F2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97F2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97F2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97F2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97F2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97F2B"/>
    <w:rPr>
      <w:rFonts w:eastAsiaTheme="majorEastAsia" w:cstheme="majorBidi"/>
      <w:color w:val="272727" w:themeColor="text1" w:themeTint="D8"/>
    </w:rPr>
  </w:style>
  <w:style w:type="paragraph" w:styleId="Ttulo">
    <w:name w:val="Title"/>
    <w:basedOn w:val="Normal"/>
    <w:next w:val="Normal"/>
    <w:link w:val="TtuloCar"/>
    <w:uiPriority w:val="10"/>
    <w:qFormat/>
    <w:rsid w:val="00997F2B"/>
    <w:pPr>
      <w:spacing w:after="80"/>
      <w:contextualSpacing/>
      <w:jc w:val="left"/>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97F2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97F2B"/>
    <w:pPr>
      <w:numPr>
        <w:ilvl w:val="1"/>
      </w:numPr>
      <w:spacing w:line="278"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97F2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97F2B"/>
    <w:pPr>
      <w:spacing w:before="160" w:line="278" w:lineRule="auto"/>
      <w:jc w:val="center"/>
    </w:pPr>
    <w:rPr>
      <w:rFonts w:asciiTheme="minorHAnsi" w:hAnsiTheme="minorHAnsi" w:cstheme="minorBidi"/>
      <w:i/>
      <w:iCs/>
      <w:color w:val="404040" w:themeColor="text1" w:themeTint="BF"/>
    </w:rPr>
  </w:style>
  <w:style w:type="character" w:customStyle="1" w:styleId="CitaCar">
    <w:name w:val="Cita Car"/>
    <w:basedOn w:val="Fuentedeprrafopredeter"/>
    <w:link w:val="Cita"/>
    <w:uiPriority w:val="29"/>
    <w:rsid w:val="00997F2B"/>
    <w:rPr>
      <w:i/>
      <w:iCs/>
      <w:color w:val="404040" w:themeColor="text1" w:themeTint="BF"/>
    </w:rPr>
  </w:style>
  <w:style w:type="paragraph" w:styleId="Prrafodelista">
    <w:name w:val="List Paragraph"/>
    <w:basedOn w:val="Normal"/>
    <w:uiPriority w:val="34"/>
    <w:qFormat/>
    <w:rsid w:val="00997F2B"/>
    <w:pPr>
      <w:spacing w:line="278" w:lineRule="auto"/>
      <w:ind w:left="720"/>
      <w:contextualSpacing/>
      <w:jc w:val="left"/>
    </w:pPr>
    <w:rPr>
      <w:rFonts w:asciiTheme="minorHAnsi" w:hAnsiTheme="minorHAnsi" w:cstheme="minorBidi"/>
    </w:rPr>
  </w:style>
  <w:style w:type="character" w:styleId="nfasisintenso">
    <w:name w:val="Intense Emphasis"/>
    <w:basedOn w:val="Fuentedeprrafopredeter"/>
    <w:uiPriority w:val="21"/>
    <w:qFormat/>
    <w:rsid w:val="00997F2B"/>
    <w:rPr>
      <w:i/>
      <w:iCs/>
      <w:color w:val="0F4761" w:themeColor="accent1" w:themeShade="BF"/>
    </w:rPr>
  </w:style>
  <w:style w:type="paragraph" w:styleId="Citadestacada">
    <w:name w:val="Intense Quote"/>
    <w:basedOn w:val="Normal"/>
    <w:next w:val="Normal"/>
    <w:link w:val="CitadestacadaCar"/>
    <w:uiPriority w:val="30"/>
    <w:qFormat/>
    <w:rsid w:val="00997F2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rPr>
  </w:style>
  <w:style w:type="character" w:customStyle="1" w:styleId="CitadestacadaCar">
    <w:name w:val="Cita destacada Car"/>
    <w:basedOn w:val="Fuentedeprrafopredeter"/>
    <w:link w:val="Citadestacada"/>
    <w:uiPriority w:val="30"/>
    <w:rsid w:val="00997F2B"/>
    <w:rPr>
      <w:i/>
      <w:iCs/>
      <w:color w:val="0F4761" w:themeColor="accent1" w:themeShade="BF"/>
    </w:rPr>
  </w:style>
  <w:style w:type="character" w:styleId="Referenciaintensa">
    <w:name w:val="Intense Reference"/>
    <w:basedOn w:val="Fuentedeprrafopredeter"/>
    <w:uiPriority w:val="32"/>
    <w:qFormat/>
    <w:rsid w:val="00997F2B"/>
    <w:rPr>
      <w:b/>
      <w:bCs/>
      <w:smallCaps/>
      <w:color w:val="0F4761" w:themeColor="accent1" w:themeShade="BF"/>
      <w:spacing w:val="5"/>
    </w:rPr>
  </w:style>
  <w:style w:type="table" w:styleId="Tablaconcuadrcula">
    <w:name w:val="Table Grid"/>
    <w:basedOn w:val="Tablanormal"/>
    <w:uiPriority w:val="39"/>
    <w:rsid w:val="00DF646E"/>
    <w:pPr>
      <w:spacing w:after="0" w:line="240" w:lineRule="auto"/>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A3CDB"/>
    <w:pPr>
      <w:spacing w:after="0" w:line="240" w:lineRule="auto"/>
      <w:jc w:val="both"/>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FB48E6-C3C0-4D16-90F7-A4A81BCDE8EF}"/>
</file>

<file path=customXml/itemProps2.xml><?xml version="1.0" encoding="utf-8"?>
<ds:datastoreItem xmlns:ds="http://schemas.openxmlformats.org/officeDocument/2006/customXml" ds:itemID="{87042D48-1032-4ABE-9931-BCDADD54F65C}"/>
</file>

<file path=customXml/itemProps3.xml><?xml version="1.0" encoding="utf-8"?>
<ds:datastoreItem xmlns:ds="http://schemas.openxmlformats.org/officeDocument/2006/customXml" ds:itemID="{061B00EA-B91A-4487-BF99-A2C9769A510A}"/>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2323</Characters>
  <Application>Microsoft Office Word</Application>
  <DocSecurity>0</DocSecurity>
  <Lines>55</Lines>
  <Paragraphs>28</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2025-12-05T19:16:00Z</dcterms:created>
  <dcterms:modified xsi:type="dcterms:W3CDTF">2026-01-23T20:00:00Z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