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13C9" w14:textId="77777777" w:rsidR="00EF7C3D" w:rsidRPr="00EF7C3D" w:rsidRDefault="00EF7C3D" w:rsidP="00EF7C3D">
      <w:pPr>
        <w:jc w:val="center"/>
        <w:rPr>
          <w:rFonts w:ascii="Verdana" w:hAnsi="Verdana"/>
          <w:sz w:val="22"/>
          <w:szCs w:val="22"/>
        </w:rPr>
      </w:pPr>
      <w:r w:rsidRPr="00EF7C3D">
        <w:rPr>
          <w:rFonts w:ascii="Verdana" w:hAnsi="Verdana"/>
          <w:b/>
          <w:bCs/>
          <w:sz w:val="22"/>
          <w:szCs w:val="22"/>
        </w:rPr>
        <w:t>RESOLUCIÓN 3858 DE 2007</w:t>
      </w:r>
    </w:p>
    <w:p w14:paraId="272F8413" w14:textId="77777777" w:rsidR="00EF7C3D" w:rsidRPr="00EF7C3D" w:rsidRDefault="00EF7C3D" w:rsidP="00EF7C3D">
      <w:pPr>
        <w:pStyle w:val="Sinespaciado"/>
        <w:jc w:val="left"/>
        <w:rPr>
          <w:sz w:val="20"/>
          <w:szCs w:val="20"/>
        </w:rPr>
      </w:pPr>
      <w:r w:rsidRPr="00EF7C3D">
        <w:rPr>
          <w:sz w:val="20"/>
          <w:szCs w:val="20"/>
        </w:rPr>
        <w:t>Fecha de Expedición: 31 de diciembre de 2007</w:t>
      </w:r>
    </w:p>
    <w:p w14:paraId="64EA9368" w14:textId="77777777" w:rsidR="00EF7C3D" w:rsidRPr="00EF7C3D" w:rsidRDefault="00EF7C3D" w:rsidP="00EF7C3D">
      <w:pPr>
        <w:pStyle w:val="Sinespaciado"/>
        <w:jc w:val="left"/>
        <w:rPr>
          <w:sz w:val="20"/>
          <w:szCs w:val="20"/>
        </w:rPr>
      </w:pPr>
      <w:r w:rsidRPr="00EF7C3D">
        <w:rPr>
          <w:sz w:val="20"/>
          <w:szCs w:val="20"/>
        </w:rPr>
        <w:t xml:space="preserve">Fecha de entrada en vigencia: 21 de julio de 2009 </w:t>
      </w:r>
    </w:p>
    <w:p w14:paraId="624CD843" w14:textId="77777777" w:rsidR="00EF7C3D" w:rsidRDefault="00EF7C3D" w:rsidP="00EF7C3D">
      <w:pPr>
        <w:pStyle w:val="Sinespaciado"/>
        <w:jc w:val="left"/>
        <w:rPr>
          <w:sz w:val="20"/>
          <w:szCs w:val="20"/>
        </w:rPr>
      </w:pPr>
      <w:r w:rsidRPr="00EF7C3D">
        <w:rPr>
          <w:sz w:val="20"/>
          <w:szCs w:val="20"/>
        </w:rPr>
        <w:t>Estado de la vigencia: derogada por la Resolución 6054 de 2010</w:t>
      </w:r>
      <w:r w:rsidRPr="00EF7C3D">
        <w:rPr>
          <w:sz w:val="20"/>
          <w:szCs w:val="20"/>
        </w:rPr>
        <w:tab/>
      </w:r>
    </w:p>
    <w:p w14:paraId="6CE161A9" w14:textId="77777777" w:rsidR="00EF7C3D" w:rsidRDefault="00EF7C3D" w:rsidP="00EF7C3D">
      <w:pPr>
        <w:pStyle w:val="Sinespaciado"/>
        <w:jc w:val="left"/>
        <w:rPr>
          <w:sz w:val="20"/>
          <w:szCs w:val="20"/>
        </w:rPr>
      </w:pPr>
    </w:p>
    <w:p w14:paraId="1625FA10" w14:textId="39116F23" w:rsidR="00EF7C3D" w:rsidRPr="00EF7C3D" w:rsidRDefault="00EF7C3D" w:rsidP="00EF7C3D">
      <w:pPr>
        <w:pStyle w:val="Sinespaciado"/>
        <w:jc w:val="left"/>
        <w:rPr>
          <w:sz w:val="20"/>
          <w:szCs w:val="20"/>
        </w:rPr>
      </w:pPr>
      <w:r w:rsidRPr="00EF7C3D">
        <w:rPr>
          <w:sz w:val="20"/>
          <w:szCs w:val="20"/>
        </w:rPr>
        <w:t>Fecha de publicación en Diario Oficial: 21 de julio de 2009</w:t>
      </w:r>
    </w:p>
    <w:p w14:paraId="7F430106" w14:textId="49F70643" w:rsidR="0088588F" w:rsidRDefault="00EF7C3D" w:rsidP="00EF7C3D">
      <w:pPr>
        <w:pStyle w:val="Sinespaciado"/>
        <w:jc w:val="left"/>
        <w:rPr>
          <w:sz w:val="20"/>
          <w:szCs w:val="20"/>
        </w:rPr>
      </w:pPr>
      <w:r w:rsidRPr="00EF7C3D">
        <w:rPr>
          <w:sz w:val="20"/>
          <w:szCs w:val="20"/>
        </w:rPr>
        <w:t>Número del Diario Oficial: 47.417</w:t>
      </w:r>
    </w:p>
    <w:p w14:paraId="67DD3BF2" w14:textId="77777777" w:rsidR="00EF7C3D" w:rsidRPr="00EF7C3D" w:rsidRDefault="00EF7C3D" w:rsidP="00EF7C3D">
      <w:pPr>
        <w:pStyle w:val="Sinespaciado"/>
        <w:jc w:val="left"/>
        <w:rPr>
          <w:sz w:val="20"/>
          <w:szCs w:val="20"/>
        </w:rPr>
      </w:pPr>
    </w:p>
    <w:p w14:paraId="44C25C37" w14:textId="77777777" w:rsidR="00EF7C3D" w:rsidRPr="00EF7C3D" w:rsidRDefault="00EF7C3D" w:rsidP="00EF7C3D">
      <w:pPr>
        <w:jc w:val="center"/>
        <w:rPr>
          <w:rFonts w:ascii="Verdana" w:hAnsi="Verdana"/>
          <w:sz w:val="22"/>
          <w:szCs w:val="22"/>
        </w:rPr>
      </w:pPr>
      <w:r w:rsidRPr="00EF7C3D">
        <w:rPr>
          <w:rFonts w:ascii="Verdana" w:hAnsi="Verdana"/>
          <w:b/>
          <w:bCs/>
          <w:sz w:val="22"/>
          <w:szCs w:val="22"/>
        </w:rPr>
        <w:t>RESOLUCIÓN 3858 DE 2007</w:t>
      </w:r>
    </w:p>
    <w:p w14:paraId="6F587CB3" w14:textId="77777777" w:rsidR="00EF7C3D" w:rsidRPr="00EF7C3D" w:rsidRDefault="00EF7C3D" w:rsidP="00EF7C3D">
      <w:pPr>
        <w:jc w:val="center"/>
        <w:rPr>
          <w:rFonts w:ascii="Verdana" w:hAnsi="Verdana"/>
          <w:sz w:val="22"/>
          <w:szCs w:val="22"/>
        </w:rPr>
      </w:pPr>
      <w:r w:rsidRPr="00EF7C3D">
        <w:rPr>
          <w:rFonts w:ascii="Verdana" w:hAnsi="Verdana"/>
          <w:sz w:val="22"/>
          <w:szCs w:val="22"/>
        </w:rPr>
        <w:t>(31 diciembre)</w:t>
      </w:r>
    </w:p>
    <w:p w14:paraId="2332CB38" w14:textId="77777777" w:rsidR="00EF7C3D" w:rsidRPr="00EF7C3D" w:rsidRDefault="00EF7C3D" w:rsidP="00EF7C3D">
      <w:pPr>
        <w:jc w:val="center"/>
        <w:rPr>
          <w:rFonts w:ascii="Verdana" w:hAnsi="Verdana"/>
          <w:sz w:val="22"/>
          <w:szCs w:val="22"/>
        </w:rPr>
      </w:pPr>
      <w:r w:rsidRPr="00EF7C3D">
        <w:rPr>
          <w:rFonts w:ascii="Verdana" w:hAnsi="Verdana"/>
          <w:b/>
          <w:bCs/>
          <w:sz w:val="22"/>
          <w:szCs w:val="22"/>
        </w:rPr>
        <w:t>INSTITUTO COLOMBIANO DE BIENESTAR FAMILIAR – ICBF</w:t>
      </w:r>
    </w:p>
    <w:p w14:paraId="3077E8FB" w14:textId="77777777" w:rsidR="00EF7C3D" w:rsidRPr="00EF7C3D" w:rsidRDefault="00EF7C3D" w:rsidP="00EF7C3D">
      <w:pPr>
        <w:jc w:val="center"/>
        <w:rPr>
          <w:rFonts w:ascii="Verdana" w:hAnsi="Verdana"/>
          <w:sz w:val="22"/>
          <w:szCs w:val="22"/>
        </w:rPr>
      </w:pPr>
      <w:r w:rsidRPr="00EF7C3D">
        <w:rPr>
          <w:rFonts w:ascii="Verdana" w:hAnsi="Verdana"/>
          <w:sz w:val="22"/>
          <w:szCs w:val="22"/>
        </w:rPr>
        <w:t>“Por la cual se actualizan los Lineamientos Técnico - Administrativos y Estándares para la Asistencia Alimentaria al Escolar -Programa de Alimentación Escolar – PAE”</w:t>
      </w:r>
    </w:p>
    <w:p w14:paraId="249CF052" w14:textId="77777777" w:rsidR="00EF7C3D" w:rsidRPr="00EF7C3D" w:rsidRDefault="00EF7C3D" w:rsidP="00EF7C3D">
      <w:pPr>
        <w:jc w:val="center"/>
        <w:rPr>
          <w:rFonts w:ascii="Verdana" w:hAnsi="Verdana"/>
          <w:sz w:val="22"/>
          <w:szCs w:val="22"/>
        </w:rPr>
      </w:pPr>
      <w:r w:rsidRPr="00EF7C3D">
        <w:rPr>
          <w:rFonts w:ascii="Verdana" w:hAnsi="Verdana"/>
          <w:b/>
          <w:bCs/>
          <w:sz w:val="22"/>
          <w:szCs w:val="22"/>
        </w:rPr>
        <w:t>LA DIRECTORA GENERAL DEL INSTITUTO COLOMBIANO DE BIENESTAR FAMILIAR</w:t>
      </w:r>
    </w:p>
    <w:p w14:paraId="33BC4CBD" w14:textId="6E6BC3EA" w:rsidR="00EF7C3D" w:rsidRPr="00EF7C3D" w:rsidRDefault="00EF7C3D" w:rsidP="00EF7C3D">
      <w:pPr>
        <w:jc w:val="center"/>
        <w:rPr>
          <w:rFonts w:ascii="Verdana" w:hAnsi="Verdana"/>
          <w:sz w:val="22"/>
          <w:szCs w:val="22"/>
        </w:rPr>
      </w:pPr>
      <w:r w:rsidRPr="00EF7C3D">
        <w:rPr>
          <w:rFonts w:ascii="Verdana" w:hAnsi="Verdana"/>
          <w:sz w:val="22"/>
          <w:szCs w:val="22"/>
        </w:rPr>
        <w:t>En uso de sus facultades legales y estatutarias, en especial las conferidas en el Artículo 78 de la Ley 489 de 1998 y la Ley 1098 de 2006, y,</w:t>
      </w:r>
    </w:p>
    <w:p w14:paraId="59D8BC0F" w14:textId="77777777" w:rsidR="00EF7C3D" w:rsidRPr="00EF7C3D" w:rsidRDefault="00EF7C3D" w:rsidP="00EF7C3D">
      <w:pPr>
        <w:jc w:val="center"/>
        <w:rPr>
          <w:rFonts w:ascii="Verdana" w:hAnsi="Verdana"/>
          <w:sz w:val="22"/>
          <w:szCs w:val="22"/>
        </w:rPr>
      </w:pPr>
      <w:r w:rsidRPr="00EF7C3D">
        <w:rPr>
          <w:rFonts w:ascii="Verdana" w:hAnsi="Verdana"/>
          <w:b/>
          <w:bCs/>
          <w:sz w:val="22"/>
          <w:szCs w:val="22"/>
        </w:rPr>
        <w:t>CONSIDERANDO:</w:t>
      </w:r>
    </w:p>
    <w:p w14:paraId="6AB37DA3" w14:textId="3355DF61" w:rsidR="00EF7C3D" w:rsidRPr="00EF7C3D" w:rsidRDefault="00EF7C3D" w:rsidP="00EF7C3D">
      <w:pPr>
        <w:rPr>
          <w:rFonts w:ascii="Verdana" w:hAnsi="Verdana"/>
          <w:sz w:val="22"/>
          <w:szCs w:val="22"/>
        </w:rPr>
      </w:pPr>
      <w:r w:rsidRPr="00EF7C3D">
        <w:rPr>
          <w:rFonts w:ascii="Verdana" w:hAnsi="Verdana"/>
          <w:sz w:val="22"/>
          <w:szCs w:val="22"/>
        </w:rPr>
        <w:t>Que de acuerdo con el Decreto 3264 del 30 de diciembre de 2002, la subdirección de Lineamientos y Estándares es la dependencia encargada de coordinar el diseño de lineamientos y estándares que sean necesarios para la prestación del Servicio Público de Bienestar Familiar.</w:t>
      </w:r>
    </w:p>
    <w:p w14:paraId="02E7CF87" w14:textId="77777777" w:rsidR="00EF7C3D" w:rsidRPr="00EF7C3D" w:rsidRDefault="00EF7C3D" w:rsidP="00EF7C3D">
      <w:pPr>
        <w:rPr>
          <w:rFonts w:ascii="Verdana" w:hAnsi="Verdana"/>
          <w:sz w:val="22"/>
          <w:szCs w:val="22"/>
        </w:rPr>
      </w:pPr>
      <w:r w:rsidRPr="00EF7C3D">
        <w:rPr>
          <w:rFonts w:ascii="Verdana" w:hAnsi="Verdana"/>
          <w:sz w:val="22"/>
          <w:szCs w:val="22"/>
        </w:rPr>
        <w:t>Que para la Asistencia Alimentaria al Escolar es necesario establecer elementos conceptuales y metodológicos para orientar la atención del programa de alimentación escolar a nivel territorial, a través del establecimiento de lineamientos y estándares.</w:t>
      </w:r>
    </w:p>
    <w:p w14:paraId="12112472" w14:textId="44BA10E3" w:rsidR="00EF7C3D" w:rsidRPr="00EF7C3D" w:rsidRDefault="00EF7C3D" w:rsidP="00EF7C3D">
      <w:pPr>
        <w:rPr>
          <w:rFonts w:ascii="Verdana" w:hAnsi="Verdana"/>
          <w:sz w:val="22"/>
          <w:szCs w:val="22"/>
        </w:rPr>
      </w:pPr>
      <w:r w:rsidRPr="00EF7C3D">
        <w:rPr>
          <w:rFonts w:ascii="Verdana" w:hAnsi="Verdana"/>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36AFD7F3" w14:textId="60BC2F7C" w:rsidR="00EF7C3D" w:rsidRPr="00EF7C3D" w:rsidRDefault="00EF7C3D" w:rsidP="00EF7C3D">
      <w:pPr>
        <w:rPr>
          <w:rFonts w:ascii="Verdana" w:hAnsi="Verdana"/>
          <w:sz w:val="22"/>
          <w:szCs w:val="22"/>
        </w:rPr>
      </w:pPr>
      <w:r w:rsidRPr="00EF7C3D">
        <w:rPr>
          <w:rFonts w:ascii="Verdana" w:hAnsi="Verdana"/>
          <w:sz w:val="22"/>
          <w:szCs w:val="22"/>
        </w:rPr>
        <w:t>Que el Código de la Infancia y la Adolescencia (Ley 1098 de 2006) establece en su Artículo 11</w:t>
      </w:r>
      <w:r w:rsidRPr="00EF7C3D">
        <w:rPr>
          <w:rFonts w:ascii="Verdana" w:hAnsi="Verdana"/>
          <w:i/>
          <w:iCs/>
          <w:sz w:val="22"/>
          <w:szCs w:val="22"/>
        </w:rPr>
        <w:t>, </w:t>
      </w:r>
      <w:r w:rsidRPr="00EF7C3D">
        <w:rPr>
          <w:rFonts w:ascii="Verdana" w:hAnsi="Verdana"/>
          <w:sz w:val="22"/>
          <w:szCs w:val="22"/>
        </w:rPr>
        <w:t>parágrafo único,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niñas y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12FC480B" w14:textId="79916F89" w:rsidR="00EF7C3D" w:rsidRPr="00EF7C3D" w:rsidRDefault="00EF7C3D" w:rsidP="00EF7C3D">
      <w:pPr>
        <w:rPr>
          <w:rFonts w:ascii="Verdana" w:hAnsi="Verdana"/>
          <w:sz w:val="22"/>
          <w:szCs w:val="22"/>
        </w:rPr>
      </w:pPr>
      <w:r w:rsidRPr="00EF7C3D">
        <w:rPr>
          <w:rFonts w:ascii="Verdana" w:hAnsi="Verdana"/>
          <w:sz w:val="22"/>
          <w:szCs w:val="22"/>
        </w:rPr>
        <w:lastRenderedPageBreak/>
        <w:t>Que la Ley 1176 del 27 de diciembre de 2007, por la cual se desarrollan los Artículos 356 y 357 de la Constitución Política y se dictan otras disposiciones, establece en su Artículo 16 que “El programa de alimentación escolar se financiará con recursos de diferentes fuentes. Para el efecto, las entidades territoriales seguirán y aplicarán, en primer término, los lineamientos técnico-administrativos básicos respecto de la complementación alimentaria, los estándares de alimentación, de planta física, de equipo y menaje y de recurso humano, y las condiciones para la prestación del servicio, que establezca el Instituto Colombiano de Bienestar Familiar (ICBF) para el desarrollo del programa. Adicionalmente, considerarán los lineamientos previstos en sus planes de desarrollo. El Instituto Colombiano de Bienestar Familiar articulará las acciones que desarrollen los diferentes agentes para la ejecución de este programa (...).“</w:t>
      </w:r>
    </w:p>
    <w:p w14:paraId="73647B66" w14:textId="0614DF42" w:rsidR="00EF7C3D" w:rsidRPr="00EF7C3D" w:rsidRDefault="00EF7C3D" w:rsidP="00EF7C3D">
      <w:pPr>
        <w:rPr>
          <w:rFonts w:ascii="Verdana" w:hAnsi="Verdana"/>
          <w:sz w:val="22"/>
          <w:szCs w:val="22"/>
        </w:rPr>
      </w:pPr>
      <w:r w:rsidRPr="00EF7C3D">
        <w:rPr>
          <w:rFonts w:ascii="Verdana" w:hAnsi="Verdana"/>
          <w:sz w:val="22"/>
          <w:szCs w:val="22"/>
        </w:rPr>
        <w:t>Que teniendo en cuenta lo anterior es necesario actualizar los Lineamientos Técnico - Administrativos y Estándares para la Asistencia Alimentaría al Escolar - Programa de Alimentación Escolar “PAE”, establecidos mediante resolución No. 1634 de 2006.</w:t>
      </w:r>
    </w:p>
    <w:p w14:paraId="70DEFB1A" w14:textId="77777777" w:rsidR="00EF7C3D" w:rsidRPr="00EF7C3D" w:rsidRDefault="00EF7C3D" w:rsidP="00EF7C3D">
      <w:pPr>
        <w:rPr>
          <w:rFonts w:ascii="Verdana" w:hAnsi="Verdana"/>
          <w:sz w:val="22"/>
          <w:szCs w:val="22"/>
        </w:rPr>
      </w:pPr>
      <w:r w:rsidRPr="00EF7C3D">
        <w:rPr>
          <w:rFonts w:ascii="Verdana" w:hAnsi="Verdana"/>
          <w:sz w:val="22"/>
          <w:szCs w:val="22"/>
        </w:rPr>
        <w:t>Que en mérito de lo expuesto,</w:t>
      </w:r>
    </w:p>
    <w:p w14:paraId="355408CF" w14:textId="77777777" w:rsidR="00EF7C3D" w:rsidRPr="00EF7C3D" w:rsidRDefault="00EF7C3D" w:rsidP="00EF7C3D">
      <w:pPr>
        <w:rPr>
          <w:rFonts w:ascii="Verdana" w:hAnsi="Verdana"/>
          <w:sz w:val="22"/>
          <w:szCs w:val="22"/>
        </w:rPr>
      </w:pPr>
      <w:r w:rsidRPr="00EF7C3D">
        <w:rPr>
          <w:rFonts w:ascii="Verdana" w:hAnsi="Verdana"/>
          <w:b/>
          <w:bCs/>
          <w:sz w:val="22"/>
          <w:szCs w:val="22"/>
        </w:rPr>
        <w:t>RESUELVE</w:t>
      </w:r>
    </w:p>
    <w:p w14:paraId="73E2CA7B" w14:textId="19312EBF" w:rsidR="00EF7C3D" w:rsidRPr="00EF7C3D" w:rsidRDefault="00EF7C3D" w:rsidP="00EF7C3D">
      <w:pPr>
        <w:rPr>
          <w:rFonts w:ascii="Verdana" w:hAnsi="Verdana"/>
          <w:sz w:val="22"/>
          <w:szCs w:val="22"/>
        </w:rPr>
      </w:pPr>
      <w:bookmarkStart w:id="0" w:name="1"/>
      <w:r w:rsidRPr="00EF7C3D">
        <w:rPr>
          <w:rFonts w:ascii="Verdana" w:hAnsi="Verdana"/>
          <w:b/>
          <w:bCs/>
          <w:sz w:val="22"/>
          <w:szCs w:val="22"/>
        </w:rPr>
        <w:t>ARTÍCULO 1o.</w:t>
      </w:r>
      <w:bookmarkEnd w:id="0"/>
      <w:r w:rsidRPr="00EF7C3D">
        <w:rPr>
          <w:rFonts w:ascii="Verdana" w:hAnsi="Verdana"/>
          <w:sz w:val="22"/>
          <w:szCs w:val="22"/>
        </w:rPr>
        <w:t> &lt;Resolución derogada por el artículo 4 de la Resolución 6054 de 2010&gt; Actualizar los Lineamientos Técnico - Administrativos y Estándares para la Asistencia Alimentaría al Escolar - Programa de Alimentación Escolar “PAE”, los cuales forman parte de la presente Resolución.</w:t>
      </w:r>
    </w:p>
    <w:p w14:paraId="5E7ED65B" w14:textId="6EC679DD" w:rsidR="00EF7C3D" w:rsidRPr="00EF7C3D" w:rsidRDefault="00EF7C3D" w:rsidP="00EF7C3D">
      <w:pPr>
        <w:rPr>
          <w:rFonts w:ascii="Verdana" w:hAnsi="Verdana"/>
          <w:sz w:val="22"/>
          <w:szCs w:val="22"/>
        </w:rPr>
      </w:pPr>
      <w:r w:rsidRPr="00EF7C3D">
        <w:rPr>
          <w:rFonts w:ascii="Verdana" w:hAnsi="Verdana"/>
          <w:sz w:val="22"/>
          <w:szCs w:val="22"/>
        </w:rPr>
        <w:t>Doctrina Concordante</w:t>
      </w:r>
    </w:p>
    <w:p w14:paraId="42F23CB2" w14:textId="67A8275C" w:rsidR="00EF7C3D" w:rsidRPr="00EF7C3D" w:rsidRDefault="00EF7C3D" w:rsidP="00EF7C3D">
      <w:pPr>
        <w:rPr>
          <w:rFonts w:ascii="Verdana" w:hAnsi="Verdana"/>
          <w:sz w:val="22"/>
          <w:szCs w:val="22"/>
        </w:rPr>
      </w:pPr>
      <w:r w:rsidRPr="00EF7C3D">
        <w:rPr>
          <w:rFonts w:ascii="Verdana" w:hAnsi="Verdana"/>
          <w:noProof/>
          <w:sz w:val="22"/>
          <w:szCs w:val="22"/>
        </w:rPr>
        <mc:AlternateContent>
          <mc:Choice Requires="wps">
            <w:drawing>
              <wp:inline distT="0" distB="0" distL="0" distR="0" wp14:anchorId="2DC243F8" wp14:editId="5873EA33">
                <wp:extent cx="304800" cy="304800"/>
                <wp:effectExtent l="0" t="0" r="0" b="0"/>
                <wp:docPr id="686791787" name="Rectángulo 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6039A" id="Rectángulo 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20F581F" w14:textId="6E039A06" w:rsidR="00EF7C3D" w:rsidRPr="00EF7C3D" w:rsidRDefault="00EF7C3D" w:rsidP="00EF7C3D">
      <w:pPr>
        <w:rPr>
          <w:rFonts w:ascii="Verdana" w:hAnsi="Verdana"/>
          <w:sz w:val="22"/>
          <w:szCs w:val="22"/>
        </w:rPr>
      </w:pPr>
      <w:bookmarkStart w:id="1" w:name="2"/>
      <w:r w:rsidRPr="00EF7C3D">
        <w:rPr>
          <w:rFonts w:ascii="Verdana" w:hAnsi="Verdana"/>
          <w:b/>
          <w:bCs/>
          <w:sz w:val="22"/>
          <w:szCs w:val="22"/>
        </w:rPr>
        <w:t>ARTÍCULO 2o.</w:t>
      </w:r>
      <w:bookmarkEnd w:id="1"/>
      <w:r w:rsidRPr="00EF7C3D">
        <w:rPr>
          <w:rFonts w:ascii="Verdana" w:hAnsi="Verdana"/>
          <w:sz w:val="22"/>
          <w:szCs w:val="22"/>
        </w:rPr>
        <w:t> &lt;Resolución derogada por el artículo 4 de la Resolución 6054 de 2010&gt; Los Directores Regionales y Seccionales del ICBF, Coordinadores Jurídicos, Coordinadores de Grupo, Coordinadores de los Centros Zonales y demás servidores públicos de Centros Zonales, serán responsables de la difusión y aplicación del documento aquí aprobado. La Dirección Técnica y la Dirección de Evaluación verificarán el cumplimiento de esta responsabilidad.</w:t>
      </w:r>
    </w:p>
    <w:p w14:paraId="01B486D7" w14:textId="37AF0D55" w:rsidR="00EF7C3D" w:rsidRPr="00EF7C3D" w:rsidRDefault="00EF7C3D" w:rsidP="00EF7C3D">
      <w:pPr>
        <w:rPr>
          <w:rFonts w:ascii="Verdana" w:hAnsi="Verdana"/>
          <w:sz w:val="22"/>
          <w:szCs w:val="22"/>
        </w:rPr>
      </w:pPr>
      <w:r w:rsidRPr="00EF7C3D">
        <w:rPr>
          <w:rFonts w:ascii="Verdana" w:hAnsi="Verdana"/>
          <w:noProof/>
          <w:sz w:val="22"/>
          <w:szCs w:val="22"/>
        </w:rPr>
        <mc:AlternateContent>
          <mc:Choice Requires="wps">
            <w:drawing>
              <wp:inline distT="0" distB="0" distL="0" distR="0" wp14:anchorId="10B65BD6" wp14:editId="756901B8">
                <wp:extent cx="304800" cy="304800"/>
                <wp:effectExtent l="0" t="0" r="0" b="0"/>
                <wp:docPr id="469534874" name="Rectángulo 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307794" id="Rectángulo 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A596F6" w14:textId="580B9C2C" w:rsidR="00EF7C3D" w:rsidRPr="00EF7C3D" w:rsidRDefault="00EF7C3D" w:rsidP="00EF7C3D">
      <w:pPr>
        <w:rPr>
          <w:rFonts w:ascii="Verdana" w:hAnsi="Verdana"/>
          <w:sz w:val="22"/>
          <w:szCs w:val="22"/>
        </w:rPr>
      </w:pPr>
      <w:bookmarkStart w:id="2" w:name="3"/>
      <w:r w:rsidRPr="00EF7C3D">
        <w:rPr>
          <w:rFonts w:ascii="Verdana" w:hAnsi="Verdana"/>
          <w:b/>
          <w:bCs/>
          <w:sz w:val="22"/>
          <w:szCs w:val="22"/>
        </w:rPr>
        <w:t>ARTÍCULO 3o.</w:t>
      </w:r>
      <w:bookmarkEnd w:id="2"/>
      <w:r w:rsidRPr="00EF7C3D">
        <w:rPr>
          <w:rFonts w:ascii="Verdana" w:hAnsi="Verdana"/>
          <w:sz w:val="22"/>
          <w:szCs w:val="22"/>
        </w:rPr>
        <w:t> &lt;Resolución derogada por el artículo 4 de la Resolución 6054 de 2010&gt; Los gobernadores y alcaldes deberán seguir y aplicar los Lineamientos Técnico - Administrativos y Estándares, actualizados con la presente Resolución, para el desarrollo del Programa de Alimentación Escolar - PAE, respecto de la complementación alimentaria, los estándares de alimentación, de planta física, de equipo y menaje y de recurso humano, y las demás condiciones para la prestación del servicio establecidas en los lineamientos.</w:t>
      </w:r>
    </w:p>
    <w:p w14:paraId="3C9D1F54" w14:textId="45CF6736" w:rsidR="00EF7C3D" w:rsidRPr="00EF7C3D" w:rsidRDefault="00EF7C3D" w:rsidP="00EF7C3D">
      <w:pPr>
        <w:rPr>
          <w:rFonts w:ascii="Verdana" w:hAnsi="Verdana"/>
          <w:sz w:val="22"/>
          <w:szCs w:val="22"/>
        </w:rPr>
      </w:pPr>
      <w:r w:rsidRPr="00EF7C3D">
        <w:rPr>
          <w:rFonts w:ascii="Verdana" w:hAnsi="Verdana"/>
          <w:noProof/>
          <w:sz w:val="22"/>
          <w:szCs w:val="22"/>
        </w:rPr>
        <mc:AlternateContent>
          <mc:Choice Requires="wps">
            <w:drawing>
              <wp:inline distT="0" distB="0" distL="0" distR="0" wp14:anchorId="3EEDD2F2" wp14:editId="7B2C814B">
                <wp:extent cx="304800" cy="304800"/>
                <wp:effectExtent l="0" t="0" r="0" b="0"/>
                <wp:docPr id="1073009532"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B2876"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C7C0AE" w14:textId="423AAB48" w:rsidR="00EF7C3D" w:rsidRPr="00EF7C3D" w:rsidRDefault="00EF7C3D" w:rsidP="00EF7C3D">
      <w:pPr>
        <w:rPr>
          <w:rFonts w:ascii="Verdana" w:hAnsi="Verdana"/>
          <w:sz w:val="22"/>
          <w:szCs w:val="22"/>
        </w:rPr>
      </w:pPr>
      <w:bookmarkStart w:id="3" w:name="4"/>
      <w:r w:rsidRPr="00EF7C3D">
        <w:rPr>
          <w:rFonts w:ascii="Verdana" w:hAnsi="Verdana"/>
          <w:b/>
          <w:bCs/>
          <w:sz w:val="22"/>
          <w:szCs w:val="22"/>
        </w:rPr>
        <w:lastRenderedPageBreak/>
        <w:t>ARTÍCULO 4o.</w:t>
      </w:r>
      <w:bookmarkEnd w:id="3"/>
      <w:r w:rsidRPr="00EF7C3D">
        <w:rPr>
          <w:rFonts w:ascii="Verdana" w:hAnsi="Verdana"/>
          <w:sz w:val="22"/>
          <w:szCs w:val="22"/>
        </w:rPr>
        <w:t> &lt;Resolución derogada por el artículo 4 de la Resolución 6054 de 2010&gt; La presente resolución rige a partir de su publicación y deroga la Resolución No. 1634 de 2006.</w:t>
      </w:r>
    </w:p>
    <w:p w14:paraId="7437C8B2" w14:textId="77777777" w:rsidR="00EF7C3D" w:rsidRPr="00EF7C3D" w:rsidRDefault="00EF7C3D" w:rsidP="00EF7C3D">
      <w:pPr>
        <w:rPr>
          <w:rFonts w:ascii="Verdana" w:hAnsi="Verdana"/>
          <w:sz w:val="22"/>
          <w:szCs w:val="22"/>
        </w:rPr>
      </w:pPr>
      <w:r w:rsidRPr="00EF7C3D">
        <w:rPr>
          <w:rFonts w:ascii="Verdana" w:hAnsi="Verdana"/>
          <w:sz w:val="22"/>
          <w:szCs w:val="22"/>
        </w:rPr>
        <w:t>PUBLÍQUESE, COMUNÍQUESE Y CÚMPLASE</w:t>
      </w:r>
    </w:p>
    <w:p w14:paraId="1B1B4DAD" w14:textId="77777777" w:rsidR="00EF7C3D" w:rsidRPr="00EF7C3D" w:rsidRDefault="00EF7C3D" w:rsidP="00EF7C3D">
      <w:pPr>
        <w:rPr>
          <w:rFonts w:ascii="Verdana" w:hAnsi="Verdana"/>
          <w:sz w:val="22"/>
          <w:szCs w:val="22"/>
        </w:rPr>
      </w:pPr>
      <w:r w:rsidRPr="00EF7C3D">
        <w:rPr>
          <w:rFonts w:ascii="Verdana" w:hAnsi="Verdana"/>
          <w:sz w:val="22"/>
          <w:szCs w:val="22"/>
        </w:rPr>
        <w:t>Dada en Bogotá, D. C. a los 31 DIC. 2007.</w:t>
      </w:r>
    </w:p>
    <w:p w14:paraId="017FA6D1" w14:textId="77777777" w:rsidR="00EF7C3D" w:rsidRPr="00EF7C3D" w:rsidRDefault="00EF7C3D" w:rsidP="00EF7C3D">
      <w:pPr>
        <w:rPr>
          <w:rFonts w:ascii="Verdana" w:hAnsi="Verdana"/>
          <w:sz w:val="22"/>
          <w:szCs w:val="22"/>
        </w:rPr>
      </w:pPr>
      <w:r w:rsidRPr="00EF7C3D">
        <w:rPr>
          <w:rFonts w:ascii="Verdana" w:hAnsi="Verdana"/>
          <w:b/>
          <w:bCs/>
          <w:sz w:val="22"/>
          <w:szCs w:val="22"/>
        </w:rPr>
        <w:t>ELVIRA FORERO HERNÁNDEZ</w:t>
      </w:r>
    </w:p>
    <w:p w14:paraId="192F3F8C" w14:textId="77777777" w:rsidR="00EF7C3D" w:rsidRPr="00EF7C3D" w:rsidRDefault="00EF7C3D" w:rsidP="00EF7C3D">
      <w:pPr>
        <w:rPr>
          <w:rFonts w:ascii="Verdana" w:hAnsi="Verdana"/>
          <w:sz w:val="22"/>
          <w:szCs w:val="22"/>
        </w:rPr>
      </w:pPr>
      <w:r w:rsidRPr="00EF7C3D">
        <w:rPr>
          <w:rFonts w:ascii="Verdana" w:hAnsi="Verdana"/>
          <w:sz w:val="22"/>
          <w:szCs w:val="22"/>
        </w:rPr>
        <w:t>Directora General</w:t>
      </w:r>
    </w:p>
    <w:p w14:paraId="3D75CECF" w14:textId="77777777" w:rsidR="007667C5" w:rsidRPr="003A6F59" w:rsidRDefault="007667C5" w:rsidP="003A6F59">
      <w:pPr>
        <w:rPr>
          <w:rFonts w:ascii="Verdana" w:hAnsi="Verdana"/>
          <w:sz w:val="22"/>
          <w:szCs w:val="22"/>
        </w:rPr>
      </w:pPr>
    </w:p>
    <w:sectPr w:rsidR="007667C5" w:rsidRPr="003A6F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29F"/>
    <w:multiLevelType w:val="hybridMultilevel"/>
    <w:tmpl w:val="314A4D2E"/>
    <w:lvl w:ilvl="0" w:tplc="7DC69FE8">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7A0E3C"/>
    <w:multiLevelType w:val="hybridMultilevel"/>
    <w:tmpl w:val="7E28566A"/>
    <w:lvl w:ilvl="0" w:tplc="7DC69FE8">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F71355"/>
    <w:multiLevelType w:val="hybridMultilevel"/>
    <w:tmpl w:val="9C784B7E"/>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2993389F"/>
    <w:multiLevelType w:val="hybridMultilevel"/>
    <w:tmpl w:val="B5503B78"/>
    <w:lvl w:ilvl="0" w:tplc="3A040970">
      <w:start w:val="1"/>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19625D"/>
    <w:multiLevelType w:val="hybridMultilevel"/>
    <w:tmpl w:val="6DCCB1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12434A"/>
    <w:multiLevelType w:val="hybridMultilevel"/>
    <w:tmpl w:val="D994B8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E906AD"/>
    <w:multiLevelType w:val="hybridMultilevel"/>
    <w:tmpl w:val="65AAC242"/>
    <w:lvl w:ilvl="0" w:tplc="3A04097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7EEE3D20"/>
    <w:multiLevelType w:val="hybridMultilevel"/>
    <w:tmpl w:val="CB1CAC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51563349">
    <w:abstractNumId w:val="5"/>
  </w:num>
  <w:num w:numId="2" w16cid:durableId="1162312811">
    <w:abstractNumId w:val="7"/>
  </w:num>
  <w:num w:numId="3" w16cid:durableId="2066640496">
    <w:abstractNumId w:val="2"/>
  </w:num>
  <w:num w:numId="4" w16cid:durableId="593250702">
    <w:abstractNumId w:val="6"/>
  </w:num>
  <w:num w:numId="5" w16cid:durableId="845678766">
    <w:abstractNumId w:val="3"/>
  </w:num>
  <w:num w:numId="6" w16cid:durableId="2009400988">
    <w:abstractNumId w:val="0"/>
  </w:num>
  <w:num w:numId="7" w16cid:durableId="428166162">
    <w:abstractNumId w:val="1"/>
  </w:num>
  <w:num w:numId="8" w16cid:durableId="1463114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70"/>
    <w:rsid w:val="00015D2A"/>
    <w:rsid w:val="000E2D48"/>
    <w:rsid w:val="003A6F59"/>
    <w:rsid w:val="00405E81"/>
    <w:rsid w:val="00412071"/>
    <w:rsid w:val="00490B89"/>
    <w:rsid w:val="00550F5C"/>
    <w:rsid w:val="00665FDA"/>
    <w:rsid w:val="006F7335"/>
    <w:rsid w:val="007667C5"/>
    <w:rsid w:val="007E7C58"/>
    <w:rsid w:val="0088588F"/>
    <w:rsid w:val="008A2370"/>
    <w:rsid w:val="00B722AD"/>
    <w:rsid w:val="00D66304"/>
    <w:rsid w:val="00EF7C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AAF2"/>
  <w15:chartTrackingRefBased/>
  <w15:docId w15:val="{39B6096C-7989-498D-9A7B-AA6C26C1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2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2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23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23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A237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A23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237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237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237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23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23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237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237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A237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A237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A237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A237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A237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A237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2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23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237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A2370"/>
    <w:pPr>
      <w:spacing w:before="160"/>
      <w:jc w:val="center"/>
    </w:pPr>
    <w:rPr>
      <w:i/>
      <w:iCs/>
      <w:color w:val="404040" w:themeColor="text1" w:themeTint="BF"/>
    </w:rPr>
  </w:style>
  <w:style w:type="character" w:customStyle="1" w:styleId="CitaCar">
    <w:name w:val="Cita Car"/>
    <w:basedOn w:val="Fuentedeprrafopredeter"/>
    <w:link w:val="Cita"/>
    <w:uiPriority w:val="29"/>
    <w:rsid w:val="008A2370"/>
    <w:rPr>
      <w:i/>
      <w:iCs/>
      <w:color w:val="404040" w:themeColor="text1" w:themeTint="BF"/>
    </w:rPr>
  </w:style>
  <w:style w:type="paragraph" w:styleId="Prrafodelista">
    <w:name w:val="List Paragraph"/>
    <w:basedOn w:val="Normal"/>
    <w:uiPriority w:val="34"/>
    <w:qFormat/>
    <w:rsid w:val="008A2370"/>
    <w:pPr>
      <w:ind w:left="720"/>
      <w:contextualSpacing/>
    </w:pPr>
  </w:style>
  <w:style w:type="character" w:styleId="nfasisintenso">
    <w:name w:val="Intense Emphasis"/>
    <w:basedOn w:val="Fuentedeprrafopredeter"/>
    <w:uiPriority w:val="21"/>
    <w:qFormat/>
    <w:rsid w:val="008A2370"/>
    <w:rPr>
      <w:i/>
      <w:iCs/>
      <w:color w:val="0F4761" w:themeColor="accent1" w:themeShade="BF"/>
    </w:rPr>
  </w:style>
  <w:style w:type="paragraph" w:styleId="Citadestacada">
    <w:name w:val="Intense Quote"/>
    <w:basedOn w:val="Normal"/>
    <w:next w:val="Normal"/>
    <w:link w:val="CitadestacadaCar"/>
    <w:uiPriority w:val="30"/>
    <w:qFormat/>
    <w:rsid w:val="008A2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2370"/>
    <w:rPr>
      <w:i/>
      <w:iCs/>
      <w:color w:val="0F4761" w:themeColor="accent1" w:themeShade="BF"/>
    </w:rPr>
  </w:style>
  <w:style w:type="character" w:styleId="Referenciaintensa">
    <w:name w:val="Intense Reference"/>
    <w:basedOn w:val="Fuentedeprrafopredeter"/>
    <w:uiPriority w:val="32"/>
    <w:qFormat/>
    <w:rsid w:val="008A2370"/>
    <w:rPr>
      <w:b/>
      <w:bCs/>
      <w:smallCaps/>
      <w:color w:val="0F4761" w:themeColor="accent1" w:themeShade="BF"/>
      <w:spacing w:val="5"/>
    </w:rPr>
  </w:style>
  <w:style w:type="table" w:styleId="Tablaconcuadrcula">
    <w:name w:val="Table Grid"/>
    <w:basedOn w:val="Tablanormal"/>
    <w:uiPriority w:val="39"/>
    <w:rsid w:val="000E2D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F7C3D"/>
    <w:rPr>
      <w:color w:val="467886" w:themeColor="hyperlink"/>
      <w:u w:val="single"/>
    </w:rPr>
  </w:style>
  <w:style w:type="character" w:styleId="Mencinsinresolver">
    <w:name w:val="Unresolved Mention"/>
    <w:basedOn w:val="Fuentedeprrafopredeter"/>
    <w:uiPriority w:val="99"/>
    <w:semiHidden/>
    <w:unhideWhenUsed/>
    <w:rsid w:val="00EF7C3D"/>
    <w:rPr>
      <w:color w:val="605E5C"/>
      <w:shd w:val="clear" w:color="auto" w:fill="E1DFDD"/>
    </w:rPr>
  </w:style>
  <w:style w:type="paragraph" w:styleId="Sinespaciado">
    <w:name w:val="No Spacing"/>
    <w:uiPriority w:val="1"/>
    <w:qFormat/>
    <w:rsid w:val="00EF7C3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01D98-DB78-48A7-9AD6-E10269568A96}"/>
</file>

<file path=customXml/itemProps2.xml><?xml version="1.0" encoding="utf-8"?>
<ds:datastoreItem xmlns:ds="http://schemas.openxmlformats.org/officeDocument/2006/customXml" ds:itemID="{B9E88BB3-9F2D-40FB-9C4C-C0CB59846EA8}"/>
</file>

<file path=customXml/itemProps3.xml><?xml version="1.0" encoding="utf-8"?>
<ds:datastoreItem xmlns:ds="http://schemas.openxmlformats.org/officeDocument/2006/customXml" ds:itemID="{57D9AA16-8A47-4019-B3FD-021639E24046}"/>
</file>

<file path=docProps/app.xml><?xml version="1.0" encoding="utf-8"?>
<Properties xmlns="http://schemas.openxmlformats.org/officeDocument/2006/extended-properties" xmlns:vt="http://schemas.openxmlformats.org/officeDocument/2006/docPropsVTypes">
  <Template>Normal</Template>
  <TotalTime>4</TotalTime>
  <Pages>3</Pages>
  <Words>793</Words>
  <Characters>4364</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3</cp:revision>
  <dcterms:created xsi:type="dcterms:W3CDTF">2026-01-13T20:25:00Z</dcterms:created>
  <dcterms:modified xsi:type="dcterms:W3CDTF">2026-04-16T16:26:00Z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