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AA13" w14:textId="57F43038" w:rsidR="00FF11C2" w:rsidRPr="00FF11C2" w:rsidRDefault="00FF11C2" w:rsidP="00FF11C2">
      <w:pPr>
        <w:jc w:val="center"/>
        <w:rPr>
          <w:rFonts w:ascii="Verdana" w:hAnsi="Verdana"/>
          <w:b/>
          <w:bCs/>
          <w:sz w:val="22"/>
          <w:szCs w:val="22"/>
        </w:rPr>
      </w:pPr>
      <w:r w:rsidRPr="00F66AF1">
        <w:rPr>
          <w:rFonts w:ascii="Verdana" w:hAnsi="Verdana"/>
          <w:b/>
          <w:bCs/>
          <w:sz w:val="22"/>
          <w:szCs w:val="22"/>
        </w:rPr>
        <w:t>RESOLUCIÓN 3741 DE 2011</w:t>
      </w:r>
    </w:p>
    <w:p w14:paraId="511631A6" w14:textId="5887FAA6" w:rsidR="00C74043" w:rsidRPr="00C74043" w:rsidRDefault="00C74043" w:rsidP="00C74043">
      <w:pPr>
        <w:pStyle w:val="Sinespaciado"/>
        <w:rPr>
          <w:rFonts w:ascii="Verdana" w:hAnsi="Verdana"/>
          <w:sz w:val="20"/>
          <w:szCs w:val="20"/>
        </w:rPr>
      </w:pPr>
      <w:r w:rsidRPr="00C74043">
        <w:rPr>
          <w:rFonts w:ascii="Verdana" w:hAnsi="Verdana"/>
          <w:sz w:val="20"/>
          <w:szCs w:val="20"/>
        </w:rPr>
        <w:t>Fecha de Expedición: 31 de agosto de 2011</w:t>
      </w:r>
    </w:p>
    <w:p w14:paraId="303B22BD" w14:textId="59F9A050" w:rsidR="00C74043" w:rsidRPr="00C74043" w:rsidRDefault="00C74043" w:rsidP="00C74043">
      <w:pPr>
        <w:pStyle w:val="Sinespaciado"/>
        <w:rPr>
          <w:rFonts w:ascii="Verdana" w:hAnsi="Verdana"/>
          <w:sz w:val="20"/>
          <w:szCs w:val="20"/>
        </w:rPr>
      </w:pPr>
      <w:r w:rsidRPr="00C74043">
        <w:rPr>
          <w:rFonts w:ascii="Verdana" w:hAnsi="Verdana"/>
          <w:sz w:val="20"/>
          <w:szCs w:val="20"/>
        </w:rPr>
        <w:t>Fecha de entrada en vigencia: 28 de octubre de 2011</w:t>
      </w:r>
    </w:p>
    <w:p w14:paraId="16C4D029" w14:textId="7F2C1A4B" w:rsidR="00C74043" w:rsidRDefault="00C74043" w:rsidP="00C74043">
      <w:pPr>
        <w:pStyle w:val="Sinespaciado"/>
        <w:rPr>
          <w:rFonts w:ascii="Verdana" w:hAnsi="Verdana"/>
          <w:sz w:val="20"/>
          <w:szCs w:val="20"/>
        </w:rPr>
      </w:pPr>
      <w:r w:rsidRPr="00C74043">
        <w:rPr>
          <w:rFonts w:ascii="Verdana" w:hAnsi="Verdana"/>
          <w:sz w:val="20"/>
          <w:szCs w:val="20"/>
        </w:rPr>
        <w:t>Estado de la vigencia: derogada por el artículo 6 de la Resolución 1522 de 2016</w:t>
      </w:r>
      <w:r w:rsidRPr="00C74043">
        <w:rPr>
          <w:rFonts w:ascii="Verdana" w:hAnsi="Verdana"/>
          <w:sz w:val="20"/>
          <w:szCs w:val="20"/>
        </w:rPr>
        <w:tab/>
      </w:r>
    </w:p>
    <w:p w14:paraId="1C262A29" w14:textId="77777777" w:rsidR="00C74043" w:rsidRDefault="00C74043" w:rsidP="00C74043">
      <w:pPr>
        <w:pStyle w:val="Sinespaciado"/>
        <w:rPr>
          <w:rFonts w:ascii="Verdana" w:hAnsi="Verdana"/>
          <w:sz w:val="20"/>
          <w:szCs w:val="20"/>
        </w:rPr>
      </w:pPr>
    </w:p>
    <w:p w14:paraId="79D151EB" w14:textId="17726F57" w:rsidR="00C74043" w:rsidRPr="00C74043" w:rsidRDefault="00C74043" w:rsidP="00C74043">
      <w:pPr>
        <w:pStyle w:val="Sinespaciado"/>
        <w:rPr>
          <w:rFonts w:ascii="Verdana" w:hAnsi="Verdana"/>
          <w:sz w:val="20"/>
          <w:szCs w:val="20"/>
        </w:rPr>
      </w:pPr>
      <w:r w:rsidRPr="00C74043">
        <w:rPr>
          <w:rFonts w:ascii="Verdana" w:hAnsi="Verdana"/>
          <w:sz w:val="20"/>
          <w:szCs w:val="20"/>
        </w:rPr>
        <w:t>Fecha de publicación en Diario Oficial: 28 de octubre de 2011</w:t>
      </w:r>
    </w:p>
    <w:p w14:paraId="7685ACA2" w14:textId="6E40A88B" w:rsidR="0088588F" w:rsidRDefault="00C74043" w:rsidP="00C74043">
      <w:pPr>
        <w:pStyle w:val="Sinespaciado"/>
        <w:rPr>
          <w:rFonts w:ascii="Verdana" w:hAnsi="Verdana"/>
          <w:sz w:val="20"/>
          <w:szCs w:val="20"/>
        </w:rPr>
      </w:pPr>
      <w:r w:rsidRPr="00C74043">
        <w:rPr>
          <w:rFonts w:ascii="Verdana" w:hAnsi="Verdana"/>
          <w:sz w:val="20"/>
          <w:szCs w:val="20"/>
        </w:rPr>
        <w:t>Número del Diario Oficial: 48.236</w:t>
      </w:r>
    </w:p>
    <w:p w14:paraId="1D573793" w14:textId="77777777" w:rsidR="00C74043" w:rsidRPr="00C74043" w:rsidRDefault="00C74043" w:rsidP="00C74043">
      <w:pPr>
        <w:pStyle w:val="Sinespaciado"/>
        <w:rPr>
          <w:rFonts w:ascii="Verdana" w:hAnsi="Verdana"/>
          <w:sz w:val="20"/>
          <w:szCs w:val="20"/>
        </w:rPr>
      </w:pPr>
    </w:p>
    <w:p w14:paraId="09AFDA1E" w14:textId="3FD9A1F2" w:rsidR="00F66AF1" w:rsidRPr="00F66AF1" w:rsidRDefault="00F66AF1" w:rsidP="00782CBB">
      <w:pPr>
        <w:jc w:val="center"/>
        <w:rPr>
          <w:rFonts w:ascii="Verdana" w:hAnsi="Verdana"/>
          <w:b/>
          <w:bCs/>
          <w:sz w:val="22"/>
          <w:szCs w:val="22"/>
        </w:rPr>
      </w:pPr>
      <w:r w:rsidRPr="00F66AF1">
        <w:rPr>
          <w:rFonts w:ascii="Verdana" w:hAnsi="Verdana"/>
          <w:b/>
          <w:bCs/>
          <w:sz w:val="22"/>
          <w:szCs w:val="22"/>
        </w:rPr>
        <w:t>RESOLUCIÓN 3741 DE 2011</w:t>
      </w:r>
    </w:p>
    <w:p w14:paraId="142C18A5" w14:textId="28E964F8" w:rsidR="00F66AF1" w:rsidRPr="00F66AF1" w:rsidRDefault="00F66AF1" w:rsidP="00782CBB">
      <w:pPr>
        <w:jc w:val="center"/>
        <w:rPr>
          <w:rFonts w:ascii="Verdana" w:hAnsi="Verdana"/>
          <w:b/>
          <w:bCs/>
          <w:sz w:val="22"/>
          <w:szCs w:val="22"/>
        </w:rPr>
      </w:pPr>
      <w:r w:rsidRPr="00F66AF1">
        <w:rPr>
          <w:rFonts w:ascii="Verdana" w:hAnsi="Verdana"/>
          <w:b/>
          <w:bCs/>
          <w:sz w:val="22"/>
          <w:szCs w:val="22"/>
        </w:rPr>
        <w:t>(31 de agosto)</w:t>
      </w:r>
    </w:p>
    <w:p w14:paraId="08F7673F" w14:textId="65C495C8" w:rsidR="00F66AF1" w:rsidRPr="00782CBB" w:rsidRDefault="00F66AF1" w:rsidP="00782CBB">
      <w:pPr>
        <w:jc w:val="center"/>
        <w:rPr>
          <w:rFonts w:ascii="Verdana" w:hAnsi="Verdana"/>
          <w:b/>
          <w:bCs/>
          <w:sz w:val="22"/>
          <w:szCs w:val="22"/>
        </w:rPr>
      </w:pPr>
      <w:r w:rsidRPr="00F66AF1">
        <w:rPr>
          <w:rFonts w:ascii="Verdana" w:hAnsi="Verdana"/>
          <w:b/>
          <w:bCs/>
          <w:sz w:val="22"/>
          <w:szCs w:val="22"/>
        </w:rPr>
        <w:t>INSTITUTO COLOMBIANO DE BIENESTAR FAMILIAR</w:t>
      </w:r>
    </w:p>
    <w:p w14:paraId="459CD8EF" w14:textId="6AEA69D8" w:rsidR="00F66AF1" w:rsidRPr="00F66AF1" w:rsidRDefault="00782CBB" w:rsidP="00782CBB">
      <w:pPr>
        <w:jc w:val="center"/>
        <w:rPr>
          <w:rFonts w:ascii="Verdana" w:hAnsi="Verdana"/>
          <w:sz w:val="22"/>
          <w:szCs w:val="22"/>
        </w:rPr>
      </w:pPr>
      <w:r>
        <w:rPr>
          <w:rFonts w:ascii="Verdana" w:hAnsi="Verdana"/>
          <w:sz w:val="22"/>
          <w:szCs w:val="22"/>
        </w:rPr>
        <w:t>“</w:t>
      </w:r>
      <w:r w:rsidR="00F66AF1" w:rsidRPr="00F66AF1">
        <w:rPr>
          <w:rFonts w:ascii="Verdana" w:hAnsi="Verdana"/>
          <w:sz w:val="22"/>
          <w:szCs w:val="22"/>
        </w:rPr>
        <w:t>Por la cual se modifica el Lineamiento Técnico Administrativo para la Atención de Adolescentes en el Sistema de Responsabilidad Penal para Adolescentes – SRPA.</w:t>
      </w:r>
      <w:r>
        <w:rPr>
          <w:rFonts w:ascii="Verdana" w:hAnsi="Verdana"/>
          <w:sz w:val="22"/>
          <w:szCs w:val="22"/>
        </w:rPr>
        <w:t>”</w:t>
      </w:r>
    </w:p>
    <w:p w14:paraId="15551ED1" w14:textId="5E615265" w:rsidR="00F66AF1" w:rsidRPr="00782CBB" w:rsidRDefault="00F66AF1" w:rsidP="00782CBB">
      <w:pPr>
        <w:jc w:val="center"/>
        <w:rPr>
          <w:rFonts w:ascii="Verdana" w:hAnsi="Verdana"/>
          <w:b/>
          <w:bCs/>
          <w:sz w:val="22"/>
          <w:szCs w:val="22"/>
        </w:rPr>
      </w:pPr>
      <w:r w:rsidRPr="00782CBB">
        <w:rPr>
          <w:rFonts w:ascii="Verdana" w:hAnsi="Verdana"/>
          <w:b/>
          <w:bCs/>
          <w:sz w:val="22"/>
          <w:szCs w:val="22"/>
        </w:rPr>
        <w:t>LA DIRECTORA GENERAL DEL INSTITUTO COLOMBIANO DE BIENESTAR FAMILIAR CECILIA DE LA FUENTE DE LLERAS,</w:t>
      </w:r>
    </w:p>
    <w:p w14:paraId="7F2E196B" w14:textId="7C451EDE" w:rsidR="00F66AF1" w:rsidRPr="00F66AF1" w:rsidRDefault="00F66AF1" w:rsidP="00782CBB">
      <w:pPr>
        <w:jc w:val="center"/>
        <w:rPr>
          <w:rFonts w:ascii="Verdana" w:hAnsi="Verdana"/>
          <w:sz w:val="22"/>
          <w:szCs w:val="22"/>
        </w:rPr>
      </w:pPr>
      <w:r w:rsidRPr="00F66AF1">
        <w:rPr>
          <w:rFonts w:ascii="Verdana" w:hAnsi="Verdana"/>
          <w:sz w:val="22"/>
          <w:szCs w:val="22"/>
        </w:rPr>
        <w:t>en uso de sus facultades legales y estatutarias, en especial las conferidas en el artículo 78 de la Ley 489 de 1998 y en el parágrafo único del artículo 11 de la Ley 1098 de 2006, y</w:t>
      </w:r>
    </w:p>
    <w:p w14:paraId="4DDAD92F" w14:textId="114BFCE4" w:rsidR="00F66AF1" w:rsidRPr="00782CBB" w:rsidRDefault="00F66AF1" w:rsidP="00782CBB">
      <w:pPr>
        <w:jc w:val="center"/>
        <w:rPr>
          <w:rFonts w:ascii="Verdana" w:hAnsi="Verdana"/>
          <w:b/>
          <w:bCs/>
          <w:sz w:val="22"/>
          <w:szCs w:val="22"/>
        </w:rPr>
      </w:pPr>
      <w:r w:rsidRPr="00782CBB">
        <w:rPr>
          <w:rFonts w:ascii="Verdana" w:hAnsi="Verdana"/>
          <w:b/>
          <w:bCs/>
          <w:sz w:val="22"/>
          <w:szCs w:val="22"/>
        </w:rPr>
        <w:t>CONSIDERANDO:</w:t>
      </w:r>
    </w:p>
    <w:p w14:paraId="00C9667C" w14:textId="03A1065A"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de acuerdo con lo establecido en el artículo 12 del Decreto 2388 de 1979 reglamentario de la Ley 7a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00E55825" w14:textId="146BC18D"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el artículo 44 de la Constitución Política, establece como derechos fundamentales de los niños: “… la vida, la integridad física, la salud y la seguridad social, la alimentación equilibrada, su nombre y nacionalidad, tener una familia y no ser separados de ella, el cuidado y amor, la educación y la cultura, la recreación y la libre expresión de su opinión.</w:t>
      </w:r>
    </w:p>
    <w:p w14:paraId="52767968" w14:textId="443F4501"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D6C157C" w14:textId="22C4BF8B"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el objeto de la Ley 1098 de 2006, por la cual se expide el Código de la Infancia y la Adolescencia, consagrado en el artículo 2o es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w:t>
      </w:r>
    </w:p>
    <w:p w14:paraId="3B438313" w14:textId="299CD2A1"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lastRenderedPageBreak/>
        <w:t>Que la finalidad de la Ley 1098 de 2006 consagrada en su artículo 1o es, “garantizar a los niños, a las niñas y a los adolescentes su pleno y armonioso desarrollo para que crezcan en el seno de la familia y de la comunidad, en un ambiente de felicidad, amor y comprensión…”.</w:t>
      </w:r>
    </w:p>
    <w:p w14:paraId="61A88831" w14:textId="3FD0E19B"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el parágrafo único del artículo 11 de la Ley 1098 de 2006 estableció que el ICBF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06D74813" w14:textId="3D0F914F"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el artículo 60 de la Ley 1098 de 2006 estipula que “Cuando un niño, una niña o un adolescente sea víctima de cualquier acto que vulnere sus derechos de protección, de su integridad personal, o sea víctima de un delito, (...) deberán vincularse a un programa de atención especializada que asegure el restablecimiento de sus derechos”.</w:t>
      </w:r>
    </w:p>
    <w:p w14:paraId="477EEA7A" w14:textId="10ACD8B3"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 xml:space="preserve">Que el artículo 52 de la Ley 1098 de 2006 estipula que “En todos los casos, la autoridad competente deberá, de manera inmediata, verificar el estado de cumplimiento de cada uno de los derechos de los niños, las niñas y los adolescentes...” </w:t>
      </w:r>
    </w:p>
    <w:p w14:paraId="7FED0987" w14:textId="1011A9D4"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el artículo 99 de la Ley 1098 de 2006 estipula que “…Cuando el defensor o el comisario de familia o, en su caso, el inspector de policía tenga conocimiento de la inobservancia, vulneración o amenaza de alguno de los derechos que este Código reconoce a los niños, las niñas y los adolescentes, abrirá la respectiva investigación...” .</w:t>
      </w:r>
    </w:p>
    <w:p w14:paraId="0D6F39D8" w14:textId="11227762"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el Decreto 117 de 2010 expedido por el Ministerio de la Protección Social, determina como una de las funciones de la Dirección de Protección del ICBF “Definir los lineamientos generales en materia de protección que deben ser tenidos en cuenta en todos los procesos relacionados con el reconocimiento de derechos a los niños, niñas y adolescentes”.</w:t>
      </w:r>
    </w:p>
    <w:p w14:paraId="5AB8AC82" w14:textId="32DAD9BC"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una de las funciones de la Subdirección del Sistema de Responsabilidad Penal –SRP– es “Definir los lineamientos específicos para los procesos que debe ejecutar el Instituto Colombiano de Bienestar Familiar en el Sistema de Responsabilidad Penal para Adolescentes que deben ser tenidos en cuenta en todos los Centros Zonales y Regionales donde opere”.</w:t>
      </w:r>
    </w:p>
    <w:p w14:paraId="2AB77035" w14:textId="5169CBF6"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la ruta de atención del adolescente contenida en el Anexo número 1 del Lineamiento Técnico Administrativo para la Atención de Adolescentes en el Sistema de Responsabilidad Penal para Adolescentes –SRPA–, señala que una vez realizada la verificación de la garantía de derechos se abrirá la “Historia de Atención” sin que ello implique adelantar un proceso administrativo de restablecimiento de derechos dentro del proceso penal.</w:t>
      </w:r>
    </w:p>
    <w:p w14:paraId="0EA822B5" w14:textId="6122E87E"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la función de la Defensoría de Familia es garantizar y restablecer derechos y que el Defensor de Familia es un interviniente dentro del proceso penal para Adolescentes.</w:t>
      </w:r>
    </w:p>
    <w:p w14:paraId="6163D478" w14:textId="33EA7E1C"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 xml:space="preserve">Que es deber del Defensor de Familia verificar y garantizar los derechos de los adolescentes que ingresan al Sistema de Responsabilidad Penal –SRPA– por medio del Proceso Administrativo de Restablecimiento de </w:t>
      </w:r>
      <w:r w:rsidRPr="00782CBB">
        <w:rPr>
          <w:rFonts w:ascii="Verdana" w:hAnsi="Verdana"/>
          <w:sz w:val="22"/>
          <w:szCs w:val="22"/>
        </w:rPr>
        <w:lastRenderedPageBreak/>
        <w:t>derechos establecido en la Ley 1098 de 2006 y especialmente en los artículos transcritos anteriormente.</w:t>
      </w:r>
    </w:p>
    <w:p w14:paraId="6138B8F5" w14:textId="42239CFF"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por lo anterior, es necesario modificar el Lineamiento Técnico Administrativo para la Atención de Adolescentes, aprobado mediante Resolución número 1301 del 19 de marzo de 2010, para adoptar directrices encaminadas a restablecer los derechos de los niños, niñas y adolescentes con calidad, celeridad, eficacia y oportunidad, de acuerdo con lo dispuesto en la ley.</w:t>
      </w:r>
    </w:p>
    <w:p w14:paraId="58C60BE9" w14:textId="2E4C5AC8" w:rsidR="00F66AF1" w:rsidRPr="00782CBB" w:rsidRDefault="00F66AF1" w:rsidP="00782CBB">
      <w:pPr>
        <w:pStyle w:val="Prrafodelista"/>
        <w:numPr>
          <w:ilvl w:val="0"/>
          <w:numId w:val="1"/>
        </w:numPr>
        <w:rPr>
          <w:rFonts w:ascii="Verdana" w:hAnsi="Verdana"/>
          <w:sz w:val="22"/>
          <w:szCs w:val="22"/>
        </w:rPr>
      </w:pPr>
      <w:r w:rsidRPr="00782CBB">
        <w:rPr>
          <w:rFonts w:ascii="Verdana" w:hAnsi="Verdana"/>
          <w:sz w:val="22"/>
          <w:szCs w:val="22"/>
        </w:rPr>
        <w:t>Que en mérito de lo expuesto,</w:t>
      </w:r>
    </w:p>
    <w:p w14:paraId="329F2D2B" w14:textId="0FD7E05C" w:rsidR="00F66AF1" w:rsidRPr="00FF11C2" w:rsidRDefault="00F66AF1" w:rsidP="00FF11C2">
      <w:pPr>
        <w:jc w:val="center"/>
        <w:rPr>
          <w:rFonts w:ascii="Verdana" w:hAnsi="Verdana"/>
          <w:b/>
          <w:bCs/>
          <w:sz w:val="22"/>
          <w:szCs w:val="22"/>
        </w:rPr>
      </w:pPr>
      <w:r w:rsidRPr="00FF11C2">
        <w:rPr>
          <w:rFonts w:ascii="Verdana" w:hAnsi="Verdana"/>
          <w:b/>
          <w:bCs/>
          <w:sz w:val="22"/>
          <w:szCs w:val="22"/>
        </w:rPr>
        <w:t>RESUELVE:</w:t>
      </w:r>
    </w:p>
    <w:p w14:paraId="1F94873E" w14:textId="73A7871F" w:rsidR="00F66AF1" w:rsidRPr="00F66AF1" w:rsidRDefault="00F66AF1" w:rsidP="00F66AF1">
      <w:pPr>
        <w:rPr>
          <w:rFonts w:ascii="Verdana" w:hAnsi="Verdana"/>
          <w:sz w:val="22"/>
          <w:szCs w:val="22"/>
        </w:rPr>
      </w:pPr>
      <w:r w:rsidRPr="00FF11C2">
        <w:rPr>
          <w:rFonts w:ascii="Verdana" w:hAnsi="Verdana"/>
          <w:b/>
          <w:bCs/>
          <w:sz w:val="22"/>
          <w:szCs w:val="22"/>
        </w:rPr>
        <w:t>ARTÍCULO 1o.</w:t>
      </w:r>
      <w:r w:rsidRPr="00F66AF1">
        <w:rPr>
          <w:rFonts w:ascii="Verdana" w:hAnsi="Verdana"/>
          <w:sz w:val="22"/>
          <w:szCs w:val="22"/>
        </w:rPr>
        <w:t xml:space="preserve"> Modificar el Lineamiento Técnico Administrativo para la Atención de Adolescentes en el Sistema de Responsabilidad Penal en su Anexo número 1 – ruta de atención del adolescente en el Sistema de Responsabilidad Penal para Adolescentes –SRPA – en el sentido de que a todos los niños, niñas y adolescentes que ingresen al Sistema de Responsabilidad Penal para Adolescentes, el defensor o el comisario de familia o, en su caso, el inspector de policía, abrirá proceso Administrativo de Restablecimiento de Derechos.</w:t>
      </w:r>
    </w:p>
    <w:p w14:paraId="3528F0BC" w14:textId="43063053" w:rsidR="00F66AF1" w:rsidRPr="00F66AF1" w:rsidRDefault="00F66AF1" w:rsidP="00F66AF1">
      <w:pPr>
        <w:rPr>
          <w:rFonts w:ascii="Verdana" w:hAnsi="Verdana"/>
          <w:sz w:val="22"/>
          <w:szCs w:val="22"/>
        </w:rPr>
      </w:pPr>
      <w:r w:rsidRPr="00FF11C2">
        <w:rPr>
          <w:rFonts w:ascii="Verdana" w:hAnsi="Verdana"/>
          <w:b/>
          <w:bCs/>
          <w:sz w:val="22"/>
          <w:szCs w:val="22"/>
        </w:rPr>
        <w:t>ARTÍCULO 2o.</w:t>
      </w:r>
      <w:r w:rsidRPr="00F66AF1">
        <w:rPr>
          <w:rFonts w:ascii="Verdana" w:hAnsi="Verdana"/>
          <w:sz w:val="22"/>
          <w:szCs w:val="22"/>
        </w:rPr>
        <w:t xml:space="preserve"> La modificación de los Lineamientos aprobados por la presente resolución, es de obligatorio cumplimiento por las áreas, Servidores Públicos y Organizaciones que prestan los servicios para el Sistema de Responsabilidad Penal para Adolescentes.</w:t>
      </w:r>
    </w:p>
    <w:p w14:paraId="0EC9ADA3" w14:textId="7CF7A1C6" w:rsidR="00F66AF1" w:rsidRPr="00F66AF1" w:rsidRDefault="00F66AF1" w:rsidP="00F66AF1">
      <w:pPr>
        <w:rPr>
          <w:rFonts w:ascii="Verdana" w:hAnsi="Verdana"/>
          <w:sz w:val="22"/>
          <w:szCs w:val="22"/>
        </w:rPr>
      </w:pPr>
      <w:r w:rsidRPr="00FF11C2">
        <w:rPr>
          <w:rFonts w:ascii="Verdana" w:hAnsi="Verdana"/>
          <w:b/>
          <w:bCs/>
          <w:sz w:val="22"/>
          <w:szCs w:val="22"/>
        </w:rPr>
        <w:t>ARTÍCULO 3o.</w:t>
      </w:r>
      <w:r w:rsidRPr="00F66AF1">
        <w:rPr>
          <w:rFonts w:ascii="Verdana" w:hAnsi="Verdana"/>
          <w:sz w:val="22"/>
          <w:szCs w:val="22"/>
        </w:rPr>
        <w:t xml:space="preserve"> La Subdirección de Responsabilidad Penal de la Dirección de Protección del ICBF, los Directores Regionales, Coordinadores de los Grupos de Protección, Coordinadores de Asistencia Técnica y demás servidores públicos en los Centros Zonales, deberán adoptar las medidas a que haya lugar para el cumplimiento y difusión de esta Resolución.</w:t>
      </w:r>
    </w:p>
    <w:p w14:paraId="38FD3914" w14:textId="218B875C" w:rsidR="00F66AF1" w:rsidRPr="00F66AF1" w:rsidRDefault="00F66AF1" w:rsidP="00F66AF1">
      <w:pPr>
        <w:rPr>
          <w:rFonts w:ascii="Verdana" w:hAnsi="Verdana"/>
          <w:sz w:val="22"/>
          <w:szCs w:val="22"/>
        </w:rPr>
      </w:pPr>
      <w:r w:rsidRPr="00FF11C2">
        <w:rPr>
          <w:rFonts w:ascii="Verdana" w:hAnsi="Verdana"/>
          <w:b/>
          <w:bCs/>
          <w:sz w:val="22"/>
          <w:szCs w:val="22"/>
        </w:rPr>
        <w:t xml:space="preserve">ARTÍCULO 4o. VIGENCIA. </w:t>
      </w:r>
      <w:r w:rsidR="00FF11C2">
        <w:rPr>
          <w:rFonts w:ascii="Verdana" w:hAnsi="Verdana"/>
          <w:sz w:val="22"/>
          <w:szCs w:val="22"/>
        </w:rPr>
        <w:t>[</w:t>
      </w:r>
      <w:r w:rsidRPr="00F66AF1">
        <w:rPr>
          <w:rFonts w:ascii="Verdana" w:hAnsi="Verdana"/>
          <w:sz w:val="22"/>
          <w:szCs w:val="22"/>
        </w:rPr>
        <w:t>Resolución derogada por el artículo 6 de la Resolución 1522 de 2016</w:t>
      </w:r>
      <w:r w:rsidR="00FF11C2">
        <w:rPr>
          <w:rFonts w:ascii="Verdana" w:hAnsi="Verdana"/>
          <w:sz w:val="22"/>
          <w:szCs w:val="22"/>
        </w:rPr>
        <w:t>]</w:t>
      </w:r>
      <w:r w:rsidRPr="00F66AF1">
        <w:rPr>
          <w:rFonts w:ascii="Verdana" w:hAnsi="Verdana"/>
          <w:sz w:val="22"/>
          <w:szCs w:val="22"/>
        </w:rPr>
        <w:t xml:space="preserve"> La presente resolución rige a partir de su publicación.</w:t>
      </w:r>
    </w:p>
    <w:p w14:paraId="0026938F" w14:textId="4964A08F" w:rsidR="00F66AF1" w:rsidRPr="00FF11C2" w:rsidRDefault="00FF11C2" w:rsidP="00FF11C2">
      <w:pPr>
        <w:jc w:val="center"/>
        <w:rPr>
          <w:rFonts w:ascii="Verdana" w:hAnsi="Verdana"/>
          <w:b/>
          <w:bCs/>
          <w:sz w:val="22"/>
          <w:szCs w:val="22"/>
        </w:rPr>
      </w:pPr>
      <w:r w:rsidRPr="00FF11C2">
        <w:rPr>
          <w:rFonts w:ascii="Verdana" w:hAnsi="Verdana"/>
          <w:b/>
          <w:bCs/>
          <w:sz w:val="22"/>
          <w:szCs w:val="22"/>
        </w:rPr>
        <w:t>PUBLÍQUESE, COMUNÍQUESE Y CÚMPLASE,</w:t>
      </w:r>
    </w:p>
    <w:p w14:paraId="4B1767D8" w14:textId="7E85296B" w:rsidR="00F66AF1" w:rsidRPr="00F66AF1" w:rsidRDefault="00F66AF1" w:rsidP="00FF11C2">
      <w:pPr>
        <w:jc w:val="center"/>
        <w:rPr>
          <w:rFonts w:ascii="Verdana" w:hAnsi="Verdana"/>
          <w:sz w:val="22"/>
          <w:szCs w:val="22"/>
        </w:rPr>
      </w:pPr>
      <w:r w:rsidRPr="00F66AF1">
        <w:rPr>
          <w:rFonts w:ascii="Verdana" w:hAnsi="Verdana"/>
          <w:sz w:val="22"/>
          <w:szCs w:val="22"/>
        </w:rPr>
        <w:t xml:space="preserve">Dada en Bogotá, D. C., a </w:t>
      </w:r>
      <w:r w:rsidR="00FF11C2">
        <w:rPr>
          <w:rFonts w:ascii="Verdana" w:hAnsi="Verdana"/>
          <w:sz w:val="22"/>
          <w:szCs w:val="22"/>
        </w:rPr>
        <w:t xml:space="preserve">los </w:t>
      </w:r>
      <w:r w:rsidRPr="00F66AF1">
        <w:rPr>
          <w:rFonts w:ascii="Verdana" w:hAnsi="Verdana"/>
          <w:sz w:val="22"/>
          <w:szCs w:val="22"/>
        </w:rPr>
        <w:t xml:space="preserve">31 </w:t>
      </w:r>
      <w:r w:rsidR="00FF11C2">
        <w:rPr>
          <w:rFonts w:ascii="Verdana" w:hAnsi="Verdana"/>
          <w:sz w:val="22"/>
          <w:szCs w:val="22"/>
        </w:rPr>
        <w:t xml:space="preserve">días del mes </w:t>
      </w:r>
      <w:r w:rsidRPr="00F66AF1">
        <w:rPr>
          <w:rFonts w:ascii="Verdana" w:hAnsi="Verdana"/>
          <w:sz w:val="22"/>
          <w:szCs w:val="22"/>
        </w:rPr>
        <w:t>de agosto de 2011.</w:t>
      </w:r>
    </w:p>
    <w:p w14:paraId="2C223146" w14:textId="77777777" w:rsidR="00FF11C2" w:rsidRPr="00FF11C2" w:rsidRDefault="00FF11C2" w:rsidP="00FF11C2">
      <w:pPr>
        <w:jc w:val="center"/>
        <w:rPr>
          <w:rFonts w:ascii="Verdana" w:hAnsi="Verdana"/>
          <w:b/>
          <w:bCs/>
          <w:sz w:val="22"/>
          <w:szCs w:val="22"/>
        </w:rPr>
      </w:pPr>
      <w:r w:rsidRPr="00FF11C2">
        <w:rPr>
          <w:rFonts w:ascii="Verdana" w:hAnsi="Verdana"/>
          <w:b/>
          <w:bCs/>
          <w:sz w:val="22"/>
          <w:szCs w:val="22"/>
        </w:rPr>
        <w:t>ELVIRA FORERO HERNÁNDEZ</w:t>
      </w:r>
    </w:p>
    <w:p w14:paraId="44F36E5F" w14:textId="5C32EA29" w:rsidR="00F66AF1" w:rsidRPr="00F66AF1" w:rsidRDefault="00FF11C2" w:rsidP="00FF11C2">
      <w:pPr>
        <w:jc w:val="center"/>
        <w:rPr>
          <w:rFonts w:ascii="Verdana" w:hAnsi="Verdana"/>
          <w:sz w:val="22"/>
          <w:szCs w:val="22"/>
        </w:rPr>
      </w:pPr>
      <w:r w:rsidRPr="00F66AF1">
        <w:rPr>
          <w:rFonts w:ascii="Verdana" w:hAnsi="Verdana"/>
          <w:sz w:val="22"/>
          <w:szCs w:val="22"/>
        </w:rPr>
        <w:t>LA DIRECTORA GENERAL</w:t>
      </w:r>
    </w:p>
    <w:p w14:paraId="1BF178E9" w14:textId="77777777" w:rsidR="00FF11C2" w:rsidRPr="00F66AF1" w:rsidRDefault="00FF11C2">
      <w:pPr>
        <w:rPr>
          <w:rFonts w:ascii="Verdana" w:hAnsi="Verdana"/>
          <w:sz w:val="22"/>
          <w:szCs w:val="22"/>
        </w:rPr>
      </w:pPr>
    </w:p>
    <w:sectPr w:rsidR="00FF11C2" w:rsidRPr="00F66A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4E5"/>
    <w:multiLevelType w:val="hybridMultilevel"/>
    <w:tmpl w:val="CB0C15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163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47"/>
    <w:rsid w:val="00015D2A"/>
    <w:rsid w:val="000A493F"/>
    <w:rsid w:val="00194768"/>
    <w:rsid w:val="00267F8E"/>
    <w:rsid w:val="003C1347"/>
    <w:rsid w:val="00490B89"/>
    <w:rsid w:val="00550F5C"/>
    <w:rsid w:val="00782CBB"/>
    <w:rsid w:val="0088588F"/>
    <w:rsid w:val="009746CB"/>
    <w:rsid w:val="00C74043"/>
    <w:rsid w:val="00C835B7"/>
    <w:rsid w:val="00F26AED"/>
    <w:rsid w:val="00F66AF1"/>
    <w:rsid w:val="00FF11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E028"/>
  <w15:chartTrackingRefBased/>
  <w15:docId w15:val="{4615024B-8382-4192-B958-33E55510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AED"/>
  </w:style>
  <w:style w:type="paragraph" w:styleId="Ttulo1">
    <w:name w:val="heading 1"/>
    <w:basedOn w:val="Normal"/>
    <w:next w:val="Normal"/>
    <w:link w:val="Ttulo1Car"/>
    <w:uiPriority w:val="9"/>
    <w:qFormat/>
    <w:rsid w:val="003C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13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13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C134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C13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C134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C134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C134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13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13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134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134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C134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C134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C134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C134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C134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C134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13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13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134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C1347"/>
    <w:pPr>
      <w:spacing w:before="160"/>
      <w:jc w:val="center"/>
    </w:pPr>
    <w:rPr>
      <w:i/>
      <w:iCs/>
      <w:color w:val="404040" w:themeColor="text1" w:themeTint="BF"/>
    </w:rPr>
  </w:style>
  <w:style w:type="character" w:customStyle="1" w:styleId="CitaCar">
    <w:name w:val="Cita Car"/>
    <w:basedOn w:val="Fuentedeprrafopredeter"/>
    <w:link w:val="Cita"/>
    <w:uiPriority w:val="29"/>
    <w:rsid w:val="003C1347"/>
    <w:rPr>
      <w:i/>
      <w:iCs/>
      <w:color w:val="404040" w:themeColor="text1" w:themeTint="BF"/>
    </w:rPr>
  </w:style>
  <w:style w:type="paragraph" w:styleId="Prrafodelista">
    <w:name w:val="List Paragraph"/>
    <w:basedOn w:val="Normal"/>
    <w:uiPriority w:val="34"/>
    <w:qFormat/>
    <w:rsid w:val="003C1347"/>
    <w:pPr>
      <w:ind w:left="720"/>
      <w:contextualSpacing/>
    </w:pPr>
  </w:style>
  <w:style w:type="character" w:styleId="nfasisintenso">
    <w:name w:val="Intense Emphasis"/>
    <w:basedOn w:val="Fuentedeprrafopredeter"/>
    <w:uiPriority w:val="21"/>
    <w:qFormat/>
    <w:rsid w:val="003C1347"/>
    <w:rPr>
      <w:i/>
      <w:iCs/>
      <w:color w:val="0F4761" w:themeColor="accent1" w:themeShade="BF"/>
    </w:rPr>
  </w:style>
  <w:style w:type="paragraph" w:styleId="Citadestacada">
    <w:name w:val="Intense Quote"/>
    <w:basedOn w:val="Normal"/>
    <w:next w:val="Normal"/>
    <w:link w:val="CitadestacadaCar"/>
    <w:uiPriority w:val="30"/>
    <w:qFormat/>
    <w:rsid w:val="003C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1347"/>
    <w:rPr>
      <w:i/>
      <w:iCs/>
      <w:color w:val="0F4761" w:themeColor="accent1" w:themeShade="BF"/>
    </w:rPr>
  </w:style>
  <w:style w:type="character" w:styleId="Referenciaintensa">
    <w:name w:val="Intense Reference"/>
    <w:basedOn w:val="Fuentedeprrafopredeter"/>
    <w:uiPriority w:val="32"/>
    <w:qFormat/>
    <w:rsid w:val="003C1347"/>
    <w:rPr>
      <w:b/>
      <w:bCs/>
      <w:smallCaps/>
      <w:color w:val="0F4761" w:themeColor="accent1" w:themeShade="BF"/>
      <w:spacing w:val="5"/>
    </w:rPr>
  </w:style>
  <w:style w:type="table" w:styleId="Tablaconcuadrcula">
    <w:name w:val="Table Grid"/>
    <w:basedOn w:val="Tablanormal"/>
    <w:uiPriority w:val="59"/>
    <w:rsid w:val="00F26AED"/>
    <w:pPr>
      <w:spacing w:after="0"/>
      <w:jc w:val="left"/>
    </w:pPr>
    <w:rPr>
      <w:rFonts w:asciiTheme="minorHAnsi" w:hAnsiTheme="minorHAnsi" w:cstheme="minorBidi"/>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C7404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AB808-4B8C-4E58-AD0A-E44079810BFF}"/>
</file>

<file path=customXml/itemProps2.xml><?xml version="1.0" encoding="utf-8"?>
<ds:datastoreItem xmlns:ds="http://schemas.openxmlformats.org/officeDocument/2006/customXml" ds:itemID="{E5CA4025-07E7-46F2-997E-99F0FEB4CE61}"/>
</file>

<file path=customXml/itemProps3.xml><?xml version="1.0" encoding="utf-8"?>
<ds:datastoreItem xmlns:ds="http://schemas.openxmlformats.org/officeDocument/2006/customXml" ds:itemID="{635147E8-6352-422F-803A-F97356400B19}"/>
</file>

<file path=docProps/app.xml><?xml version="1.0" encoding="utf-8"?>
<Properties xmlns="http://schemas.openxmlformats.org/officeDocument/2006/extended-properties" xmlns:vt="http://schemas.openxmlformats.org/officeDocument/2006/docPropsVTypes">
  <Template>Normal</Template>
  <TotalTime>1</TotalTime>
  <Pages>1</Pages>
  <Words>1195</Words>
  <Characters>6192</Characters>
  <Application>Microsoft Office Word</Application>
  <DocSecurity>0</DocSecurity>
  <Lines>121</Lines>
  <Paragraphs>43</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2025-12-12T19:27:00Z</dcterms:created>
  <dcterms:modified xsi:type="dcterms:W3CDTF">2026-01-23T21:44:00Z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