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1ABD" w14:textId="28CA775E" w:rsidR="000B4793" w:rsidRDefault="0024714D" w:rsidP="0024714D">
      <w:pPr>
        <w:jc w:val="center"/>
        <w:rPr>
          <w:rFonts w:ascii="Verdana" w:hAnsi="Verdana"/>
          <w:b/>
          <w:bCs/>
        </w:rPr>
      </w:pPr>
      <w:r w:rsidRPr="0024714D">
        <w:rPr>
          <w:rFonts w:ascii="Verdana" w:hAnsi="Verdana"/>
          <w:b/>
          <w:bCs/>
        </w:rPr>
        <w:t>RESOLUCIÓN 0320 DE 2025</w:t>
      </w:r>
    </w:p>
    <w:p w14:paraId="16FFDD58" w14:textId="77777777" w:rsidR="0024714D" w:rsidRPr="0024714D" w:rsidRDefault="0024714D" w:rsidP="0024714D">
      <w:pPr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>Fecha de Expedición: 31 de enero de 2025</w:t>
      </w:r>
    </w:p>
    <w:p w14:paraId="70DB307D" w14:textId="77777777" w:rsidR="0024714D" w:rsidRPr="0024714D" w:rsidRDefault="0024714D" w:rsidP="0024714D">
      <w:pPr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4714D">
        <w:rPr>
          <w:rFonts w:ascii="Verdana" w:hAnsi="Verdana"/>
          <w:sz w:val="20"/>
          <w:szCs w:val="20"/>
        </w:rPr>
        <w:t>entrada en vigencia</w:t>
      </w:r>
      <w:proofErr w:type="gramEnd"/>
      <w:r w:rsidRPr="0024714D">
        <w:rPr>
          <w:rFonts w:ascii="Verdana" w:hAnsi="Verdana"/>
          <w:sz w:val="20"/>
          <w:szCs w:val="20"/>
        </w:rPr>
        <w:t>: 31 de enero de 2025</w:t>
      </w:r>
    </w:p>
    <w:p w14:paraId="23E01C1B" w14:textId="77777777" w:rsidR="0024714D" w:rsidRPr="0024714D" w:rsidRDefault="0024714D" w:rsidP="0024714D">
      <w:pPr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>Estado de la vigencia: Vigente.</w:t>
      </w:r>
    </w:p>
    <w:p w14:paraId="67A2F27A" w14:textId="77777777" w:rsidR="0024714D" w:rsidRPr="0024714D" w:rsidRDefault="0024714D" w:rsidP="0024714D">
      <w:pPr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 xml:space="preserve"> </w:t>
      </w:r>
    </w:p>
    <w:p w14:paraId="713D14C6" w14:textId="294E5CB0" w:rsidR="0024714D" w:rsidRPr="0024714D" w:rsidRDefault="0024714D" w:rsidP="0024714D">
      <w:pPr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 xml:space="preserve">Fecha de publicación en Diario Oficial: </w:t>
      </w:r>
      <w:r w:rsidR="00431AF2">
        <w:rPr>
          <w:rFonts w:ascii="Verdana" w:hAnsi="Verdana"/>
          <w:sz w:val="20"/>
          <w:szCs w:val="20"/>
        </w:rPr>
        <w:t>31 de enero de 2025</w:t>
      </w:r>
    </w:p>
    <w:p w14:paraId="2B48C310" w14:textId="77777777" w:rsidR="00825D01" w:rsidRDefault="0024714D" w:rsidP="0024714D">
      <w:pPr>
        <w:tabs>
          <w:tab w:val="center" w:pos="4419"/>
        </w:tabs>
        <w:rPr>
          <w:rFonts w:ascii="Verdana" w:hAnsi="Verdana"/>
          <w:sz w:val="20"/>
          <w:szCs w:val="20"/>
        </w:rPr>
      </w:pPr>
      <w:r w:rsidRPr="0024714D">
        <w:rPr>
          <w:rFonts w:ascii="Verdana" w:hAnsi="Verdana"/>
          <w:sz w:val="20"/>
          <w:szCs w:val="20"/>
        </w:rPr>
        <w:t xml:space="preserve">Número del Diario Oficial: </w:t>
      </w:r>
      <w:r w:rsidR="00431AF2">
        <w:rPr>
          <w:rFonts w:ascii="Verdana" w:hAnsi="Verdana"/>
          <w:sz w:val="20"/>
          <w:szCs w:val="20"/>
        </w:rPr>
        <w:t>No. 53.016</w:t>
      </w:r>
    </w:p>
    <w:p w14:paraId="7D295255" w14:textId="6067C88A" w:rsidR="00825D01" w:rsidRPr="00D27DA9" w:rsidRDefault="00825D01" w:rsidP="00825D01">
      <w:pPr>
        <w:rPr>
          <w:rFonts w:ascii="Verdana" w:eastAsia="Times New Roman" w:hAnsi="Verdana" w:cs="Times New Roman"/>
          <w:sz w:val="20"/>
          <w:szCs w:val="20"/>
          <w:lang w:eastAsia="es-CO"/>
        </w:rPr>
      </w:pPr>
      <w:r w:rsidRPr="00D27DA9">
        <w:rPr>
          <w:rFonts w:ascii="Verdana" w:hAnsi="Verdana"/>
          <w:sz w:val="20"/>
          <w:szCs w:val="20"/>
        </w:rPr>
        <w:t xml:space="preserve">Nota: </w:t>
      </w:r>
      <w:r w:rsidRPr="00D27DA9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El Artículo 3 Fue Modificado Por El Artículo 1 De La Resolución 1768 De 2025 - Artículos 1, 2, 3 Y 4 Modificados Por La Resolución 7858 De 2025</w:t>
      </w:r>
    </w:p>
    <w:p w14:paraId="4F52E3B1" w14:textId="35489492" w:rsidR="0024714D" w:rsidRDefault="0024714D" w:rsidP="0024714D">
      <w:pPr>
        <w:tabs>
          <w:tab w:val="center" w:pos="441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BCA58B5" w14:textId="77777777" w:rsidR="0024714D" w:rsidRPr="0024714D" w:rsidRDefault="0024714D" w:rsidP="0024714D">
      <w:pPr>
        <w:tabs>
          <w:tab w:val="center" w:pos="4419"/>
        </w:tabs>
        <w:jc w:val="center"/>
        <w:rPr>
          <w:rFonts w:ascii="Verdana" w:hAnsi="Verdana"/>
          <w:b/>
          <w:bCs/>
        </w:rPr>
      </w:pPr>
      <w:r w:rsidRPr="0024714D">
        <w:rPr>
          <w:rFonts w:ascii="Verdana" w:hAnsi="Verdana"/>
          <w:b/>
          <w:bCs/>
        </w:rPr>
        <w:t>RESOLUCIÓN 0320 DE 2025</w:t>
      </w:r>
    </w:p>
    <w:p w14:paraId="34B0028C" w14:textId="2DF8B7FF" w:rsidR="0024714D" w:rsidRDefault="0024714D" w:rsidP="0024714D">
      <w:pPr>
        <w:tabs>
          <w:tab w:val="center" w:pos="4419"/>
        </w:tabs>
        <w:jc w:val="center"/>
        <w:rPr>
          <w:rFonts w:ascii="Verdana" w:hAnsi="Verdana"/>
        </w:rPr>
      </w:pPr>
      <w:r>
        <w:rPr>
          <w:rFonts w:ascii="Verdana" w:hAnsi="Verdana"/>
        </w:rPr>
        <w:t>(31 de enero)</w:t>
      </w:r>
    </w:p>
    <w:p w14:paraId="39B77A9E" w14:textId="6B748765" w:rsidR="0024714D" w:rsidRDefault="0024714D" w:rsidP="0024714D">
      <w:pPr>
        <w:tabs>
          <w:tab w:val="center" w:pos="4419"/>
        </w:tabs>
        <w:jc w:val="center"/>
        <w:rPr>
          <w:rFonts w:ascii="Verdana" w:hAnsi="Verdana"/>
        </w:rPr>
      </w:pPr>
      <w:r w:rsidRPr="0024714D">
        <w:rPr>
          <w:rFonts w:ascii="Verdana" w:hAnsi="Verdana"/>
        </w:rPr>
        <w:t>"Por la cual se aprueba el Manual Técnico Fortalecimiento Familiar y Comunitario V1, sus Guías Operativas del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Servicio, se derogan las Resoluciones Nos. 1911 del 3 de mayo 2024 y 1950 del 9 de mayo 2024 y se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dictan otras disposiciones"</w:t>
      </w:r>
    </w:p>
    <w:p w14:paraId="6013BBE1" w14:textId="797C6FD6" w:rsidR="0024714D" w:rsidRPr="0024714D" w:rsidRDefault="0024714D" w:rsidP="0024714D">
      <w:pPr>
        <w:tabs>
          <w:tab w:val="center" w:pos="4419"/>
        </w:tabs>
        <w:jc w:val="center"/>
        <w:rPr>
          <w:rFonts w:ascii="Verdana" w:hAnsi="Verdana"/>
          <w:b/>
          <w:bCs/>
        </w:rPr>
      </w:pPr>
      <w:r w:rsidRPr="0024714D">
        <w:rPr>
          <w:rFonts w:ascii="Verdana" w:hAnsi="Verdana"/>
          <w:b/>
          <w:bCs/>
        </w:rPr>
        <w:t>LA DIRECTORA GENERAL DEL INSTITUTO COLOMBIANO DE BIENESTAR FAMILIAR – ICBF "CECILIA DE LA FUENTE DE LLERAS"</w:t>
      </w:r>
    </w:p>
    <w:p w14:paraId="7575876C" w14:textId="109D4338" w:rsidR="0024714D" w:rsidRPr="0024714D" w:rsidRDefault="0024714D" w:rsidP="0024714D">
      <w:pPr>
        <w:tabs>
          <w:tab w:val="center" w:pos="4419"/>
        </w:tabs>
        <w:jc w:val="center"/>
        <w:rPr>
          <w:rFonts w:ascii="Verdana" w:hAnsi="Verdana"/>
        </w:rPr>
      </w:pPr>
      <w:r w:rsidRPr="0024714D">
        <w:rPr>
          <w:rFonts w:ascii="Verdana" w:hAnsi="Verdana"/>
        </w:rPr>
        <w:t>En uso de las facultades legales y estatutarias, en especial las conferidas en el artículo 78 de la Ley 489 de 1998, el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literal b) del artículo 28 de la Ley 7 de 1979, el literal a) del artículo 28 del Acuerdo 102 de 1979 aprobado mediante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Decreto 334 de 1980 y,</w:t>
      </w:r>
    </w:p>
    <w:p w14:paraId="707B2DBE" w14:textId="7A8F5C93" w:rsidR="0024714D" w:rsidRPr="0024714D" w:rsidRDefault="0024714D" w:rsidP="0024714D">
      <w:pPr>
        <w:tabs>
          <w:tab w:val="center" w:pos="4419"/>
        </w:tabs>
        <w:jc w:val="center"/>
        <w:rPr>
          <w:rFonts w:ascii="Verdana" w:hAnsi="Verdana"/>
          <w:b/>
          <w:bCs/>
        </w:rPr>
      </w:pPr>
      <w:r w:rsidRPr="0024714D">
        <w:rPr>
          <w:rFonts w:ascii="Verdana" w:hAnsi="Verdana"/>
          <w:b/>
          <w:bCs/>
        </w:rPr>
        <w:t>CONSIDERAND</w:t>
      </w:r>
      <w:r w:rsidR="00D27DA9">
        <w:rPr>
          <w:rFonts w:ascii="Verdana" w:hAnsi="Verdana"/>
          <w:b/>
          <w:bCs/>
        </w:rPr>
        <w:t>O</w:t>
      </w:r>
      <w:r w:rsidRPr="0024714D">
        <w:rPr>
          <w:rFonts w:ascii="Verdana" w:hAnsi="Verdana"/>
          <w:b/>
          <w:bCs/>
        </w:rPr>
        <w:t>:</w:t>
      </w:r>
    </w:p>
    <w:p w14:paraId="45CE2F52" w14:textId="77777777" w:rsidR="0024714D" w:rsidRDefault="0024714D" w:rsidP="0024714D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el numeral 3 del artículo 16 de la Declaración Universal de los Derechos Humanos, aprobada y proclamada el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10 de diciembre de 1948 por la Asamblea General de las Naciones Unidas, establece que "la familia es el elemento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natural y fundamental de la sociedad y tiene derecho a la protección de la sociedad y del Estado."</w:t>
      </w:r>
      <w:r>
        <w:rPr>
          <w:rFonts w:ascii="Verdana" w:hAnsi="Verdana"/>
        </w:rPr>
        <w:t xml:space="preserve"> </w:t>
      </w:r>
    </w:p>
    <w:p w14:paraId="2CA9C206" w14:textId="47874ABA" w:rsidR="0024714D" w:rsidRPr="0024714D" w:rsidRDefault="0024714D" w:rsidP="0024714D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el artículo 42 de la Carta Política establece que “La familia es el núcleo fundamental de la sociedad (...). El Estado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- y la sociedad garantizan la protección integral de la familia".</w:t>
      </w:r>
    </w:p>
    <w:p w14:paraId="05F5AF2E" w14:textId="53DADCD6" w:rsidR="0024714D" w:rsidRPr="0024714D" w:rsidRDefault="0024714D" w:rsidP="0024714D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la Ley 1361 de 2009 creó la "Ley de Protección Integral a la Familia", la cual dimensionó a la familia como sujeto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colectivo de derechos. El artículo primero de la norma en cita establece como deber del Estado el desarrollo de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programas de atención a la familia y a sus miembros, con el fin de priorizar su unidad y la activación de recursos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 xml:space="preserve">para que funcione como el instrumento </w:t>
      </w:r>
      <w:r w:rsidRPr="0024714D">
        <w:rPr>
          <w:rFonts w:ascii="Verdana" w:hAnsi="Verdana"/>
        </w:rPr>
        <w:lastRenderedPageBreak/>
        <w:t>protector por excelencia de sus integrantes. Para el desarrollo de ese objetivo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se deben reconocer y potencializar las capacidades de las familias desde el marco de la diversidad y pluralidad, en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aras de que sean asumidas como protagonistas, agentes trasformadores y corresponsables con las garantías de sus derechos.</w:t>
      </w:r>
    </w:p>
    <w:p w14:paraId="4FE03F22" w14:textId="424AE855" w:rsidR="0024714D" w:rsidRPr="0024714D" w:rsidRDefault="0024714D" w:rsidP="0024714D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la Política Nacional de Infancia y Adolescencia 2018-2030, establece que las familias tienen un papel protagónico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con capacidad transformadora para la promoción de los proyectos de vida individual y colectiva de sus integrantes, así como del desarrollo social y comunitario (pág. 20). Lo anterior, en el entendido de que las niñas, niños y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adolescentes construyen sus identidades en el marco de diversidad, a partir de su ubicación social, cultural y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económica en la familia, en la comunidad y en las relaciones intra e intergeneracionales y como habitantes de ciudades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o de otros territorios.</w:t>
      </w:r>
    </w:p>
    <w:p w14:paraId="611D6729" w14:textId="7CCD6322" w:rsidR="0024714D" w:rsidRPr="0024714D" w:rsidRDefault="0024714D" w:rsidP="0024714D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la Honorable Corte Constitucional de Colombia a través de la sentencia C-271 de 2003 y la sentencia C-886 de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2010 ha avanzado en la conceptualización de la familia desde el principio del pluralismo, "porque en una sociedad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plural no puede existir un concepto único y excluyente de familia" de allí, que debe ser considerada como una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institución en constante evolución y conformada por "personas emparentadas entre sí por vínculos naturales 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jurídicos, que funda su existencia en el amor, el respeto y la solidaridad, y que se caracteriza por la unidad de vida o</w:t>
      </w:r>
      <w:r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de destino que liga íntimamente a sus integrantes más próximos"</w:t>
      </w:r>
    </w:p>
    <w:p w14:paraId="23FA9DF8" w14:textId="6419D3F9" w:rsidR="00A12EC2" w:rsidRPr="00A12EC2" w:rsidRDefault="0024714D" w:rsidP="00A12EC2">
      <w:pPr>
        <w:jc w:val="both"/>
        <w:rPr>
          <w:rFonts w:ascii="Verdana" w:hAnsi="Verdana"/>
        </w:rPr>
      </w:pPr>
      <w:r w:rsidRPr="0024714D">
        <w:rPr>
          <w:rFonts w:ascii="Verdana" w:hAnsi="Verdana"/>
        </w:rPr>
        <w:t>Que, mediante la Ley 75 de 1968 se creó el Instituto Colombiano de Bienestar Familiar - ICBF "Cecilia de la Fuente</w:t>
      </w:r>
      <w:r w:rsidR="00A12EC2"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 xml:space="preserve">de Lleras" como un establecimiento público descentralizado, con personería </w:t>
      </w:r>
      <w:proofErr w:type="spellStart"/>
      <w:r w:rsidRPr="0024714D">
        <w:rPr>
          <w:rFonts w:ascii="Verdana" w:hAnsi="Verdana"/>
        </w:rPr>
        <w:t>juridica</w:t>
      </w:r>
      <w:proofErr w:type="spellEnd"/>
      <w:r w:rsidRPr="0024714D">
        <w:rPr>
          <w:rFonts w:ascii="Verdana" w:hAnsi="Verdana"/>
        </w:rPr>
        <w:t>, autonomía administrativa y</w:t>
      </w:r>
      <w:r w:rsidR="00A12EC2"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patrimonio propio. El objeto del ICBF es "propender y fortalecer la integración y el desarrollo armónico de la familia,</w:t>
      </w:r>
      <w:r w:rsidR="00A12EC2"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proteger al menor de edad y garantizarle sus derechos". Dicha Ley fue reglamentada por el Decreto 2388 de 1979,</w:t>
      </w:r>
      <w:r w:rsidR="00A12EC2">
        <w:rPr>
          <w:rFonts w:ascii="Verdana" w:hAnsi="Verdana"/>
        </w:rPr>
        <w:t xml:space="preserve"> </w:t>
      </w:r>
      <w:r w:rsidRPr="0024714D">
        <w:rPr>
          <w:rFonts w:ascii="Verdana" w:hAnsi="Verdana"/>
        </w:rPr>
        <w:t>compilado en el Decreto 1084 de 2015, y estableció las funciones de formular programas de bienestar familiar,</w:t>
      </w:r>
      <w:r w:rsidR="00A12EC2">
        <w:rPr>
          <w:rFonts w:ascii="Verdana" w:hAnsi="Verdana"/>
        </w:rPr>
        <w:t xml:space="preserve"> </w:t>
      </w:r>
      <w:r w:rsidR="00A12EC2" w:rsidRPr="00A12EC2">
        <w:rPr>
          <w:rFonts w:ascii="Verdana" w:hAnsi="Verdana"/>
        </w:rPr>
        <w:t>ejecutar y evaluar programas de nutrición y alimentación y dictar programas tendientes al fortalecimiento de la familia</w:t>
      </w:r>
      <w:r w:rsidR="00A12EC2">
        <w:rPr>
          <w:rFonts w:ascii="Verdana" w:hAnsi="Verdana"/>
        </w:rPr>
        <w:t xml:space="preserve"> </w:t>
      </w:r>
      <w:r w:rsidR="00A12EC2" w:rsidRPr="00A12EC2">
        <w:rPr>
          <w:rFonts w:ascii="Verdana" w:hAnsi="Verdana"/>
        </w:rPr>
        <w:t>y la protección al menor de edad.</w:t>
      </w:r>
    </w:p>
    <w:p w14:paraId="1BE44397" w14:textId="777B6766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de conformidad con lo dispuesto en el parágrafo del artículo 11 de la Ley 1098 de 2006, el ICBF, al ser el ente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coordinador del Sistema Nacional de Bienestar Familiar -SNBF- mantiene "todas las funciones que hoy tiene (Ley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75/68 y Ley 7/79) y definirá los lineamientos técnicos que las entidades deben cumplir para garantizar los derechos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de los niños, niñas y los adolescentes, y para asegurar su restablecimiento (...)".</w:t>
      </w:r>
    </w:p>
    <w:p w14:paraId="2B52C1B8" w14:textId="1357D258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el artículo 14 de la citada norma establece la responsabilidad parental, entendida como "un complemento de la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patria potestad establecida en la legislación civil. Es, además, la obligación inherente a la orientación, cuidado,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acompañamiento y crianza de los niños, las niñas y los adolescentes durante su proceso de formación. Esto incluye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 xml:space="preserve">la responsabilidad compartida y solidaria del </w:t>
      </w:r>
      <w:r w:rsidRPr="00A12EC2">
        <w:rPr>
          <w:rFonts w:ascii="Verdana" w:hAnsi="Verdana"/>
        </w:rPr>
        <w:lastRenderedPageBreak/>
        <w:t>padre y la madre de asegurarse que los niños, las niñas y los adolescentes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puedan lograr el máximo nivel de satisfacción de sus derechos. En ningún caso el ejercicio de la responsabilidad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parental puede conllevar violencia física, psicológica o actos que impidan el ejercicio de sus derechos".</w:t>
      </w:r>
    </w:p>
    <w:p w14:paraId="13251CBD" w14:textId="060627D9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de acuerdo con el artículo 39 de la Ley 1098 de 2006, respecto a las obligaciones de la familia frente a los niños,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niñas y adolescentes señala: "(...) tendrá la obligación de promover la igualdad de derechos, el afecto, la solidaridad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y el respeto recíproco entre todos sus integrantes. Cualquier forma de violencia en la familia se considera destructiva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de su armonía y unidad y debe ser sancionada (...)."</w:t>
      </w:r>
    </w:p>
    <w:p w14:paraId="32D08575" w14:textId="137808B5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la Ley Estatutaria 1618 de 2013, establece disposiciones para garantizar el pleno ejercicio de los derechos de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las personas con discapacidad, razón por la cual en el ámbito de la promoción y la prevención se generan escenarios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de acciones afirmativas enmarcadas en el servicio Presencia para la Convivencia y el Fortalecimiento de Vínculos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Familiares y Comunitarios que propenden por la atención de las familias con personas con discapacidad.</w:t>
      </w:r>
    </w:p>
    <w:p w14:paraId="6A272F49" w14:textId="7AD3672B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el artículo 8° de la precitada Ley establece el acompañamiento a las familias, a través de medidas de inclusión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de las personas con discapacidad integrando a sus familias y a su comunidad en todos los campos de la actividad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 xml:space="preserve">humana, en especial a 'las familias de </w:t>
      </w:r>
      <w:proofErr w:type="spellStart"/>
      <w:r w:rsidRPr="00A12EC2">
        <w:rPr>
          <w:rFonts w:ascii="Verdana" w:hAnsi="Verdana"/>
        </w:rPr>
        <w:t>bajós</w:t>
      </w:r>
      <w:proofErr w:type="spellEnd"/>
      <w:r w:rsidRPr="00A12EC2">
        <w:rPr>
          <w:rFonts w:ascii="Verdana" w:hAnsi="Verdana"/>
        </w:rPr>
        <w:t xml:space="preserve"> recursos, y a las familias de las personas con mayor riesgo de exclusión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por su grado de discapacidad, lo anterior en concordancia con el artículo 23 de Ley 1346 de 2009.</w:t>
      </w:r>
    </w:p>
    <w:p w14:paraId="59BBA82C" w14:textId="77777777" w:rsidR="0066091D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la Ley 2294 de 2023 "Por el cual se expide el Plan Nacional de Desarrollo 2022-2026 "Colombia Potencia Mundial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de la Vida", señala en sus artículos 3 y 4, cinco ejes de transformación y cinco ejes transversales, respectivamente,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a través de los cuales se materializará el Plan Nacional de Desarrollo -PND-2022-2026. Dentro de los primeros se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enfatiza "/a seguridad humana y justicia social" así como "el derecho humano a la alimentación". Por otra parte, entre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los ejes trasversales se destacan: la "Paz total" y "Los actores diferenciales para el cambio".</w:t>
      </w:r>
      <w:r>
        <w:rPr>
          <w:rFonts w:ascii="Verdana" w:hAnsi="Verdana"/>
        </w:rPr>
        <w:t xml:space="preserve"> </w:t>
      </w:r>
    </w:p>
    <w:p w14:paraId="20FB8F5A" w14:textId="77FD399F" w:rsidR="00A12EC2" w:rsidRPr="00A12EC2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>Que, en virtud de lo dispuesto en el numeral 5 del artículo 3 de la Ley 2294 de 2023 "convergencia regional",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Gobierno Nacional le apuesta al fortalecimiento de la familia como sujeto de derechos. Para garantizar la convergencia</w:t>
      </w:r>
      <w:r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entre regiones y hogares del país se requiere de la transformación de las instituciones y la gestión de lo público,</w:t>
      </w:r>
      <w:r w:rsidR="0066091D"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situando al ciudadano en el centro de su accionar y construyendo un relacionamiento estrecho, mediado por la</w:t>
      </w:r>
      <w:r w:rsidR="0066091D"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confianza, entre las comunidades y entre éstas y las instituciones, con el fin de responder oportunamente a sus</w:t>
      </w:r>
      <w:r w:rsidR="0066091D"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necesidades y atender sus expectativas e intereses, a partir de marcos regulatorios consistentes.</w:t>
      </w:r>
    </w:p>
    <w:p w14:paraId="7A521268" w14:textId="02D6D04A" w:rsidR="0024714D" w:rsidRDefault="00A12EC2" w:rsidP="00A12EC2">
      <w:pPr>
        <w:jc w:val="both"/>
        <w:rPr>
          <w:rFonts w:ascii="Verdana" w:hAnsi="Verdana"/>
        </w:rPr>
      </w:pPr>
      <w:r w:rsidRPr="00A12EC2">
        <w:rPr>
          <w:rFonts w:ascii="Verdana" w:hAnsi="Verdana"/>
        </w:rPr>
        <w:t xml:space="preserve">Que, en atención a lo </w:t>
      </w:r>
      <w:r w:rsidR="0066091D" w:rsidRPr="00A12EC2">
        <w:rPr>
          <w:rFonts w:ascii="Verdana" w:hAnsi="Verdana"/>
        </w:rPr>
        <w:t>anterior</w:t>
      </w:r>
      <w:r w:rsidRPr="00A12EC2">
        <w:rPr>
          <w:rFonts w:ascii="Verdana" w:hAnsi="Verdana"/>
        </w:rPr>
        <w:t>, el Estado colombiano ha venido trabajando en el desarrollo de políticas que garanticen</w:t>
      </w:r>
      <w:r w:rsidR="0066091D"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 xml:space="preserve">el fortalecimiento de la familia y su </w:t>
      </w:r>
      <w:r w:rsidRPr="00A12EC2">
        <w:rPr>
          <w:rFonts w:ascii="Verdana" w:hAnsi="Verdana"/>
        </w:rPr>
        <w:lastRenderedPageBreak/>
        <w:t>corresponsabilidad en la protección y garantías de los derechos de las niñas, niños</w:t>
      </w:r>
      <w:r w:rsidR="0066091D">
        <w:rPr>
          <w:rFonts w:ascii="Verdana" w:hAnsi="Verdana"/>
        </w:rPr>
        <w:t xml:space="preserve"> </w:t>
      </w:r>
      <w:r w:rsidRPr="00A12EC2">
        <w:rPr>
          <w:rFonts w:ascii="Verdana" w:hAnsi="Verdana"/>
        </w:rPr>
        <w:t>y adolescentes en el País.</w:t>
      </w:r>
    </w:p>
    <w:p w14:paraId="7DBD3867" w14:textId="285EE28F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las bases del PND 2022-2026, incorporadas como anexos de la Ley 2294 de 2023 (art.2), contemplan como una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de las apuestas de este Gobierno la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potencialización de la capacidad de la familia: entendida como sujeto de derechos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en el marco del diálogo y la participación, como de comunidades protectoras integrales. Esto con el objetivo de que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las niñas, niños y adolescentes gocen de entornos seguros y protectores, en donde prime el cuidado, el amor y el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respeto; incidiendo en el bienestar socioemocional, los hábitos para el buen vivir, la protección de las trayectorias educativas y la convivencia escolar (pág.254-256).</w:t>
      </w:r>
    </w:p>
    <w:p w14:paraId="6209C2DA" w14:textId="67D352F6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conforme con los numerales 1 y 7 del artículo 34 del Decreto 987 de 2012, la Dirección de Familias y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Comunidades del ICBF tiene dentro de sus competencias definir los lineamientos y liderar la implementación de las políticas, planes, programas y proyectos relativos a las familias y a las comunidades.</w:t>
      </w:r>
    </w:p>
    <w:p w14:paraId="2C4C3EFF" w14:textId="17921416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en el marco de las funciones señaladas, el ICBF expidió la Resolución No. 1911 del 3 de mayo de 2024, mediante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 xml:space="preserve">la cual: i) adoptó el Manual Operativo de la Modalidad de Acompañamiento Intercultural (Étnico y Campesino) Tejiendo interculturalidad y; </w:t>
      </w:r>
      <w:proofErr w:type="spellStart"/>
      <w:r w:rsidRPr="0066091D">
        <w:rPr>
          <w:rFonts w:ascii="Verdana" w:hAnsi="Verdana"/>
        </w:rPr>
        <w:t>ii</w:t>
      </w:r>
      <w:proofErr w:type="spellEnd"/>
      <w:r w:rsidRPr="0066091D">
        <w:rPr>
          <w:rFonts w:ascii="Verdana" w:hAnsi="Verdana"/>
        </w:rPr>
        <w:t>) derogó la Resolución No. 10172 del 31 de diciembre de 2021.</w:t>
      </w:r>
    </w:p>
    <w:p w14:paraId="4E3686FE" w14:textId="57A1185A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así mismo, el ICBF expidió la Resolución No.1950 del 9 de mayo de 2024, mediante la cual: i) se crea la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estrategia Presencia, Asesoría y Asistencia a la Familia para la Convivencia y Fortalecimiento de Vínculos Familiares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 xml:space="preserve">y Comunitarios; </w:t>
      </w:r>
      <w:proofErr w:type="spellStart"/>
      <w:r w:rsidRPr="0066091D">
        <w:rPr>
          <w:rFonts w:ascii="Verdana" w:hAnsi="Verdana"/>
        </w:rPr>
        <w:t>ii</w:t>
      </w:r>
      <w:proofErr w:type="spellEnd"/>
      <w:r w:rsidRPr="0066091D">
        <w:rPr>
          <w:rFonts w:ascii="Verdana" w:hAnsi="Verdana"/>
        </w:rPr>
        <w:t xml:space="preserve">) se adoptó el Manual Operativo de la Modalidad Somos Familia, Somos Comunidad y; </w:t>
      </w:r>
      <w:proofErr w:type="spellStart"/>
      <w:r w:rsidRPr="0066091D">
        <w:rPr>
          <w:rFonts w:ascii="Verdana" w:hAnsi="Verdana"/>
        </w:rPr>
        <w:t>ii</w:t>
      </w:r>
      <w:proofErr w:type="spellEnd"/>
      <w:r w:rsidRPr="0066091D">
        <w:rPr>
          <w:rFonts w:ascii="Verdana" w:hAnsi="Verdana"/>
        </w:rPr>
        <w:t>) derogó la Resolución No. 5525 del 14 de julio de 2023.</w:t>
      </w:r>
    </w:p>
    <w:p w14:paraId="7B4A24A4" w14:textId="37FCAA1C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por otra parte, mediante Resolución No. 4200 del 15 de julio de 2021 se aprobó el Manual Operativo Modalidades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y Servicio para la atención de Niñas, Niños y Adolescentes, con Proceso Administrativo de Restablecimiento de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Derechos, a cargo de la Dirección de Protección, dentro de las cuales se establecen tres modalidades de apoyo y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fortalecimiento a la familia o red vincular, a saber: intervención de apoyo psicosocial, externado y hogar gestor.</w:t>
      </w:r>
    </w:p>
    <w:p w14:paraId="6099C9D5" w14:textId="3C496765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la precitada modalidad está dirigida a la atención de cuatro grupos poblacionales: (i) niñas, niños y adolescentes de 0 a 18 años con derechos amenazados y/o vulnerados, con discapacidad; (</w:t>
      </w:r>
      <w:proofErr w:type="spellStart"/>
      <w:r w:rsidRPr="0066091D">
        <w:rPr>
          <w:rFonts w:ascii="Verdana" w:hAnsi="Verdana"/>
        </w:rPr>
        <w:t>ii</w:t>
      </w:r>
      <w:proofErr w:type="spellEnd"/>
      <w:r w:rsidRPr="0066091D">
        <w:rPr>
          <w:rFonts w:ascii="Verdana" w:hAnsi="Verdana"/>
        </w:rPr>
        <w:t>) niñas, niños y adolescentes de 0 а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18 años, con derechos amenazados y/o vulnerados, con discapacidad, víctimas de desplazamiento forzado en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marco del auto 006 de 2009; (</w:t>
      </w:r>
      <w:proofErr w:type="spellStart"/>
      <w:r w:rsidRPr="0066091D">
        <w:rPr>
          <w:rFonts w:ascii="Verdana" w:hAnsi="Verdana"/>
        </w:rPr>
        <w:t>iii</w:t>
      </w:r>
      <w:proofErr w:type="spellEnd"/>
      <w:r w:rsidRPr="0066091D">
        <w:rPr>
          <w:rFonts w:ascii="Verdana" w:hAnsi="Verdana"/>
        </w:rPr>
        <w:t>) mayores de 18 años con discapacidad que al cumplir la mayoría de edad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encontraban con PARD y; (</w:t>
      </w:r>
      <w:proofErr w:type="spellStart"/>
      <w:r w:rsidRPr="0066091D">
        <w:rPr>
          <w:rFonts w:ascii="Verdana" w:hAnsi="Verdana"/>
        </w:rPr>
        <w:t>iv</w:t>
      </w:r>
      <w:proofErr w:type="spellEnd"/>
      <w:r w:rsidRPr="0066091D">
        <w:rPr>
          <w:rFonts w:ascii="Verdana" w:hAnsi="Verdana"/>
        </w:rPr>
        <w:t>) niñas, niños y adolescentes de 0 a 18 años, con derechos amenazados y/o vulnerados, víctimas de conflicto armado con o sin discapacidad.</w:t>
      </w:r>
    </w:p>
    <w:p w14:paraId="0800AAB5" w14:textId="03172181" w:rsidR="0066091D" w:rsidRP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lastRenderedPageBreak/>
        <w:t>Que, el hogar gestor-discapacidad consiste en una modalidad que se desarrolla a través de acompañamiento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psicosocial y nutricional, dirigido a la niña, niño o adolescente en su medio familiar, con el fin de que la red familiar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o vincular asuma de manera corresponsable la protección integral, desde la garantía del "derecho de los niños, niñas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adolescentes de tener una familia y no ser separado de ella". Esto, con el objetivo de brindar herramientas de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fortalecimiento a la familia como entorno protector y gestor del desarrollo integral de las niñas, los niños y los adolescentes, y de esta manera empoderar a las familias a través de la identificación y vinculación a sus redes de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apoyo, promoviendo así la inclusión de éstos en los servicios institucionales, sociales y comunitarios de su contexto.</w:t>
      </w:r>
    </w:p>
    <w:p w14:paraId="0601557E" w14:textId="70D3A0E8" w:rsidR="0066091D" w:rsidRDefault="0066091D" w:rsidP="0066091D">
      <w:pPr>
        <w:jc w:val="both"/>
        <w:rPr>
          <w:rFonts w:ascii="Verdana" w:hAnsi="Verdana"/>
        </w:rPr>
      </w:pPr>
      <w:r w:rsidRPr="0066091D">
        <w:rPr>
          <w:rFonts w:ascii="Verdana" w:hAnsi="Verdana"/>
        </w:rPr>
        <w:t>Que, el hogar gestor puede incluir la entrega de un apoyo económico, previo concepto del equipo técnico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interdisciplinario de la autoridad administrativa, el cual consiste en un recurso en dinero que entrega el ICBF a las familias, que, junto con la intervención psicosocial y nutricional, busca el restablecimiento de los derechos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amenazados y/o vulnerados. El eje central de la modalidad es el fortalecimiento familiar a través del acompañamiento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y el seguimiento en el marco de un PARD, por lo tanto, la entrega del apoyo económico no debe entenderse como el</w:t>
      </w:r>
      <w:r>
        <w:rPr>
          <w:rFonts w:ascii="Verdana" w:hAnsi="Verdana"/>
        </w:rPr>
        <w:t xml:space="preserve"> </w:t>
      </w:r>
      <w:r w:rsidRPr="0066091D">
        <w:rPr>
          <w:rFonts w:ascii="Verdana" w:hAnsi="Verdana"/>
        </w:rPr>
        <w:t>ingreso a un programa de auxilio o subsidio económico.</w:t>
      </w:r>
    </w:p>
    <w:p w14:paraId="1F271BC3" w14:textId="2C0EE89D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en aras de atender integralmente a las familias con niñas, niños y adolescentes de 0 a 18 años con derechos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amenazados y/o vulnerados, con discapacidad; mayores de 18 años con discapacidad que al cumplir la mayoría de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edad se encontraban con PARD, quienes habiendo superado la vulneración de derechos continúan en esta medida y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al no existir ninguna oferta estatal que asegure su atención, el ICBF requiere realizar el tránsito de estas familias al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servicio Presencia para la Convivencia y el Fortalecimiento de Vínculos Familiares y Comunitarios a cargo de la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Dirección de Familias y Comunidades.</w:t>
      </w:r>
    </w:p>
    <w:p w14:paraId="16F65231" w14:textId="1C880729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la discapacidad no es una amenaza ni una vulneración de derechos, sino que, hace parte de la diversidad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humana, de conformidad con lo dispuesto en la Convención sobre los Derechos de las Personas con Discapacidad,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adoptada en Colombia mediante la Ley 1346 de 2009. De igual manera, la situación de pobreza y la inobservancia de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derechos no son motivo para iniciar ni permanecer en un Proceso Administrativo de Restablecimiento de Derechos,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reconociendo lo establecido en el artículo 2º y el parágrafo 2 del artículo 3° de la Ley 1878 de 2018.</w:t>
      </w:r>
    </w:p>
    <w:p w14:paraId="33A1A89B" w14:textId="4AADBC03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en este sentido, las Direcciones de Protección y Familias y Comunidades, han definido realizar un tránsito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armónico y articulado de la población explícitamente señalada con el fin de no afectar a las y los beneficiarios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atendidos en la modalidad hogar gestor-discapacidad expidiendo el memorando con radicado No.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202420000000180953 del 30 de diciembre de 2024 mediante el cual se impartieron orientaciones para el tránsito de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las familias con niños, niñas, adolescentes y personas mayores de 18 años con discapacidad atendidos en la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modalidad hogar gestor-discapacidad al servicio Presencia para la </w:t>
      </w:r>
      <w:r w:rsidRPr="00A769D1">
        <w:rPr>
          <w:rFonts w:ascii="Verdana" w:hAnsi="Verdana"/>
        </w:rPr>
        <w:lastRenderedPageBreak/>
        <w:t>Convivencia y el Fortalecimiento de Vínculos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Familiares y Comunitarios de la Dirección de Familias y Comunidades.</w:t>
      </w:r>
    </w:p>
    <w:p w14:paraId="2D08A0DC" w14:textId="555CA82F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con el propósito de avanzar en el desarrollo de estas disposiciones, el ICBF: i) busca fomentar relaciones en las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que se reconocen y responden solidariamente a las familias y comunidades con vulneración de derechos, injusticias,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desigualdades, y; </w:t>
      </w:r>
      <w:proofErr w:type="spellStart"/>
      <w:r w:rsidRPr="00A769D1">
        <w:rPr>
          <w:rFonts w:ascii="Verdana" w:hAnsi="Verdana"/>
        </w:rPr>
        <w:t>ii</w:t>
      </w:r>
      <w:proofErr w:type="spellEnd"/>
      <w:r w:rsidRPr="00A769D1">
        <w:rPr>
          <w:rFonts w:ascii="Verdana" w:hAnsi="Verdana"/>
        </w:rPr>
        <w:t>) como sujetos de derechos y capacidades que potencian la vida y la paz, buscando la cultura del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cuidado.</w:t>
      </w:r>
    </w:p>
    <w:p w14:paraId="0F85023A" w14:textId="23D1B5E8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el Plan Marco de Implementación del Acuerdo de Paz, contiene compromisos relacionados con la protección y el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bienestar para las familias y las comunidades étnicas, especialmente en áreas rurales, debido a la importancia de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asegurar su protección y desarrollo en el contexto del postconflicto.</w:t>
      </w:r>
    </w:p>
    <w:p w14:paraId="25C508E9" w14:textId="03C5784B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teniendo en cuenta lo anterior, se han adelantado acciones tendientes a la articulación intersectorial a nivel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municipal, departamental y nacional, con la finalidad de apropiar la comprensión y puesta en </w:t>
      </w:r>
      <w:proofErr w:type="spellStart"/>
      <w:r w:rsidRPr="00A769D1">
        <w:rPr>
          <w:rFonts w:ascii="Verdana" w:hAnsi="Verdana"/>
        </w:rPr>
        <w:t>marchà</w:t>
      </w:r>
      <w:proofErr w:type="spellEnd"/>
      <w:r w:rsidRPr="00A769D1">
        <w:rPr>
          <w:rFonts w:ascii="Verdana" w:hAnsi="Verdana"/>
        </w:rPr>
        <w:t xml:space="preserve"> de la Política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Pública Nacional de Apoyo y Fortalecimiento a las Familias. De esa manera, se pretende promover el apoyo у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fortalecimiento de las familias en términos de desarrollo humano y social en todo el territorio colombiano, asumiendo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 las familias como sujetos colectivos de derechos y agentes de transformación.</w:t>
      </w:r>
    </w:p>
    <w:p w14:paraId="63E50D48" w14:textId="4A48B9EB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el Sistema Integrado de Gestión del Instituto Colombiano de Bienestar Familiar, bajo el cual se orienta la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organización de los servicios propone una estructura documental que otorga a las Guías de Servicio acciones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operacionales y técnicas.</w:t>
      </w:r>
    </w:p>
    <w:p w14:paraId="01D0D401" w14:textId="63115006" w:rsidR="0066091D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es necesario realizar un ajuste integral y articulado a las modalidades y servicios de fortalecimiento familiar y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comunitario del ICBF, para que contribuyan al cumplimiento y disfrute efectivo de los derechos individuales y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colectivos a través del ejercicio de la participación comunitaria y en colaboración con las comunidades conformadas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por familias, promoviendo el cuidado personal, familiar y público. Para realizar ese ajuste es necesario armonizar los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instrumentos técnicos que orientan la prestación de los servicios para el fortalecimiento familiar y comunitario para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que respondan en mejor manera a las necesidades y prioridades de las familias y comunidades.</w:t>
      </w:r>
    </w:p>
    <w:p w14:paraId="0132E6CA" w14:textId="6032A7FF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para ello el ICBF elaboró el "Manual Técnico Modalidad Fortalecimiento Familiar y Comunitario V1", el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cual tiene por objeto promover la potencia de la vida y el buen vivir en el contexto de las familias y comunidades, así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como brindar línea técnica relacionada con el funcionamiento de los servicios de esa Modalidad. Además, brinda herramientas conceptuales para la prestación de los servicios de fortalecimiento familiar y comunitario, haciendo de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él un referente para el ejercicio de asistencia técnica, control social, formación, cualificación y fortalecimiento a cargo del ICBF y las entidades territoriales.</w:t>
      </w:r>
    </w:p>
    <w:p w14:paraId="23FD53F2" w14:textId="3CDF577F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 xml:space="preserve">Que, además del mencionado Manual, se elaboró: i) La Guía Operativa del servicio Somos Familia, Somos Comunidad V1; </w:t>
      </w:r>
      <w:proofErr w:type="spellStart"/>
      <w:r w:rsidRPr="00A769D1">
        <w:rPr>
          <w:rFonts w:ascii="Verdana" w:hAnsi="Verdana"/>
        </w:rPr>
        <w:t>ii</w:t>
      </w:r>
      <w:proofErr w:type="spellEnd"/>
      <w:r w:rsidRPr="00A769D1">
        <w:rPr>
          <w:rFonts w:ascii="Verdana" w:hAnsi="Verdana"/>
        </w:rPr>
        <w:t xml:space="preserve">) La Guía Operativa del servicio </w:t>
      </w:r>
      <w:r w:rsidRPr="00A769D1">
        <w:rPr>
          <w:rFonts w:ascii="Verdana" w:hAnsi="Verdana"/>
        </w:rPr>
        <w:lastRenderedPageBreak/>
        <w:t xml:space="preserve">Tejiendo Interculturalidad V1; </w:t>
      </w:r>
      <w:proofErr w:type="spellStart"/>
      <w:r w:rsidRPr="00A769D1">
        <w:rPr>
          <w:rFonts w:ascii="Verdana" w:hAnsi="Verdana"/>
        </w:rPr>
        <w:t>iii</w:t>
      </w:r>
      <w:proofErr w:type="spellEnd"/>
      <w:r w:rsidRPr="00A769D1">
        <w:rPr>
          <w:rFonts w:ascii="Verdana" w:hAnsi="Verdana"/>
        </w:rPr>
        <w:t>) La Guía Operativa del servicio Presencia para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la Convivencia y el Fortalecimiento de Vínculos Familiares y Comunitarios V.1. Estas Guías Operativas ofrecen las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directrices esenciales para la prestación de los servicios, incluyendo los objetivos, componentes, procesos, requisitos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y criterios necesarios para garantizar la calidad en la atención a las familias y comunidades.</w:t>
      </w:r>
    </w:p>
    <w:p w14:paraId="2BE25390" w14:textId="40BDF21B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con el fin de dar cumplimiento al numeral 9 del artículo 3° y el numeral 8 del artículo 8° de la Ley 1437 de 2011,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el artículo 2.1.2.1.14 del Decreto 1081 de 2015; y el artículo 2 de la Resolución 0353 del 2023 del ICBF, se publicaron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en la página Web del Instituto los siguientes documentos; i) El Manual Técnico Modalidad Fortalecimiento Familiar y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Comunitario, y la Guia Operativa del servicio Tejiendo Interculturalidad del 21 al 30 de septiembre de 2024; </w:t>
      </w:r>
      <w:proofErr w:type="spellStart"/>
      <w:r w:rsidRPr="00A769D1">
        <w:rPr>
          <w:rFonts w:ascii="Verdana" w:hAnsi="Verdana"/>
        </w:rPr>
        <w:t>ii</w:t>
      </w:r>
      <w:proofErr w:type="spellEnd"/>
      <w:r w:rsidRPr="00A769D1">
        <w:rPr>
          <w:rFonts w:ascii="Verdana" w:hAnsi="Verdana"/>
        </w:rPr>
        <w:t>) La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Guía Operativa del servicio Somos Familia Somos Comunidad del 21 al 25 de noviembre de 2024 y </w:t>
      </w:r>
      <w:proofErr w:type="spellStart"/>
      <w:r w:rsidRPr="00A769D1">
        <w:rPr>
          <w:rFonts w:ascii="Verdana" w:hAnsi="Verdana"/>
        </w:rPr>
        <w:t>iii</w:t>
      </w:r>
      <w:proofErr w:type="spellEnd"/>
      <w:r w:rsidRPr="00A769D1">
        <w:rPr>
          <w:rFonts w:ascii="Verdana" w:hAnsi="Verdana"/>
        </w:rPr>
        <w:t>) La Guía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Operativa del servicio Presencia para la Convivencia y el Fortalecimiento de </w:t>
      </w:r>
      <w:proofErr w:type="spellStart"/>
      <w:r w:rsidRPr="00A769D1">
        <w:rPr>
          <w:rFonts w:ascii="Verdana" w:hAnsi="Verdana"/>
        </w:rPr>
        <w:t>Vinculos</w:t>
      </w:r>
      <w:proofErr w:type="spellEnd"/>
      <w:r w:rsidRPr="00A769D1">
        <w:rPr>
          <w:rFonts w:ascii="Verdana" w:hAnsi="Verdana"/>
        </w:rPr>
        <w:t xml:space="preserve"> Familiares y Comunitarios del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17 al 22 de diciembre de 2024; luego de lo cual no se recibieron observaciones de parte de la ciudadanía.</w:t>
      </w:r>
    </w:p>
    <w:p w14:paraId="13B1E4B3" w14:textId="34E668A5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Que, se hace necesario adoptar mediante el presente acto administrativo los siguientes documentos: i) El Manual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Técnico Fortalecimiento Familiar y Comunitario V1; </w:t>
      </w:r>
      <w:proofErr w:type="spellStart"/>
      <w:r w:rsidRPr="00A769D1">
        <w:rPr>
          <w:rFonts w:ascii="Verdana" w:hAnsi="Verdana"/>
        </w:rPr>
        <w:t>ii</w:t>
      </w:r>
      <w:proofErr w:type="spellEnd"/>
      <w:r w:rsidRPr="00A769D1">
        <w:rPr>
          <w:rFonts w:ascii="Verdana" w:hAnsi="Verdana"/>
        </w:rPr>
        <w:t>) La Guía Operativa del servicio Somos Familia, Somos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Comunidad V1; </w:t>
      </w:r>
      <w:proofErr w:type="spellStart"/>
      <w:r w:rsidRPr="00A769D1">
        <w:rPr>
          <w:rFonts w:ascii="Verdana" w:hAnsi="Verdana"/>
        </w:rPr>
        <w:t>iii</w:t>
      </w:r>
      <w:proofErr w:type="spellEnd"/>
      <w:r w:rsidRPr="00A769D1">
        <w:rPr>
          <w:rFonts w:ascii="Verdana" w:hAnsi="Verdana"/>
        </w:rPr>
        <w:t xml:space="preserve">) La Guía Operativa del servicio Tejiendo Interculturalidad V1; y </w:t>
      </w:r>
      <w:proofErr w:type="spellStart"/>
      <w:r w:rsidRPr="00A769D1">
        <w:rPr>
          <w:rFonts w:ascii="Verdana" w:hAnsi="Verdana"/>
        </w:rPr>
        <w:t>iv</w:t>
      </w:r>
      <w:proofErr w:type="spellEnd"/>
      <w:r w:rsidRPr="00A769D1">
        <w:rPr>
          <w:rFonts w:ascii="Verdana" w:hAnsi="Verdana"/>
        </w:rPr>
        <w:t>) La Gula Operativa del servicio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Presencia para la Convivencia y el Fortalecimiento de Vínculos Familiares y Comunitarios V1. Lo anterior conlleva a la</w:t>
      </w:r>
      <w:r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necesaria derogatoria de las Resoluciones No. 1911 del 3 de mayo de 2024 y 1950 del 9 de mayo de 2024.</w:t>
      </w:r>
    </w:p>
    <w:p w14:paraId="2A9F6B97" w14:textId="77777777" w:rsidR="00A769D1" w:rsidRPr="00A769D1" w:rsidRDefault="00A769D1" w:rsidP="00A769D1">
      <w:pPr>
        <w:jc w:val="both"/>
        <w:rPr>
          <w:rFonts w:ascii="Verdana" w:hAnsi="Verdana"/>
        </w:rPr>
      </w:pPr>
      <w:r w:rsidRPr="00A769D1">
        <w:rPr>
          <w:rFonts w:ascii="Verdana" w:hAnsi="Verdana"/>
        </w:rPr>
        <w:t>En mérito de lo expuesto,</w:t>
      </w:r>
    </w:p>
    <w:p w14:paraId="40EF3B0D" w14:textId="77777777" w:rsidR="00A769D1" w:rsidRPr="00A769D1" w:rsidRDefault="00A769D1" w:rsidP="00A769D1">
      <w:pPr>
        <w:jc w:val="center"/>
        <w:rPr>
          <w:rFonts w:ascii="Verdana" w:hAnsi="Verdana"/>
          <w:b/>
          <w:bCs/>
        </w:rPr>
      </w:pPr>
      <w:r w:rsidRPr="00A769D1">
        <w:rPr>
          <w:rFonts w:ascii="Verdana" w:hAnsi="Verdana"/>
          <w:b/>
          <w:bCs/>
        </w:rPr>
        <w:t>RESUELVE:</w:t>
      </w:r>
    </w:p>
    <w:p w14:paraId="34B9283B" w14:textId="2FF083CC" w:rsidR="00A769D1" w:rsidRPr="00825D01" w:rsidRDefault="00A769D1" w:rsidP="00D27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769D1">
        <w:rPr>
          <w:rFonts w:ascii="Verdana" w:hAnsi="Verdana"/>
          <w:b/>
          <w:bCs/>
        </w:rPr>
        <w:t>ARTÍCULO 1o.</w:t>
      </w:r>
      <w:r w:rsidRPr="00A769D1">
        <w:rPr>
          <w:rFonts w:ascii="Verdana" w:hAnsi="Verdana"/>
        </w:rPr>
        <w:t xml:space="preserve"> </w:t>
      </w:r>
      <w:r w:rsidR="00825D01">
        <w:rPr>
          <w:rFonts w:ascii="Verdana" w:hAnsi="Verdana"/>
        </w:rPr>
        <w:t>[</w:t>
      </w:r>
      <w:r w:rsidR="00825D01" w:rsidRPr="00825D01">
        <w:rPr>
          <w:rFonts w:ascii="Verdana" w:eastAsia="Times New Roman" w:hAnsi="Verdana" w:cs="Arial"/>
          <w:color w:val="000000"/>
          <w:lang w:eastAsia="es-CO"/>
        </w:rPr>
        <w:t>Modificado Por La Resolución 7858 De 2025</w:t>
      </w:r>
      <w:r w:rsidR="00825D01" w:rsidRPr="00825D01">
        <w:rPr>
          <w:rFonts w:ascii="Verdana" w:hAnsi="Verdana"/>
        </w:rPr>
        <w:t>]</w:t>
      </w:r>
      <w:r w:rsidR="00825D01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Adoptar el "Manual Técnico Fortalecimiento Familiar y Comunitario V1".</w:t>
      </w:r>
    </w:p>
    <w:p w14:paraId="3E49365A" w14:textId="5BD6104E" w:rsidR="00A769D1" w:rsidRPr="00A769D1" w:rsidRDefault="00A769D1" w:rsidP="00D27DA9">
      <w:pPr>
        <w:jc w:val="both"/>
        <w:rPr>
          <w:rFonts w:ascii="Verdana" w:hAnsi="Verdana"/>
        </w:rPr>
      </w:pPr>
      <w:r w:rsidRPr="00A769D1">
        <w:rPr>
          <w:rFonts w:ascii="Verdana" w:hAnsi="Verdana"/>
          <w:b/>
          <w:bCs/>
        </w:rPr>
        <w:t>ARTÍCULO 2o.</w:t>
      </w:r>
      <w:r w:rsidRPr="00A769D1">
        <w:rPr>
          <w:rFonts w:ascii="Verdana" w:hAnsi="Verdana"/>
        </w:rPr>
        <w:t xml:space="preserve"> </w:t>
      </w:r>
      <w:r w:rsidR="00825D01">
        <w:rPr>
          <w:rFonts w:ascii="Verdana" w:hAnsi="Verdana"/>
        </w:rPr>
        <w:t>[</w:t>
      </w:r>
      <w:r w:rsidR="00825D01" w:rsidRPr="00825D01">
        <w:rPr>
          <w:rFonts w:ascii="Verdana" w:eastAsia="Times New Roman" w:hAnsi="Verdana" w:cs="Arial"/>
          <w:color w:val="000000"/>
          <w:lang w:eastAsia="es-CO"/>
        </w:rPr>
        <w:t>Modificado Por La Resolución 7858 De 2025</w:t>
      </w:r>
      <w:r w:rsidR="00825D01" w:rsidRPr="00825D01">
        <w:rPr>
          <w:rFonts w:ascii="Verdana" w:hAnsi="Verdana"/>
        </w:rPr>
        <w:t>]</w:t>
      </w:r>
      <w:r w:rsidR="00825D01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Adoptar la "Guía Operativa del servicio Somos Familia, Somos Comunidad V1".</w:t>
      </w:r>
    </w:p>
    <w:p w14:paraId="19B6E926" w14:textId="44F57FA9" w:rsidR="00A769D1" w:rsidRPr="00A769D1" w:rsidRDefault="00A769D1" w:rsidP="00D27DA9">
      <w:pPr>
        <w:jc w:val="both"/>
        <w:rPr>
          <w:rFonts w:ascii="Verdana" w:hAnsi="Verdana"/>
        </w:rPr>
      </w:pPr>
      <w:r w:rsidRPr="00A769D1">
        <w:rPr>
          <w:rFonts w:ascii="Verdana" w:hAnsi="Verdana"/>
          <w:b/>
          <w:bCs/>
        </w:rPr>
        <w:t>ARTÍCULO 3o.</w:t>
      </w:r>
      <w:r w:rsidRPr="00A769D1">
        <w:rPr>
          <w:rFonts w:ascii="Verdana" w:hAnsi="Verdana"/>
        </w:rPr>
        <w:t xml:space="preserve"> </w:t>
      </w:r>
      <w:r w:rsidR="00825D01">
        <w:rPr>
          <w:rFonts w:ascii="Verdana" w:hAnsi="Verdana"/>
        </w:rPr>
        <w:t>[</w:t>
      </w:r>
      <w:r w:rsidR="00825D01" w:rsidRPr="00825D01">
        <w:rPr>
          <w:rFonts w:ascii="Verdana" w:eastAsia="Times New Roman" w:hAnsi="Verdana" w:cs="Arial"/>
          <w:color w:val="000000"/>
          <w:lang w:eastAsia="es-CO"/>
        </w:rPr>
        <w:t>Modificado Por El Artículo 1 De La Resolución 1768 De 2025</w:t>
      </w:r>
      <w:r w:rsidR="00825D01">
        <w:rPr>
          <w:rFonts w:ascii="Arial" w:eastAsia="Times New Roman" w:hAnsi="Arial" w:cs="Arial"/>
          <w:color w:val="000000"/>
          <w:lang w:eastAsia="es-CO"/>
        </w:rPr>
        <w:t xml:space="preserve">] - </w:t>
      </w:r>
      <w:r w:rsidR="00825D01">
        <w:rPr>
          <w:rFonts w:ascii="Verdana" w:hAnsi="Verdana"/>
        </w:rPr>
        <w:t>[</w:t>
      </w:r>
      <w:r w:rsidR="00825D01" w:rsidRPr="00825D01">
        <w:rPr>
          <w:rFonts w:ascii="Verdana" w:eastAsia="Times New Roman" w:hAnsi="Verdana" w:cs="Arial"/>
          <w:color w:val="000000"/>
          <w:lang w:eastAsia="es-CO"/>
        </w:rPr>
        <w:t>Modificado Por La Resolución 7858 De 2025</w:t>
      </w:r>
      <w:r w:rsidR="00825D01" w:rsidRPr="00825D01">
        <w:rPr>
          <w:rFonts w:ascii="Verdana" w:hAnsi="Verdana"/>
        </w:rPr>
        <w:t>]</w:t>
      </w:r>
      <w:r w:rsidR="00825D01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Adoptar la "Guia Operativa del Servicio Tejiendo Interculturalidad V1".</w:t>
      </w:r>
    </w:p>
    <w:p w14:paraId="191B111A" w14:textId="0F7BF26A" w:rsidR="00A769D1" w:rsidRPr="00A769D1" w:rsidRDefault="00A769D1" w:rsidP="00D27DA9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4</w:t>
      </w:r>
      <w:r w:rsidR="00F80ECC" w:rsidRPr="00F80ECC">
        <w:rPr>
          <w:rFonts w:ascii="Verdana" w:hAnsi="Verdana"/>
          <w:b/>
          <w:bCs/>
        </w:rPr>
        <w:t>o</w:t>
      </w:r>
      <w:r w:rsidRPr="00F80ECC">
        <w:rPr>
          <w:rFonts w:ascii="Verdana" w:hAnsi="Verdana"/>
          <w:b/>
          <w:bCs/>
        </w:rPr>
        <w:t>.</w:t>
      </w:r>
      <w:r w:rsidRPr="00A769D1">
        <w:rPr>
          <w:rFonts w:ascii="Verdana" w:hAnsi="Verdana"/>
        </w:rPr>
        <w:t xml:space="preserve"> </w:t>
      </w:r>
      <w:r w:rsidR="00825D01">
        <w:rPr>
          <w:rFonts w:ascii="Verdana" w:hAnsi="Verdana"/>
        </w:rPr>
        <w:t>[</w:t>
      </w:r>
      <w:r w:rsidR="00825D01" w:rsidRPr="00825D01">
        <w:rPr>
          <w:rFonts w:ascii="Verdana" w:eastAsia="Times New Roman" w:hAnsi="Verdana" w:cs="Arial"/>
          <w:color w:val="000000"/>
          <w:lang w:eastAsia="es-CO"/>
        </w:rPr>
        <w:t>Modificado Por La Resolución 7858 De 2025</w:t>
      </w:r>
      <w:r w:rsidR="00825D01" w:rsidRPr="00825D01">
        <w:rPr>
          <w:rFonts w:ascii="Verdana" w:hAnsi="Verdana"/>
        </w:rPr>
        <w:t>]</w:t>
      </w:r>
      <w:r w:rsidR="00825D01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Adoptar la "Guía Operativa del servicio Presencia para la Convivencia y el Fortalecimiento de </w:t>
      </w:r>
      <w:r w:rsidR="00825D01" w:rsidRPr="00A769D1">
        <w:rPr>
          <w:rFonts w:ascii="Verdana" w:hAnsi="Verdana"/>
        </w:rPr>
        <w:t>Vínculos</w:t>
      </w:r>
      <w:r w:rsidRPr="00A769D1">
        <w:rPr>
          <w:rFonts w:ascii="Verdana" w:hAnsi="Verdana"/>
        </w:rPr>
        <w:t xml:space="preserve"> Familiares y Comunitarios V1".</w:t>
      </w:r>
    </w:p>
    <w:p w14:paraId="79353174" w14:textId="0EFDA377" w:rsidR="00A769D1" w:rsidRPr="00A769D1" w:rsidRDefault="00A769D1" w:rsidP="00A769D1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5</w:t>
      </w:r>
      <w:r w:rsidR="00F80ECC" w:rsidRPr="00F80ECC">
        <w:rPr>
          <w:rFonts w:ascii="Verdana" w:hAnsi="Verdana"/>
          <w:b/>
          <w:bCs/>
        </w:rPr>
        <w:t>o</w:t>
      </w:r>
      <w:r w:rsidRPr="00F80ECC">
        <w:rPr>
          <w:rFonts w:ascii="Verdana" w:hAnsi="Verdana"/>
          <w:b/>
          <w:bCs/>
        </w:rPr>
        <w:t>.</w:t>
      </w:r>
      <w:r w:rsidRPr="00A769D1">
        <w:rPr>
          <w:rFonts w:ascii="Verdana" w:hAnsi="Verdana"/>
        </w:rPr>
        <w:t xml:space="preserve"> </w:t>
      </w:r>
      <w:proofErr w:type="gramStart"/>
      <w:r w:rsidRPr="00A769D1">
        <w:rPr>
          <w:rFonts w:ascii="Verdana" w:hAnsi="Verdana"/>
        </w:rPr>
        <w:t>Que</w:t>
      </w:r>
      <w:proofErr w:type="gramEnd"/>
      <w:r w:rsidRPr="00A769D1">
        <w:rPr>
          <w:rFonts w:ascii="Verdana" w:hAnsi="Verdana"/>
        </w:rPr>
        <w:t xml:space="preserve"> en virtud de lo anterior, el Manual Técnico y las Guías Operativas adoptadas a través de la presente</w:t>
      </w:r>
      <w:r w:rsidR="00F80ECC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 xml:space="preserve">Resolución son de obligatorio cumplimiento para todos los actores involucrados en la prestación de los </w:t>
      </w:r>
      <w:r w:rsidRPr="00A769D1">
        <w:rPr>
          <w:rFonts w:ascii="Verdana" w:hAnsi="Verdana"/>
        </w:rPr>
        <w:lastRenderedPageBreak/>
        <w:t>servicios de</w:t>
      </w:r>
      <w:r w:rsidR="00F80ECC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fortalecimiento familiar y comunitario, entre otros: Unidades ejecutoras, servidores públicos y demás colaboradores del ICBF que prestan, asesoran y supervisan el Servicio Público de Bienestar Familiar.</w:t>
      </w:r>
    </w:p>
    <w:p w14:paraId="2A37E659" w14:textId="552ADE12" w:rsidR="00A769D1" w:rsidRDefault="00A769D1" w:rsidP="00A769D1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6</w:t>
      </w:r>
      <w:r w:rsidR="00F80ECC" w:rsidRPr="00F80ECC">
        <w:rPr>
          <w:rFonts w:ascii="Verdana" w:hAnsi="Verdana"/>
          <w:b/>
          <w:bCs/>
        </w:rPr>
        <w:t>o</w:t>
      </w:r>
      <w:r w:rsidRPr="00F80ECC">
        <w:rPr>
          <w:rFonts w:ascii="Verdana" w:hAnsi="Verdana"/>
          <w:b/>
          <w:bCs/>
        </w:rPr>
        <w:t>. RÉGIMEN DE TRANSICIÓN.</w:t>
      </w:r>
      <w:r w:rsidRPr="00A769D1">
        <w:rPr>
          <w:rFonts w:ascii="Verdana" w:hAnsi="Verdana"/>
        </w:rPr>
        <w:t xml:space="preserve"> Los procesos y actuaciones que se hayan iniciado con base en los</w:t>
      </w:r>
      <w:r w:rsidR="00F80ECC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Lineamientos Técnicos y Manuales Operativos adoptados mediante las Resoluciones Nos. 1911 del 3 de mayo de 2024</w:t>
      </w:r>
      <w:r w:rsidR="00F80ECC">
        <w:rPr>
          <w:rFonts w:ascii="Verdana" w:hAnsi="Verdana"/>
        </w:rPr>
        <w:t xml:space="preserve"> </w:t>
      </w:r>
      <w:r w:rsidRPr="00A769D1">
        <w:rPr>
          <w:rFonts w:ascii="Verdana" w:hAnsi="Verdana"/>
        </w:rPr>
        <w:t>y 1950 del 9 de mayo de 2024, se regirán por lo establecido en dicho procedimiento hasta su finalización.</w:t>
      </w:r>
    </w:p>
    <w:p w14:paraId="67AB5538" w14:textId="39D8359E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7o. RÉGIMEN DE TRANSICIÓN HOGAR GESTOR-DISCAPACIDAD:</w:t>
      </w:r>
      <w:r w:rsidRPr="00F80ECC">
        <w:rPr>
          <w:rFonts w:ascii="Verdana" w:hAnsi="Verdana"/>
        </w:rPr>
        <w:t xml:space="preserve"> El tránsito al nuevo servicio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"Presencia para la Convivencia y el Fortalecimiento de Vínculos Familiares y Comunitarios" aplicará a las familias de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las niñas, niños y adolescentes de 0 a 18 años con discapacidad y personas mayores de edad con discapacidad,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atendidas en la modalidad hogar gestor-discapacidad con Proceso Administrativo de Restablecimiento de Derechos -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PARD- activo con corte a 31 de diciembre de 2024, fecha a partir de la cual esta población no hace parte de las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modalidades de restablecimiento de derechos de la Dirección de Protección.</w:t>
      </w:r>
    </w:p>
    <w:p w14:paraId="6C706441" w14:textId="7827FF40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</w:rPr>
        <w:t>Dentro del término improrrogable contado a partir de la publicación del presente acto administrativo y hasta el 31 de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marzo de 2025, las autoridades administrativas deberán atender las siguientes orientaciones:</w:t>
      </w:r>
    </w:p>
    <w:p w14:paraId="4074FA5F" w14:textId="27FE81C7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</w:rPr>
        <w:t>(i) Realizar seguimiento al beneficiario de la medida para verificar el estado de garantía de derechos y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valorar el cumplimiento de los objetivos del PARD a partir de lo cual definirán la pertinencia de la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continuidad o cierre del PARD y en consecuencia solicitarán su vinculación al nuevo servicio "Presencia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para la Convivencia y el Fortalecimiento de Vínculos Familiares y Comunitarios", actuación que deberán</w:t>
      </w:r>
    </w:p>
    <w:p w14:paraId="0EDDF15A" w14:textId="1AA0625A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</w:rPr>
        <w:t>(</w:t>
      </w:r>
      <w:proofErr w:type="spellStart"/>
      <w:r w:rsidRPr="00F80ECC">
        <w:rPr>
          <w:rFonts w:ascii="Verdana" w:hAnsi="Verdana"/>
        </w:rPr>
        <w:t>ii</w:t>
      </w:r>
      <w:proofErr w:type="spellEnd"/>
      <w:r w:rsidRPr="00F80ECC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adelantar con fecha límite 28 de febrero de 2025.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Desarrollar la preparación para el egreso del beneficiario de la modalidad hogar gestor-discapacidad,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de acuerdo con lo establecido en el Lineamiento Técnico para la Implementación del Modelo de Atención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dirigido a Niños, Niñas, Adolescentes en las Modalidades de Restablecimiento de Derechos, cuya fecha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límite será el 31 de marzo de 2025.</w:t>
      </w:r>
    </w:p>
    <w:p w14:paraId="2ED47C6A" w14:textId="46035FE3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</w:rPr>
        <w:t>En consecuencia, a partir del 1 de abril de 2025, estas familias serán atendidas bajo los lineamientos definidos en el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Anexo 3 del servicio "Presencia para la Convivencia y el Fortalecimiento de Vínculos Familiares y Comunitarios".</w:t>
      </w:r>
    </w:p>
    <w:p w14:paraId="387075D0" w14:textId="77777777" w:rsid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8o:</w:t>
      </w:r>
      <w:r w:rsidRPr="00F80ECC">
        <w:rPr>
          <w:rFonts w:ascii="Verdana" w:hAnsi="Verdana"/>
        </w:rPr>
        <w:t xml:space="preserve"> Adicionar un parágrafo al artículo primero de la Resolución 4200 del 15 de julio de 2021, "Por medio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de la cual se aprueba el Manual Operativo Modalidades y Servicios para la atención de niñas, niños y adolescentes,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con proceso administrativo de restablecimiento de derechos", el cual quedará así:</w:t>
      </w:r>
      <w:r>
        <w:rPr>
          <w:rFonts w:ascii="Verdana" w:hAnsi="Verdana"/>
        </w:rPr>
        <w:t xml:space="preserve"> </w:t>
      </w:r>
    </w:p>
    <w:p w14:paraId="7FFD8EC6" w14:textId="4C6C9615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</w:rPr>
        <w:t>"PARÁGRAFO. La Modalidad Hogar Gestor contemplada en el Manual Operativo Modalidades y Servicio para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 xml:space="preserve">la atención de Niñas, Niños y Adolescentes, con </w:t>
      </w:r>
      <w:r w:rsidRPr="00F80ECC">
        <w:rPr>
          <w:rFonts w:ascii="Verdana" w:hAnsi="Verdana"/>
        </w:rPr>
        <w:lastRenderedPageBreak/>
        <w:t>Proceso Administrativo de Restablecimiento de Derechos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no será aplicable a las siguientes poblaciones: (i) Niñas, niños y adolescentes de 0 a 18 años, con derechos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amenazados y/o vulnerados con discapacidad; (</w:t>
      </w:r>
      <w:proofErr w:type="spellStart"/>
      <w:r w:rsidRPr="00F80ECC">
        <w:rPr>
          <w:rFonts w:ascii="Verdana" w:hAnsi="Verdana"/>
        </w:rPr>
        <w:t>ii</w:t>
      </w:r>
      <w:proofErr w:type="spellEnd"/>
      <w:r w:rsidRPr="00F80ECC">
        <w:rPr>
          <w:rFonts w:ascii="Verdana" w:hAnsi="Verdana"/>
        </w:rPr>
        <w:t>) Mayores de 18 años con discapacidad que al cumplir la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mayoría de edad se encontraban con PARD.</w:t>
      </w:r>
    </w:p>
    <w:p w14:paraId="367B98B0" w14:textId="07942A44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9o.</w:t>
      </w:r>
      <w:r w:rsidRPr="00F80ECC">
        <w:rPr>
          <w:rFonts w:ascii="Verdana" w:hAnsi="Verdana"/>
        </w:rPr>
        <w:t xml:space="preserve"> Las Direcciones Regionales, las Coordinaciones de los Grupos Regionales y Centros Zonales, serán los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responsables de acoger, socializar, implementar y verificar la aplicación del Manual Técnico y las Guías Operativas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del Servicio que se adoptan con la presente resolución.</w:t>
      </w:r>
    </w:p>
    <w:p w14:paraId="14864620" w14:textId="4287971F" w:rsidR="00F80ECC" w:rsidRP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10o.</w:t>
      </w:r>
      <w:r w:rsidRPr="00F80ECC">
        <w:rPr>
          <w:rFonts w:ascii="Verdana" w:hAnsi="Verdana"/>
        </w:rPr>
        <w:t xml:space="preserve"> A través de la Oficina Asesora de Comunicaciones, publíquese el Manual Técnico y las Guías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Operativas adoptadas mediante la presente Resolución en la página web del ICBF http://www.icbf.gov.co., a fin de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que sean conocidos por los actores mencionados en el artículo 5 de esta resolución.</w:t>
      </w:r>
    </w:p>
    <w:p w14:paraId="689628DC" w14:textId="6A11811C" w:rsidR="00F80ECC" w:rsidRDefault="00F80ECC" w:rsidP="00F80ECC">
      <w:pPr>
        <w:jc w:val="both"/>
        <w:rPr>
          <w:rFonts w:ascii="Verdana" w:hAnsi="Verdana"/>
        </w:rPr>
      </w:pPr>
      <w:r w:rsidRPr="00F80ECC">
        <w:rPr>
          <w:rFonts w:ascii="Verdana" w:hAnsi="Verdana"/>
          <w:b/>
          <w:bCs/>
        </w:rPr>
        <w:t>ARTÍCULO 11o.</w:t>
      </w:r>
      <w:r w:rsidRPr="00F80ECC">
        <w:rPr>
          <w:rFonts w:ascii="Verdana" w:hAnsi="Verdana"/>
        </w:rPr>
        <w:t xml:space="preserve"> A través de las Direcciones de Protección y Familias y Comunidades, comuníquese la presente</w:t>
      </w:r>
      <w:r>
        <w:rPr>
          <w:rFonts w:ascii="Verdana" w:hAnsi="Verdana"/>
        </w:rPr>
        <w:t xml:space="preserve"> </w:t>
      </w:r>
      <w:r w:rsidRPr="00F80ECC">
        <w:rPr>
          <w:rFonts w:ascii="Verdana" w:hAnsi="Verdana"/>
        </w:rPr>
        <w:t>Resolución a todos los interesados, incluidas las autoridades administrativas.</w:t>
      </w:r>
    </w:p>
    <w:p w14:paraId="3088C9A3" w14:textId="55AA4DE4" w:rsidR="00D132EF" w:rsidRPr="00D132EF" w:rsidRDefault="00D132EF" w:rsidP="00D132EF">
      <w:pPr>
        <w:jc w:val="both"/>
        <w:rPr>
          <w:rFonts w:ascii="Verdana" w:hAnsi="Verdana"/>
        </w:rPr>
      </w:pPr>
      <w:r w:rsidRPr="00D132EF">
        <w:rPr>
          <w:rFonts w:ascii="Verdana" w:hAnsi="Verdana"/>
          <w:b/>
          <w:bCs/>
        </w:rPr>
        <w:t>ARTÍCULO 12o.</w:t>
      </w:r>
      <w:r w:rsidRPr="00D132EF">
        <w:rPr>
          <w:rFonts w:ascii="Verdana" w:hAnsi="Verdana"/>
        </w:rPr>
        <w:t xml:space="preserve"> A través de la Oficina Asesora de Comunicaciones, publíquese la presente Resolución en el Diario</w:t>
      </w:r>
      <w:r>
        <w:rPr>
          <w:rFonts w:ascii="Verdana" w:hAnsi="Verdana"/>
        </w:rPr>
        <w:t xml:space="preserve"> </w:t>
      </w:r>
      <w:r w:rsidRPr="00D132EF">
        <w:rPr>
          <w:rFonts w:ascii="Verdana" w:hAnsi="Verdana"/>
        </w:rPr>
        <w:t>Oficial, de conformidad con el artículo 65 del Código de Procedimiento Administrativo y de lo Contencioso Administrativo.</w:t>
      </w:r>
    </w:p>
    <w:p w14:paraId="0E5ECD3A" w14:textId="1D93D7BF" w:rsidR="00D132EF" w:rsidRPr="00D132EF" w:rsidRDefault="00D132EF" w:rsidP="00D132EF">
      <w:pPr>
        <w:jc w:val="both"/>
        <w:rPr>
          <w:rFonts w:ascii="Verdana" w:hAnsi="Verdana"/>
        </w:rPr>
      </w:pPr>
      <w:r w:rsidRPr="00D132EF">
        <w:rPr>
          <w:rFonts w:ascii="Verdana" w:hAnsi="Verdana"/>
          <w:b/>
          <w:bCs/>
        </w:rPr>
        <w:t>ARTÍCULO 13o.</w:t>
      </w:r>
      <w:r w:rsidRPr="00D132EF">
        <w:rPr>
          <w:rFonts w:ascii="Verdana" w:hAnsi="Verdana"/>
        </w:rPr>
        <w:t xml:space="preserve"> La presente Resolución rige a partir de su publicación en el diario oficial y deroga las Resoluciones</w:t>
      </w:r>
      <w:r>
        <w:rPr>
          <w:rFonts w:ascii="Verdana" w:hAnsi="Verdana"/>
        </w:rPr>
        <w:t xml:space="preserve"> </w:t>
      </w:r>
      <w:r w:rsidRPr="00D132EF">
        <w:rPr>
          <w:rFonts w:ascii="Verdana" w:hAnsi="Verdana"/>
        </w:rPr>
        <w:t>Nos. 1911 del 3 de mayo de 2024 y 1950 del 9 de mayo de 2024.</w:t>
      </w:r>
    </w:p>
    <w:p w14:paraId="65F3EB55" w14:textId="2CD978E4" w:rsidR="00D132EF" w:rsidRPr="00D132EF" w:rsidRDefault="00D132EF" w:rsidP="00D132EF">
      <w:pPr>
        <w:jc w:val="center"/>
        <w:rPr>
          <w:rFonts w:ascii="Verdana" w:hAnsi="Verdana"/>
          <w:b/>
          <w:bCs/>
        </w:rPr>
      </w:pPr>
      <w:r w:rsidRPr="00D132EF">
        <w:rPr>
          <w:rFonts w:ascii="Verdana" w:hAnsi="Verdana"/>
          <w:b/>
          <w:bCs/>
        </w:rPr>
        <w:t>PUBLÍQUESE, COMUNÍQUESE Y CÚMPLASE</w:t>
      </w:r>
    </w:p>
    <w:p w14:paraId="3C93063C" w14:textId="5C0DDBEA" w:rsidR="00F80ECC" w:rsidRPr="00D132EF" w:rsidRDefault="00D132EF" w:rsidP="00D132EF">
      <w:pPr>
        <w:jc w:val="center"/>
        <w:rPr>
          <w:rFonts w:ascii="Verdana" w:hAnsi="Verdana"/>
        </w:rPr>
      </w:pPr>
      <w:r w:rsidRPr="00D132EF">
        <w:rPr>
          <w:rFonts w:ascii="Verdana" w:hAnsi="Verdana"/>
        </w:rPr>
        <w:t>DADA EN BOGOTÁ D.C., A LOS 31 DÍAS DEL MES DE ENERO DE 2025</w:t>
      </w:r>
    </w:p>
    <w:p w14:paraId="083BEC17" w14:textId="4CE6E684" w:rsidR="00D132EF" w:rsidRPr="00D132EF" w:rsidRDefault="00D132EF" w:rsidP="00D132EF">
      <w:pPr>
        <w:jc w:val="center"/>
        <w:rPr>
          <w:rFonts w:ascii="Verdana" w:hAnsi="Verdana"/>
          <w:b/>
          <w:bCs/>
        </w:rPr>
      </w:pPr>
      <w:r w:rsidRPr="00D132EF">
        <w:rPr>
          <w:rFonts w:ascii="Verdana" w:hAnsi="Verdana"/>
          <w:b/>
          <w:bCs/>
        </w:rPr>
        <w:t>ASTRID ELIANA CACERES CÁRDENAS</w:t>
      </w:r>
    </w:p>
    <w:p w14:paraId="7CD8C47C" w14:textId="438F6317" w:rsidR="00D132EF" w:rsidRPr="00D132EF" w:rsidRDefault="00D132EF" w:rsidP="00D132EF">
      <w:pPr>
        <w:jc w:val="center"/>
        <w:rPr>
          <w:rFonts w:ascii="Verdana" w:hAnsi="Verdana"/>
        </w:rPr>
      </w:pPr>
      <w:r w:rsidRPr="00D132EF">
        <w:rPr>
          <w:rFonts w:ascii="Verdana" w:hAnsi="Verdana"/>
        </w:rPr>
        <w:t>DIRECTORA GENERAL</w:t>
      </w:r>
    </w:p>
    <w:sectPr w:rsidR="00D132EF" w:rsidRPr="00D132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4D"/>
    <w:rsid w:val="000B4793"/>
    <w:rsid w:val="0024714D"/>
    <w:rsid w:val="00431AF2"/>
    <w:rsid w:val="0066091D"/>
    <w:rsid w:val="00825D01"/>
    <w:rsid w:val="00A12EC2"/>
    <w:rsid w:val="00A769D1"/>
    <w:rsid w:val="00CA268F"/>
    <w:rsid w:val="00D132EF"/>
    <w:rsid w:val="00D27DA9"/>
    <w:rsid w:val="00F73448"/>
    <w:rsid w:val="00F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1012"/>
  <w15:chartTrackingRefBased/>
  <w15:docId w15:val="{5B22816E-FA47-4D79-9AE5-6D0547FD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7AF8C-A4DA-49B8-B3E8-EA588160D87B}"/>
</file>

<file path=customXml/itemProps2.xml><?xml version="1.0" encoding="utf-8"?>
<ds:datastoreItem xmlns:ds="http://schemas.openxmlformats.org/officeDocument/2006/customXml" ds:itemID="{21BE4488-E31F-42AC-95E9-4F913E8F42B7}"/>
</file>

<file path=customXml/itemProps3.xml><?xml version="1.0" encoding="utf-8"?>
<ds:datastoreItem xmlns:ds="http://schemas.openxmlformats.org/officeDocument/2006/customXml" ds:itemID="{70206684-1111-4BD5-90BA-6C1063E85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3864</Words>
  <Characters>20330</Characters>
  <Application>Microsoft Office Word</Application>
  <DocSecurity>0</DocSecurity>
  <Lines>350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2026-03-26T14:01:00Z</dcterms:created>
  <dcterms:modified xsi:type="dcterms:W3CDTF">2026-04-07T16:03:00Z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