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25302" w14:textId="77777777" w:rsidR="002C3EE4" w:rsidRDefault="00651F21">
      <w:pPr>
        <w:spacing w:after="160" w:line="240" w:lineRule="auto"/>
        <w:jc w:val="center"/>
        <w:rPr>
          <w:rFonts w:ascii="Verdana" w:eastAsia="Verdana" w:hAnsi="Verdana" w:cs="Verdana"/>
          <w:b/>
          <w:bCs/>
        </w:rPr>
      </w:pPr>
      <w:r>
        <w:rPr>
          <w:rFonts w:ascii="Verdana" w:eastAsia="Verdana" w:hAnsi="Verdana" w:cs="Verdana"/>
          <w:b/>
          <w:bCs/>
        </w:rPr>
        <w:t>RESOLUCIÓN 3146 DE 2014</w:t>
      </w:r>
    </w:p>
    <w:p w14:paraId="4FF7EAE6" w14:textId="77777777" w:rsidR="00FB24C1" w:rsidRPr="00FB24C1" w:rsidRDefault="00FB24C1" w:rsidP="00FB24C1">
      <w:pPr>
        <w:pStyle w:val="Sinespaciado"/>
        <w:rPr>
          <w:sz w:val="20"/>
          <w:szCs w:val="20"/>
        </w:rPr>
      </w:pPr>
      <w:bookmarkStart w:id="0" w:name="_gkik43155102" w:colFirst="0" w:colLast="0"/>
      <w:bookmarkEnd w:id="0"/>
      <w:r w:rsidRPr="00FB24C1">
        <w:rPr>
          <w:sz w:val="20"/>
          <w:szCs w:val="20"/>
        </w:rPr>
        <w:t>Fecha de Expedición: 30 de mayo de 2014</w:t>
      </w:r>
    </w:p>
    <w:p w14:paraId="74FB47DA" w14:textId="77777777" w:rsidR="00FB24C1" w:rsidRPr="00FB24C1" w:rsidRDefault="00FB24C1" w:rsidP="00FB24C1">
      <w:pPr>
        <w:pStyle w:val="Sinespaciado"/>
        <w:rPr>
          <w:sz w:val="20"/>
          <w:szCs w:val="20"/>
        </w:rPr>
      </w:pPr>
      <w:r w:rsidRPr="00FB24C1">
        <w:rPr>
          <w:sz w:val="20"/>
          <w:szCs w:val="20"/>
        </w:rPr>
        <w:t>Fecha de entrada en vigencia: 30 de mayo de 2014</w:t>
      </w:r>
    </w:p>
    <w:p w14:paraId="67006F47" w14:textId="77777777" w:rsidR="00FB24C1" w:rsidRPr="00FB24C1" w:rsidRDefault="00FB24C1" w:rsidP="00FB24C1">
      <w:pPr>
        <w:pStyle w:val="Sinespaciado"/>
        <w:rPr>
          <w:sz w:val="20"/>
          <w:szCs w:val="20"/>
        </w:rPr>
      </w:pPr>
      <w:r w:rsidRPr="00FB24C1">
        <w:rPr>
          <w:sz w:val="20"/>
          <w:szCs w:val="20"/>
        </w:rPr>
        <w:t>Estado de la vigencia: Derogada por el artículo 4 de la Resolución 1100 de 2015</w:t>
      </w:r>
    </w:p>
    <w:p w14:paraId="11208532" w14:textId="77777777" w:rsidR="00FB24C1" w:rsidRPr="00FB24C1" w:rsidRDefault="00FB24C1" w:rsidP="00FB24C1">
      <w:pPr>
        <w:pStyle w:val="Sinespaciado"/>
        <w:rPr>
          <w:sz w:val="20"/>
          <w:szCs w:val="20"/>
        </w:rPr>
      </w:pPr>
    </w:p>
    <w:p w14:paraId="16B9E504" w14:textId="016815FF" w:rsidR="00FB24C1" w:rsidRPr="00FB24C1" w:rsidRDefault="00FB24C1" w:rsidP="00FB24C1">
      <w:pPr>
        <w:pStyle w:val="Sinespaciado"/>
        <w:rPr>
          <w:sz w:val="20"/>
          <w:szCs w:val="20"/>
        </w:rPr>
      </w:pPr>
      <w:r w:rsidRPr="00FB24C1">
        <w:rPr>
          <w:sz w:val="20"/>
          <w:szCs w:val="20"/>
        </w:rPr>
        <w:t>Fecha de publicación en Diario Oficial: 49.214</w:t>
      </w:r>
    </w:p>
    <w:p w14:paraId="74938558" w14:textId="77777777" w:rsidR="00FB24C1" w:rsidRPr="00FB24C1" w:rsidRDefault="00FB24C1" w:rsidP="00FB24C1">
      <w:pPr>
        <w:pStyle w:val="Sinespaciado"/>
        <w:rPr>
          <w:sz w:val="20"/>
          <w:szCs w:val="20"/>
        </w:rPr>
      </w:pPr>
      <w:r w:rsidRPr="00FB24C1">
        <w:rPr>
          <w:sz w:val="20"/>
          <w:szCs w:val="20"/>
        </w:rPr>
        <w:t>Número del Diario Oficial: 16 de julio de 2014</w:t>
      </w:r>
    </w:p>
    <w:p w14:paraId="49D25603" w14:textId="77777777" w:rsidR="00FB24C1" w:rsidRPr="00FB24C1" w:rsidRDefault="00FB24C1" w:rsidP="00FB24C1">
      <w:pPr>
        <w:pStyle w:val="Sinespaciado"/>
      </w:pPr>
    </w:p>
    <w:p w14:paraId="6AAA7C8A" w14:textId="70F02864" w:rsidR="002C3EE4" w:rsidRDefault="00651F21">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3146 DE 2014</w:t>
      </w:r>
    </w:p>
    <w:p w14:paraId="29789CF7" w14:textId="77777777" w:rsidR="002C3EE4" w:rsidRDefault="00651F21">
      <w:pPr>
        <w:shd w:val="clear" w:color="auto" w:fill="FFFFFF"/>
        <w:spacing w:after="240"/>
        <w:jc w:val="center"/>
        <w:rPr>
          <w:rFonts w:ascii="Verdana" w:eastAsia="Verdana" w:hAnsi="Verdana" w:cs="Verdana"/>
        </w:rPr>
      </w:pPr>
      <w:r>
        <w:rPr>
          <w:rFonts w:ascii="Verdana" w:eastAsia="Verdana" w:hAnsi="Verdana" w:cs="Verdana"/>
        </w:rPr>
        <w:t>(mayo 30)</w:t>
      </w:r>
    </w:p>
    <w:p w14:paraId="132A799D" w14:textId="77777777" w:rsidR="002C3EE4" w:rsidRDefault="00651F21">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5F883341" w14:textId="77777777" w:rsidR="002C3EE4" w:rsidRDefault="00651F21">
      <w:pPr>
        <w:shd w:val="clear" w:color="auto" w:fill="FFFFFF"/>
        <w:spacing w:after="240"/>
        <w:jc w:val="center"/>
        <w:rPr>
          <w:rFonts w:ascii="Verdana" w:eastAsia="Verdana" w:hAnsi="Verdana" w:cs="Verdana"/>
        </w:rPr>
      </w:pPr>
      <w:r>
        <w:rPr>
          <w:rFonts w:ascii="Verdana" w:eastAsia="Verdana" w:hAnsi="Verdana" w:cs="Verdana"/>
        </w:rPr>
        <w:t>Por medio de la cual se adopta el manual de contratación del Instituto Colombiano de Bienestar Familiar Cecilia de la Fuente de Lleras.</w:t>
      </w:r>
    </w:p>
    <w:p w14:paraId="07233FCD" w14:textId="77777777" w:rsidR="002C3EE4" w:rsidRDefault="00651F21">
      <w:pPr>
        <w:shd w:val="clear" w:color="auto" w:fill="FFFFFF"/>
        <w:spacing w:after="240"/>
        <w:jc w:val="center"/>
        <w:rPr>
          <w:rFonts w:ascii="Verdana" w:eastAsia="Verdana" w:hAnsi="Verdana" w:cs="Verdana"/>
          <w:b/>
          <w:bCs/>
        </w:rPr>
      </w:pPr>
      <w:r>
        <w:rPr>
          <w:rFonts w:ascii="Verdana" w:eastAsia="Verdana" w:hAnsi="Verdana" w:cs="Verdana"/>
          <w:b/>
          <w:bCs/>
        </w:rPr>
        <w:t>EL DIRECTOR GENERAL DEL INSTITUTO COLOMBIANO DE BIENESTAR FAMILIAR CECILIA DE LA FUENTE DE LLERAS,</w:t>
      </w:r>
    </w:p>
    <w:p w14:paraId="6E534043" w14:textId="10E23A8A" w:rsidR="002C3EE4" w:rsidRDefault="00651F21">
      <w:pPr>
        <w:shd w:val="clear" w:color="auto" w:fill="FFFFFF"/>
        <w:spacing w:after="240"/>
        <w:jc w:val="center"/>
        <w:rPr>
          <w:rFonts w:ascii="Verdana" w:eastAsia="Verdana" w:hAnsi="Verdana" w:cs="Verdana"/>
        </w:rPr>
      </w:pPr>
      <w:r>
        <w:rPr>
          <w:rFonts w:ascii="Verdana" w:eastAsia="Verdana" w:hAnsi="Verdana" w:cs="Verdana"/>
        </w:rPr>
        <w:t xml:space="preserve">en uso de las facultades constitucionales y legales, en especial las conferidas en el artículo </w:t>
      </w:r>
      <w:r w:rsidR="002C3EE4">
        <w:rPr>
          <w:rFonts w:ascii="Verdana" w:eastAsia="Verdana" w:hAnsi="Verdana" w:cs="Verdana"/>
        </w:rPr>
        <w:t>211</w:t>
      </w:r>
      <w:r>
        <w:rPr>
          <w:rFonts w:ascii="Verdana" w:eastAsia="Verdana" w:hAnsi="Verdana" w:cs="Verdana"/>
        </w:rPr>
        <w:t xml:space="preserve"> de la Constitución Política de Colombia, Ley </w:t>
      </w:r>
      <w:r w:rsidR="002C3EE4">
        <w:rPr>
          <w:rFonts w:ascii="Verdana" w:eastAsia="Verdana" w:hAnsi="Verdana" w:cs="Verdana"/>
        </w:rPr>
        <w:t>7</w:t>
      </w:r>
      <w:r>
        <w:rPr>
          <w:rFonts w:ascii="Verdana" w:eastAsia="Verdana" w:hAnsi="Verdana" w:cs="Verdana"/>
        </w:rPr>
        <w:t xml:space="preserve">ª de 1979, Ley </w:t>
      </w:r>
      <w:r w:rsidR="002C3EE4">
        <w:rPr>
          <w:rFonts w:ascii="Verdana" w:eastAsia="Verdana" w:hAnsi="Verdana" w:cs="Verdana"/>
        </w:rPr>
        <w:t>80</w:t>
      </w:r>
      <w:r>
        <w:rPr>
          <w:rFonts w:ascii="Verdana" w:eastAsia="Verdana" w:hAnsi="Verdana" w:cs="Verdana"/>
        </w:rPr>
        <w:t xml:space="preserve"> de 1993, Ley </w:t>
      </w:r>
      <w:r w:rsidR="002C3EE4">
        <w:rPr>
          <w:rFonts w:ascii="Verdana" w:eastAsia="Verdana" w:hAnsi="Verdana" w:cs="Verdana"/>
        </w:rPr>
        <w:t>1150</w:t>
      </w:r>
      <w:r>
        <w:rPr>
          <w:rFonts w:ascii="Verdana" w:eastAsia="Verdana" w:hAnsi="Verdana" w:cs="Verdana"/>
        </w:rPr>
        <w:t xml:space="preserve"> de 2007, Ley </w:t>
      </w:r>
      <w:r w:rsidR="002C3EE4">
        <w:rPr>
          <w:rFonts w:ascii="Verdana" w:eastAsia="Verdana" w:hAnsi="Verdana" w:cs="Verdana"/>
        </w:rPr>
        <w:t>1474</w:t>
      </w:r>
      <w:r>
        <w:rPr>
          <w:rFonts w:ascii="Verdana" w:eastAsia="Verdana" w:hAnsi="Verdana" w:cs="Verdana"/>
        </w:rPr>
        <w:t xml:space="preserve"> y artículo </w:t>
      </w:r>
      <w:r w:rsidR="002C3EE4">
        <w:rPr>
          <w:rFonts w:ascii="Verdana" w:eastAsia="Verdana" w:hAnsi="Verdana" w:cs="Verdana"/>
        </w:rPr>
        <w:t>160</w:t>
      </w:r>
      <w:r>
        <w:rPr>
          <w:rFonts w:ascii="Verdana" w:eastAsia="Verdana" w:hAnsi="Verdana" w:cs="Verdana"/>
        </w:rPr>
        <w:t xml:space="preserve"> del Decreto número 1510 de 2013, y</w:t>
      </w:r>
    </w:p>
    <w:p w14:paraId="0AD52B4D" w14:textId="77777777" w:rsidR="002C3EE4" w:rsidRDefault="00651F21">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2EEADE3F" w14:textId="6E7C873B" w:rsidR="002C3EE4" w:rsidRDefault="00651F21">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2C3EE4">
        <w:rPr>
          <w:rFonts w:ascii="Verdana" w:eastAsia="Verdana" w:hAnsi="Verdana" w:cs="Verdana"/>
        </w:rPr>
        <w:t>209</w:t>
      </w:r>
      <w:r>
        <w:rPr>
          <w:rFonts w:ascii="Verdana" w:eastAsia="Verdana" w:hAnsi="Verdana" w:cs="Verdana"/>
        </w:rPr>
        <w:t xml:space="preserve"> de la Constitución Política ordena que la función administrativa debe estar al servicio de los intereses generales y que se desarrolla con fundamento en los principios de igualdad, moralidad, eficacia, economía, celeridad, imparcialidad y publicidad, mediante la descentralización, delegación y desconcentración de funciones.</w:t>
      </w:r>
    </w:p>
    <w:p w14:paraId="035CF659" w14:textId="79446D17" w:rsidR="002C3EE4" w:rsidRDefault="00651F21">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2C3EE4">
        <w:rPr>
          <w:rFonts w:ascii="Verdana" w:eastAsia="Verdana" w:hAnsi="Verdana" w:cs="Verdana"/>
        </w:rPr>
        <w:t>211</w:t>
      </w:r>
      <w:r>
        <w:rPr>
          <w:rFonts w:ascii="Verdana" w:eastAsia="Verdana" w:hAnsi="Verdana" w:cs="Verdana"/>
        </w:rPr>
        <w:t xml:space="preserve"> de la Constitución Política establece los lineamientos de las funciones </w:t>
      </w:r>
      <w:r>
        <w:rPr>
          <w:rFonts w:ascii="Verdana" w:eastAsia="Verdana" w:hAnsi="Verdana" w:cs="Verdana"/>
        </w:rPr>
        <w:lastRenderedPageBreak/>
        <w:t>delegables en entidades como el Instituto Colombiano de Bienestar Familiar Cecilia de la Fuente de Lleras.</w:t>
      </w:r>
    </w:p>
    <w:p w14:paraId="2063778C" w14:textId="2AE0C893" w:rsidR="002C3EE4" w:rsidRDefault="00651F21">
      <w:pPr>
        <w:shd w:val="clear" w:color="auto" w:fill="FFFFFF"/>
        <w:spacing w:after="240"/>
        <w:jc w:val="both"/>
        <w:rPr>
          <w:rFonts w:ascii="Verdana" w:eastAsia="Verdana" w:hAnsi="Verdana" w:cs="Verdana"/>
        </w:rPr>
      </w:pPr>
      <w:r>
        <w:rPr>
          <w:rFonts w:ascii="Verdana" w:eastAsia="Verdana" w:hAnsi="Verdana" w:cs="Verdana"/>
        </w:rPr>
        <w:t xml:space="preserve">Que la actividad contractual del Instituto Colombiano de Bienestar Familiar (ICBF), es una manifestación del ejercicio de la función administrativa, razón por la cual, debe ceñirse en cuanto a los procesos de selección, celebración y ejecución de los contratos estatales, a los postulados del artículo </w:t>
      </w:r>
      <w:r w:rsidR="002C3EE4">
        <w:rPr>
          <w:rFonts w:ascii="Verdana" w:eastAsia="Verdana" w:hAnsi="Verdana" w:cs="Verdana"/>
        </w:rPr>
        <w:t>209</w:t>
      </w:r>
      <w:r>
        <w:rPr>
          <w:rFonts w:ascii="Verdana" w:eastAsia="Verdana" w:hAnsi="Verdana" w:cs="Verdana"/>
        </w:rPr>
        <w:t xml:space="preserve"> de la Constitución Política y a lo dispuesto por el Estatuto General de Contratación de la Administración Pública, salvo lo dispuesto en los regímenes especiales.</w:t>
      </w:r>
    </w:p>
    <w:p w14:paraId="22EDE6B7" w14:textId="2F7F0BB4" w:rsidR="002C3EE4" w:rsidRDefault="00651F21">
      <w:pPr>
        <w:shd w:val="clear" w:color="auto" w:fill="FFFFFF"/>
        <w:spacing w:after="240"/>
        <w:jc w:val="both"/>
        <w:rPr>
          <w:rFonts w:ascii="Verdana" w:eastAsia="Verdana" w:hAnsi="Verdana" w:cs="Verdana"/>
        </w:rPr>
      </w:pPr>
      <w:r>
        <w:rPr>
          <w:rFonts w:ascii="Verdana" w:eastAsia="Verdana" w:hAnsi="Verdana" w:cs="Verdana"/>
        </w:rPr>
        <w:t xml:space="preserve">Que por mandato legal el ICBF cuenta en materia de contratación con el Régimen General de Contratación Pública y el Régimen Especial de Aportes, para cumplir con sus objetivos, de manera eficiente sus programas misionales, el cual se encuentra regido por la Ley </w:t>
      </w:r>
      <w:r w:rsidR="002C3EE4">
        <w:rPr>
          <w:rFonts w:ascii="Verdana" w:eastAsia="Verdana" w:hAnsi="Verdana" w:cs="Verdana"/>
        </w:rPr>
        <w:t>80</w:t>
      </w:r>
      <w:r>
        <w:rPr>
          <w:rFonts w:ascii="Verdana" w:eastAsia="Verdana" w:hAnsi="Verdana" w:cs="Verdana"/>
        </w:rPr>
        <w:t xml:space="preserve"> de 1993, Ley </w:t>
      </w:r>
      <w:r w:rsidR="002C3EE4">
        <w:rPr>
          <w:rFonts w:ascii="Verdana" w:eastAsia="Verdana" w:hAnsi="Verdana" w:cs="Verdana"/>
        </w:rPr>
        <w:t>1150</w:t>
      </w:r>
      <w:r>
        <w:rPr>
          <w:rFonts w:ascii="Verdana" w:eastAsia="Verdana" w:hAnsi="Verdana" w:cs="Verdana"/>
        </w:rPr>
        <w:t xml:space="preserve"> de 2007, Ley </w:t>
      </w:r>
      <w:r w:rsidR="002C3EE4">
        <w:rPr>
          <w:rFonts w:ascii="Verdana" w:eastAsia="Verdana" w:hAnsi="Verdana" w:cs="Verdana"/>
        </w:rPr>
        <w:t>1474</w:t>
      </w:r>
      <w:r>
        <w:rPr>
          <w:rFonts w:ascii="Verdana" w:eastAsia="Verdana" w:hAnsi="Verdana" w:cs="Verdana"/>
        </w:rPr>
        <w:t xml:space="preserve"> de 2011 Ley 7ª de 1979, en especial lo previsto en el artículo </w:t>
      </w:r>
      <w:r w:rsidR="002C3EE4">
        <w:rPr>
          <w:rFonts w:ascii="Verdana" w:eastAsia="Verdana" w:hAnsi="Verdana" w:cs="Verdana"/>
        </w:rPr>
        <w:t>21</w:t>
      </w:r>
      <w:r>
        <w:rPr>
          <w:rFonts w:ascii="Verdana" w:eastAsia="Verdana" w:hAnsi="Verdana" w:cs="Verdana"/>
        </w:rPr>
        <w:t xml:space="preserve"> numeral 9; el Decreto número 2388 de 1979, artículos </w:t>
      </w:r>
      <w:r w:rsidR="002C3EE4">
        <w:rPr>
          <w:rFonts w:ascii="Verdana" w:eastAsia="Verdana" w:hAnsi="Verdana" w:cs="Verdana"/>
        </w:rPr>
        <w:t>123</w:t>
      </w:r>
      <w:r>
        <w:rPr>
          <w:rFonts w:ascii="Verdana" w:eastAsia="Verdana" w:hAnsi="Verdana" w:cs="Verdana"/>
        </w:rPr>
        <w:t xml:space="preserve"> y s.s.; el Decreto número </w:t>
      </w:r>
      <w:r w:rsidR="002C3EE4">
        <w:rPr>
          <w:rFonts w:ascii="Verdana" w:eastAsia="Verdana" w:hAnsi="Verdana" w:cs="Verdana"/>
        </w:rPr>
        <w:t>2923</w:t>
      </w:r>
      <w:r>
        <w:rPr>
          <w:rFonts w:ascii="Verdana" w:eastAsia="Verdana" w:hAnsi="Verdana" w:cs="Verdana"/>
        </w:rPr>
        <w:t xml:space="preserve"> de 1994, el Decreto número 2150 de 1995, artículo </w:t>
      </w:r>
      <w:r w:rsidR="002C3EE4">
        <w:rPr>
          <w:rFonts w:ascii="Verdana" w:eastAsia="Verdana" w:hAnsi="Verdana" w:cs="Verdana"/>
        </w:rPr>
        <w:t>122</w:t>
      </w:r>
      <w:r>
        <w:rPr>
          <w:rFonts w:ascii="Verdana" w:eastAsia="Verdana" w:hAnsi="Verdana" w:cs="Verdana"/>
        </w:rPr>
        <w:t xml:space="preserve">; y el Decreto número </w:t>
      </w:r>
      <w:r w:rsidR="002C3EE4">
        <w:rPr>
          <w:rFonts w:ascii="Verdana" w:eastAsia="Verdana" w:hAnsi="Verdana" w:cs="Verdana"/>
        </w:rPr>
        <w:t>1529</w:t>
      </w:r>
      <w:r>
        <w:rPr>
          <w:rFonts w:ascii="Verdana" w:eastAsia="Verdana" w:hAnsi="Verdana" w:cs="Verdana"/>
        </w:rPr>
        <w:t xml:space="preserve"> de 1996.</w:t>
      </w:r>
    </w:p>
    <w:p w14:paraId="1BB8BE71" w14:textId="77777777" w:rsidR="002C3EE4" w:rsidRDefault="00651F21">
      <w:pPr>
        <w:shd w:val="clear" w:color="auto" w:fill="FFFFFF"/>
        <w:spacing w:after="240"/>
        <w:jc w:val="both"/>
        <w:rPr>
          <w:rFonts w:ascii="Verdana" w:eastAsia="Verdana" w:hAnsi="Verdana" w:cs="Verdana"/>
        </w:rPr>
      </w:pPr>
      <w:r>
        <w:rPr>
          <w:rFonts w:ascii="Verdana" w:eastAsia="Verdana" w:hAnsi="Verdana" w:cs="Verdana"/>
        </w:rPr>
        <w:t>Que se hace necesario reglamentar el sistema de compras, contratación pública y el régimen especial de aporte y, como consecuencia, expedir el Manual de Contratación del Instituto Colombiano de Bienestar Familiar Cecilia de la Fuente de Lleras.</w:t>
      </w:r>
    </w:p>
    <w:p w14:paraId="196EC53A" w14:textId="77777777" w:rsidR="002C3EE4" w:rsidRDefault="00651F21">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4991032F" w14:textId="77777777" w:rsidR="002C3EE4" w:rsidRDefault="00651F21">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5B33F5FE" w14:textId="577990A3" w:rsidR="002C3EE4" w:rsidRDefault="00651F21">
      <w:pPr>
        <w:shd w:val="clear" w:color="auto" w:fill="FFFFFF"/>
        <w:spacing w:after="240"/>
        <w:jc w:val="both"/>
        <w:rPr>
          <w:rFonts w:ascii="Verdana" w:eastAsia="Verdana" w:hAnsi="Verdana" w:cs="Verdana"/>
        </w:rPr>
      </w:pPr>
      <w:r>
        <w:rPr>
          <w:rFonts w:ascii="Verdana" w:eastAsia="Verdana" w:hAnsi="Verdana" w:cs="Verdana"/>
          <w:b/>
          <w:bCs/>
        </w:rPr>
        <w:t>ARTÍCULO 1o.</w:t>
      </w:r>
      <w:r>
        <w:rPr>
          <w:rFonts w:ascii="Verdana" w:eastAsia="Verdana" w:hAnsi="Verdana" w:cs="Verdana"/>
        </w:rPr>
        <w:t xml:space="preserve"> </w:t>
      </w:r>
      <w:r>
        <w:rPr>
          <w:rFonts w:ascii="Verdana" w:eastAsia="Verdana" w:hAnsi="Verdana" w:cs="Verdana"/>
          <w:b/>
          <w:bCs/>
        </w:rPr>
        <w:t xml:space="preserve">&lt;Resolución derogada por el artículo </w:t>
      </w:r>
      <w:r w:rsidR="002C3EE4">
        <w:rPr>
          <w:rFonts w:ascii="Verdana" w:eastAsia="Verdana" w:hAnsi="Verdana" w:cs="Verdana"/>
        </w:rPr>
        <w:t>4</w:t>
      </w:r>
      <w:r>
        <w:rPr>
          <w:rFonts w:ascii="Verdana" w:eastAsia="Verdana" w:hAnsi="Verdana" w:cs="Verdana"/>
          <w:b/>
          <w:bCs/>
        </w:rPr>
        <w:t xml:space="preserve"> de la Resolución 1100 de 2015&gt; </w:t>
      </w:r>
      <w:r>
        <w:rPr>
          <w:rFonts w:ascii="Verdana" w:eastAsia="Verdana" w:hAnsi="Verdana" w:cs="Verdana"/>
          <w:i/>
          <w:iCs/>
        </w:rPr>
        <w:t xml:space="preserve">Adoptar </w:t>
      </w:r>
      <w:r>
        <w:rPr>
          <w:rFonts w:ascii="Verdana" w:eastAsia="Verdana" w:hAnsi="Verdana" w:cs="Verdana"/>
        </w:rPr>
        <w:t>el Manual de Contratación del Instituto Colombiano de Bienestar Familiar Cecilia de la Fuente de Lleras.</w:t>
      </w:r>
    </w:p>
    <w:p w14:paraId="7370FBE5" w14:textId="1C51FA90" w:rsidR="002C3EE4" w:rsidRDefault="00651F21">
      <w:pPr>
        <w:shd w:val="clear" w:color="auto" w:fill="FFFFFF"/>
        <w:spacing w:after="240"/>
        <w:jc w:val="both"/>
        <w:rPr>
          <w:rFonts w:ascii="Verdana" w:eastAsia="Verdana" w:hAnsi="Verdana" w:cs="Verdana"/>
        </w:rPr>
      </w:pPr>
      <w:r>
        <w:rPr>
          <w:rFonts w:ascii="Verdana" w:eastAsia="Verdana" w:hAnsi="Verdana" w:cs="Verdana"/>
          <w:b/>
          <w:bCs/>
        </w:rPr>
        <w:lastRenderedPageBreak/>
        <w:t>ARTÍCULO 2o.</w:t>
      </w:r>
      <w:r>
        <w:rPr>
          <w:rFonts w:ascii="Verdana" w:eastAsia="Verdana" w:hAnsi="Verdana" w:cs="Verdana"/>
        </w:rPr>
        <w:t xml:space="preserve"> </w:t>
      </w:r>
      <w:r>
        <w:rPr>
          <w:rFonts w:ascii="Verdana" w:eastAsia="Verdana" w:hAnsi="Verdana" w:cs="Verdana"/>
          <w:b/>
          <w:bCs/>
        </w:rPr>
        <w:t xml:space="preserve">&lt;Resolución derogada por el artículo </w:t>
      </w:r>
      <w:r w:rsidR="002C3EE4">
        <w:rPr>
          <w:rFonts w:ascii="Verdana" w:eastAsia="Verdana" w:hAnsi="Verdana" w:cs="Verdana"/>
        </w:rPr>
        <w:t>4</w:t>
      </w:r>
      <w:r>
        <w:rPr>
          <w:rFonts w:ascii="Verdana" w:eastAsia="Verdana" w:hAnsi="Verdana" w:cs="Verdana"/>
          <w:b/>
          <w:bCs/>
        </w:rPr>
        <w:t xml:space="preserve"> de la Resolución 1100 de 2015&gt; </w:t>
      </w:r>
      <w:r>
        <w:rPr>
          <w:rFonts w:ascii="Verdana" w:eastAsia="Verdana" w:hAnsi="Verdana" w:cs="Verdana"/>
          <w:i/>
          <w:iCs/>
        </w:rPr>
        <w:t xml:space="preserve">Ordenar </w:t>
      </w:r>
      <w:r>
        <w:rPr>
          <w:rFonts w:ascii="Verdana" w:eastAsia="Verdana" w:hAnsi="Verdana" w:cs="Verdana"/>
        </w:rPr>
        <w:t xml:space="preserve">a la Dirección de Contratación del Instituto Colombiano de Bienestar Familiar Cecilia de la Fuente de Lleras la publicación del presente manual en la intranet institucional y en la página web de Instituto Colombiano de Bienestar </w:t>
      </w:r>
      <w:r>
        <w:rPr>
          <w:rFonts w:ascii="Verdana" w:eastAsia="Verdana" w:hAnsi="Verdana" w:cs="Verdana"/>
          <w:u w:val="single"/>
        </w:rPr>
        <w:t>www.icbf.gov.co</w:t>
      </w:r>
      <w:r>
        <w:rPr>
          <w:rFonts w:ascii="Verdana" w:eastAsia="Verdana" w:hAnsi="Verdana" w:cs="Verdana"/>
        </w:rPr>
        <w:t>.</w:t>
      </w:r>
    </w:p>
    <w:p w14:paraId="507C6C3D" w14:textId="77777777" w:rsidR="002C3EE4" w:rsidRDefault="00651F21">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w:t>
      </w:r>
      <w:r>
        <w:rPr>
          <w:rFonts w:ascii="Verdana" w:eastAsia="Verdana" w:hAnsi="Verdana" w:cs="Verdana"/>
          <w:i/>
          <w:iCs/>
        </w:rPr>
        <w:t xml:space="preserve">Se autoriza </w:t>
      </w:r>
      <w:r>
        <w:rPr>
          <w:rFonts w:ascii="Verdana" w:eastAsia="Verdana" w:hAnsi="Verdana" w:cs="Verdana"/>
        </w:rPr>
        <w:t>a la Dirección de Contratación para que actualice el presente manual, siempre y cuando no se alteren sustancialmente las políticas o principios de la entidad.</w:t>
      </w:r>
    </w:p>
    <w:p w14:paraId="5051374D" w14:textId="15E3F838" w:rsidR="002C3EE4" w:rsidRDefault="00651F21">
      <w:pPr>
        <w:shd w:val="clear" w:color="auto" w:fill="FFFFFF"/>
        <w:spacing w:after="240"/>
        <w:jc w:val="both"/>
        <w:rPr>
          <w:rFonts w:ascii="Verdana" w:eastAsia="Verdana" w:hAnsi="Verdana" w:cs="Verdana"/>
        </w:rPr>
      </w:pPr>
      <w:r>
        <w:rPr>
          <w:rFonts w:ascii="Verdana" w:eastAsia="Verdana" w:hAnsi="Verdana" w:cs="Verdana"/>
          <w:b/>
          <w:bCs/>
        </w:rPr>
        <w:t>ARTÍCULO 3o. RÉGIMEN DE TRANSICIÓN.</w:t>
      </w:r>
      <w:r>
        <w:rPr>
          <w:rFonts w:ascii="Verdana" w:eastAsia="Verdana" w:hAnsi="Verdana" w:cs="Verdana"/>
        </w:rPr>
        <w:t xml:space="preserve"> &lt;Resolución derogada por el artículo </w:t>
      </w:r>
      <w:r w:rsidR="002C3EE4">
        <w:rPr>
          <w:rFonts w:ascii="Verdana" w:eastAsia="Verdana" w:hAnsi="Verdana" w:cs="Verdana"/>
        </w:rPr>
        <w:t>4</w:t>
      </w:r>
      <w:r>
        <w:rPr>
          <w:rFonts w:ascii="Verdana" w:eastAsia="Verdana" w:hAnsi="Verdana" w:cs="Verdana"/>
        </w:rPr>
        <w:t xml:space="preserve"> de la Resolución 1100 de 2015&gt; En los distintos procesos de selección que adelante el ICBF en los cuales a la fecha de expedición del presente manual se haya surtido el acto administrativo de apertura, se podrá continuar con el proceso hasta su culminación aplicando el manual que en el momento se encontraba vigente.</w:t>
      </w:r>
    </w:p>
    <w:p w14:paraId="56C36854" w14:textId="77777777" w:rsidR="002C3EE4" w:rsidRDefault="00651F21">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De considerarlo pertinente podrán ajustarse los procesos en curso al presente manual de contratación.</w:t>
      </w:r>
    </w:p>
    <w:p w14:paraId="7D93BE2A" w14:textId="0968061B" w:rsidR="00FB24C1" w:rsidRDefault="00651F21" w:rsidP="00FB24C1">
      <w:pPr>
        <w:shd w:val="clear" w:color="auto" w:fill="FFFFFF"/>
        <w:spacing w:after="240"/>
        <w:jc w:val="both"/>
        <w:rPr>
          <w:rFonts w:ascii="Verdana" w:eastAsia="Verdana" w:hAnsi="Verdana" w:cs="Verdana"/>
        </w:rPr>
      </w:pPr>
      <w:r>
        <w:rPr>
          <w:rFonts w:ascii="Verdana" w:eastAsia="Verdana" w:hAnsi="Verdana" w:cs="Verdana"/>
          <w:b/>
          <w:bCs/>
        </w:rPr>
        <w:t>ARTÍCULO 4o. VIGENCIA.</w:t>
      </w:r>
      <w:r>
        <w:rPr>
          <w:rFonts w:ascii="Verdana" w:eastAsia="Verdana" w:hAnsi="Verdana" w:cs="Verdana"/>
        </w:rPr>
        <w:t xml:space="preserve"> &lt;Resolución derogada por el artículo </w:t>
      </w:r>
      <w:r w:rsidR="00FB24C1">
        <w:rPr>
          <w:rFonts w:ascii="Verdana" w:eastAsia="Verdana" w:hAnsi="Verdana" w:cs="Verdana"/>
        </w:rPr>
        <w:t>4</w:t>
      </w:r>
      <w:r>
        <w:rPr>
          <w:rFonts w:ascii="Verdana" w:eastAsia="Verdana" w:hAnsi="Verdana" w:cs="Verdana"/>
        </w:rPr>
        <w:t xml:space="preserve"> de la Resolución 1100 de 2015&gt; La presente resolución rige a partir de la fecha de su publicación y deroga la Resolución número </w:t>
      </w:r>
      <w:r w:rsidR="00FB24C1">
        <w:rPr>
          <w:rFonts w:ascii="Verdana" w:eastAsia="Verdana" w:hAnsi="Verdana" w:cs="Verdana"/>
        </w:rPr>
        <w:t>2690</w:t>
      </w:r>
      <w:r>
        <w:rPr>
          <w:rFonts w:ascii="Verdana" w:eastAsia="Verdana" w:hAnsi="Verdana" w:cs="Verdana"/>
        </w:rPr>
        <w:t xml:space="preserve"> de 2012.</w:t>
      </w:r>
    </w:p>
    <w:p w14:paraId="55F6ACAF" w14:textId="4CEB6523" w:rsidR="002C3EE4" w:rsidRDefault="00651F21" w:rsidP="00FB24C1">
      <w:pPr>
        <w:shd w:val="clear" w:color="auto" w:fill="FFFFFF"/>
        <w:spacing w:after="240"/>
        <w:jc w:val="center"/>
        <w:rPr>
          <w:rFonts w:ascii="Verdana" w:eastAsia="Verdana" w:hAnsi="Verdana" w:cs="Verdana"/>
          <w:b/>
          <w:bCs/>
        </w:rPr>
      </w:pPr>
      <w:r>
        <w:rPr>
          <w:rFonts w:ascii="Verdana" w:eastAsia="Verdana" w:hAnsi="Verdana" w:cs="Verdana"/>
          <w:b/>
          <w:bCs/>
        </w:rPr>
        <w:t>Comuníquese y cúmplase.</w:t>
      </w:r>
    </w:p>
    <w:p w14:paraId="734B9E2C" w14:textId="77777777" w:rsidR="002C3EE4" w:rsidRDefault="00651F21">
      <w:pPr>
        <w:shd w:val="clear" w:color="auto" w:fill="FFFFFF"/>
        <w:spacing w:after="240"/>
        <w:jc w:val="center"/>
        <w:rPr>
          <w:rFonts w:ascii="Verdana" w:eastAsia="Verdana" w:hAnsi="Verdana" w:cs="Verdana"/>
        </w:rPr>
      </w:pPr>
      <w:r>
        <w:rPr>
          <w:rFonts w:ascii="Verdana" w:eastAsia="Verdana" w:hAnsi="Verdana" w:cs="Verdana"/>
        </w:rPr>
        <w:t>Dada en Bogotá, D. C., a 30 de mayo de 2014.</w:t>
      </w:r>
    </w:p>
    <w:p w14:paraId="36FFEDB4" w14:textId="77777777" w:rsidR="002C3EE4" w:rsidRDefault="00651F21">
      <w:pPr>
        <w:shd w:val="clear" w:color="auto" w:fill="FFFFFF"/>
        <w:spacing w:after="240"/>
        <w:jc w:val="center"/>
        <w:rPr>
          <w:rFonts w:ascii="Verdana" w:eastAsia="Verdana" w:hAnsi="Verdana" w:cs="Verdana"/>
        </w:rPr>
      </w:pPr>
      <w:r>
        <w:rPr>
          <w:rFonts w:ascii="Verdana" w:eastAsia="Verdana" w:hAnsi="Verdana" w:cs="Verdana"/>
        </w:rPr>
        <w:t>El Director General ICBF,</w:t>
      </w:r>
    </w:p>
    <w:p w14:paraId="134EE5A4" w14:textId="77777777" w:rsidR="002C3EE4" w:rsidRDefault="00651F21">
      <w:pPr>
        <w:shd w:val="clear" w:color="auto" w:fill="FFFFFF"/>
        <w:spacing w:after="240"/>
        <w:jc w:val="center"/>
        <w:rPr>
          <w:rFonts w:ascii="Verdana" w:eastAsia="Verdana" w:hAnsi="Verdana" w:cs="Verdana"/>
          <w:b/>
          <w:bCs/>
        </w:rPr>
      </w:pPr>
      <w:r>
        <w:rPr>
          <w:rFonts w:ascii="Verdana" w:eastAsia="Verdana" w:hAnsi="Verdana" w:cs="Verdana"/>
          <w:b/>
          <w:bCs/>
        </w:rPr>
        <w:t>MARCO AURELIO ZULUAGA GIRALDO.</w:t>
      </w:r>
    </w:p>
    <w:p w14:paraId="54CC707C" w14:textId="77777777" w:rsidR="002C3EE4" w:rsidRDefault="002C3EE4">
      <w:pPr>
        <w:rPr>
          <w:rFonts w:ascii="Verdana" w:eastAsia="Verdana" w:hAnsi="Verdana" w:cs="Verdana"/>
        </w:rPr>
      </w:pPr>
    </w:p>
    <w:p w14:paraId="42042FD2" w14:textId="77777777" w:rsidR="002C3EE4" w:rsidRDefault="002C3EE4">
      <w:pPr>
        <w:rPr>
          <w:rFonts w:ascii="Verdana" w:eastAsia="Verdana" w:hAnsi="Verdana" w:cs="Verdana"/>
        </w:rPr>
      </w:pPr>
    </w:p>
    <w:sectPr w:rsidR="002C3EE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A121612-AFAD-4786-B449-8F91B1271A9F}"/>
    <w:embedBold r:id="rId2" w:fontKey="{02564730-4D71-4938-BF11-0C798C2E237D}"/>
    <w:embedItalic r:id="rId3" w:fontKey="{D2A7C9D7-0F27-4A36-81DC-DD6544DA8FDD}"/>
  </w:font>
  <w:font w:name="Calibri">
    <w:panose1 w:val="020F0502020204030204"/>
    <w:charset w:val="00"/>
    <w:family w:val="swiss"/>
    <w:pitch w:val="variable"/>
    <w:sig w:usb0="E4002EFF" w:usb1="C200247B" w:usb2="00000009" w:usb3="00000000" w:csb0="000001FF" w:csb1="00000000"/>
    <w:embedRegular r:id="rId4" w:fontKey="{D11BD143-2AEC-4EF6-9E00-AD70001415AA}"/>
  </w:font>
  <w:font w:name="Cambria">
    <w:panose1 w:val="02040503050406030204"/>
    <w:charset w:val="00"/>
    <w:family w:val="roman"/>
    <w:pitch w:val="variable"/>
    <w:sig w:usb0="E00006FF" w:usb1="420024FF" w:usb2="02000000" w:usb3="00000000" w:csb0="0000019F" w:csb1="00000000"/>
    <w:embedRegular r:id="rId5" w:fontKey="{97A492B0-83AF-4F97-ACE3-0E6598A1F3E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EE4"/>
    <w:rsid w:val="001C1BA2"/>
    <w:rsid w:val="002C3EE4"/>
    <w:rsid w:val="00651F21"/>
    <w:rsid w:val="00665FDA"/>
    <w:rsid w:val="00CB524A"/>
    <w:rsid w:val="00FB24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CFC6B"/>
  <w15:docId w15:val="{D40C4A80-342F-4D82-A9DA-969CA89DF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FB24C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8652C6-9D04-4E15-B529-5397D78B0FA3}"/>
</file>

<file path=customXml/itemProps2.xml><?xml version="1.0" encoding="utf-8"?>
<ds:datastoreItem xmlns:ds="http://schemas.openxmlformats.org/officeDocument/2006/customXml" ds:itemID="{708DCBC9-867C-4ABC-9A13-77793B77B9AF}"/>
</file>

<file path=customXml/itemProps3.xml><?xml version="1.0" encoding="utf-8"?>
<ds:datastoreItem xmlns:ds="http://schemas.openxmlformats.org/officeDocument/2006/customXml" ds:itemID="{DC960009-A0BC-4239-A6A0-C05FD011B8CF}"/>
</file>

<file path=docProps/app.xml><?xml version="1.0" encoding="utf-8"?>
<Properties xmlns="http://schemas.openxmlformats.org/officeDocument/2006/extended-properties" xmlns:vt="http://schemas.openxmlformats.org/officeDocument/2006/docPropsVTypes">
  <Template>Normal</Template>
  <TotalTime>6</TotalTime>
  <Pages>3</Pages>
  <Words>655</Words>
  <Characters>3605</Characters>
  <Application>Microsoft Office Word</Application>
  <DocSecurity>0</DocSecurity>
  <Lines>30</Lines>
  <Paragraphs>8</Paragraphs>
  <ScaleCrop>false</ScaleCrop>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2026-01-06T16:41:00Z</dcterms:created>
  <dcterms:modified xsi:type="dcterms:W3CDTF">2026-04-16T17:17:00Z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