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68D7" w14:textId="1EA30CBF" w:rsidR="00AB1202" w:rsidRDefault="44C9F70F" w:rsidP="25F7252E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F7252E">
        <w:rPr>
          <w:rFonts w:ascii="Verdana" w:eastAsia="Verdana" w:hAnsi="Verdana" w:cs="Verdana"/>
          <w:b/>
          <w:bCs/>
          <w:sz w:val="22"/>
          <w:szCs w:val="22"/>
        </w:rPr>
        <w:t>RESOLUCIÓN 3118 DE 1986</w:t>
      </w:r>
    </w:p>
    <w:p w14:paraId="04D1208B" w14:textId="315E3DA3" w:rsidR="00C22750" w:rsidRPr="00C22750" w:rsidRDefault="00C22750" w:rsidP="00C22750">
      <w:pPr>
        <w:pStyle w:val="Sinespaciado"/>
        <w:rPr>
          <w:rFonts w:ascii="Verdana" w:hAnsi="Verdana"/>
          <w:sz w:val="20"/>
          <w:szCs w:val="20"/>
        </w:rPr>
      </w:pPr>
      <w:r w:rsidRPr="00C22750">
        <w:rPr>
          <w:rFonts w:ascii="Verdana" w:hAnsi="Verdana"/>
          <w:sz w:val="20"/>
          <w:szCs w:val="20"/>
        </w:rPr>
        <w:t>Fecha de Expedición: 27 de noviembre de 1986</w:t>
      </w:r>
    </w:p>
    <w:p w14:paraId="7BEBFC42" w14:textId="7813F9AC" w:rsidR="00C22750" w:rsidRPr="00C22750" w:rsidRDefault="00C22750" w:rsidP="00C22750">
      <w:pPr>
        <w:pStyle w:val="Sinespaciado"/>
        <w:rPr>
          <w:rFonts w:ascii="Verdana" w:hAnsi="Verdana"/>
          <w:sz w:val="20"/>
          <w:szCs w:val="20"/>
        </w:rPr>
      </w:pPr>
      <w:r w:rsidRPr="00C22750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C22750">
        <w:rPr>
          <w:rFonts w:ascii="Verdana" w:hAnsi="Verdana"/>
          <w:sz w:val="20"/>
          <w:szCs w:val="20"/>
        </w:rPr>
        <w:t>entrada en vigencia</w:t>
      </w:r>
      <w:proofErr w:type="gramEnd"/>
      <w:r w:rsidRPr="00C22750">
        <w:rPr>
          <w:rFonts w:ascii="Verdana" w:hAnsi="Verdana"/>
          <w:sz w:val="20"/>
          <w:szCs w:val="20"/>
        </w:rPr>
        <w:t xml:space="preserve">: 27 de noviembre 1986 </w:t>
      </w:r>
    </w:p>
    <w:p w14:paraId="2B2F3E79" w14:textId="77777777" w:rsidR="00C22750" w:rsidRDefault="00C22750" w:rsidP="00C22750">
      <w:pPr>
        <w:pStyle w:val="Sinespaciado"/>
        <w:rPr>
          <w:rFonts w:ascii="Verdana" w:hAnsi="Verdana"/>
          <w:sz w:val="20"/>
          <w:szCs w:val="20"/>
        </w:rPr>
      </w:pPr>
      <w:r w:rsidRPr="00C22750">
        <w:rPr>
          <w:rFonts w:ascii="Verdana" w:hAnsi="Verdana"/>
          <w:sz w:val="20"/>
          <w:szCs w:val="20"/>
        </w:rPr>
        <w:t>Estado de la vigencia: derogada por el artículo 20 de la Resolución 1256 de 2000</w:t>
      </w:r>
      <w:r w:rsidRPr="00C22750">
        <w:rPr>
          <w:rFonts w:ascii="Verdana" w:hAnsi="Verdana"/>
          <w:sz w:val="20"/>
          <w:szCs w:val="20"/>
        </w:rPr>
        <w:tab/>
      </w:r>
    </w:p>
    <w:p w14:paraId="168143D5" w14:textId="77777777" w:rsidR="00C22750" w:rsidRDefault="00C22750" w:rsidP="00C22750">
      <w:pPr>
        <w:pStyle w:val="Sinespaciado"/>
        <w:rPr>
          <w:rFonts w:ascii="Verdana" w:hAnsi="Verdana"/>
          <w:sz w:val="20"/>
          <w:szCs w:val="20"/>
        </w:rPr>
      </w:pPr>
    </w:p>
    <w:p w14:paraId="27395F2C" w14:textId="4E7C6D7D" w:rsidR="00C22750" w:rsidRPr="00C22750" w:rsidRDefault="00C22750" w:rsidP="00C22750">
      <w:pPr>
        <w:pStyle w:val="Sinespaciado"/>
        <w:rPr>
          <w:rFonts w:ascii="Verdana" w:hAnsi="Verdana"/>
          <w:sz w:val="20"/>
          <w:szCs w:val="20"/>
        </w:rPr>
      </w:pPr>
      <w:r w:rsidRPr="00C22750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5F04E3BD" w:rsidR="00AB1202" w:rsidRDefault="00C22750" w:rsidP="00C22750">
      <w:pPr>
        <w:pStyle w:val="Sinespaciado"/>
        <w:rPr>
          <w:rFonts w:ascii="Verdana" w:hAnsi="Verdana"/>
          <w:sz w:val="20"/>
          <w:szCs w:val="20"/>
        </w:rPr>
      </w:pPr>
      <w:r w:rsidRPr="00C22750">
        <w:rPr>
          <w:rFonts w:ascii="Verdana" w:hAnsi="Verdana"/>
          <w:sz w:val="20"/>
          <w:szCs w:val="20"/>
        </w:rPr>
        <w:t>Número del Diario Oficial: N/A</w:t>
      </w:r>
    </w:p>
    <w:p w14:paraId="565BFB17" w14:textId="77777777" w:rsidR="00C22750" w:rsidRPr="00C22750" w:rsidRDefault="00C22750" w:rsidP="00C22750">
      <w:pPr>
        <w:pStyle w:val="Sinespaciado"/>
        <w:rPr>
          <w:rFonts w:ascii="Verdana" w:hAnsi="Verdana"/>
          <w:sz w:val="20"/>
          <w:szCs w:val="20"/>
        </w:rPr>
      </w:pPr>
    </w:p>
    <w:p w14:paraId="6DA1402F" w14:textId="29FA3E73" w:rsidR="0C0A7CB6" w:rsidRDefault="0C0A7CB6" w:rsidP="25F7252E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F7252E">
        <w:rPr>
          <w:rFonts w:ascii="Verdana" w:eastAsia="Verdana" w:hAnsi="Verdana" w:cs="Verdana"/>
          <w:b/>
          <w:bCs/>
          <w:sz w:val="22"/>
          <w:szCs w:val="22"/>
        </w:rPr>
        <w:t>RESOLUCIÓN 3118 DE 1986</w:t>
      </w:r>
    </w:p>
    <w:p w14:paraId="110EB143" w14:textId="003114C3" w:rsidR="1DB595B3" w:rsidRDefault="1DB595B3" w:rsidP="25F7252E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F7252E">
        <w:rPr>
          <w:rFonts w:ascii="Verdana" w:eastAsia="Verdana" w:hAnsi="Verdana" w:cs="Verdana"/>
          <w:b/>
          <w:bCs/>
          <w:sz w:val="22"/>
          <w:szCs w:val="22"/>
        </w:rPr>
        <w:t>(27 de noviembre)</w:t>
      </w:r>
      <w:r w:rsidR="0C0A7CB6" w:rsidRPr="25F7252E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</w:p>
    <w:p w14:paraId="6252B0BD" w14:textId="6D276A75" w:rsidR="0C0A7CB6" w:rsidRDefault="0C0A7CB6" w:rsidP="25F7252E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F7252E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7C68EEDC" w14:textId="042A8942" w:rsidR="0C0A7CB6" w:rsidRDefault="0C0A7CB6" w:rsidP="25F7252E">
      <w:pPr>
        <w:jc w:val="center"/>
        <w:rPr>
          <w:rFonts w:ascii="Verdana" w:eastAsia="Verdana" w:hAnsi="Verdana" w:cs="Verdana"/>
          <w:sz w:val="22"/>
          <w:szCs w:val="22"/>
        </w:rPr>
      </w:pPr>
      <w:r w:rsidRPr="25F7252E">
        <w:rPr>
          <w:rFonts w:ascii="Verdana" w:eastAsia="Verdana" w:hAnsi="Verdana" w:cs="Verdana"/>
          <w:sz w:val="22"/>
          <w:szCs w:val="22"/>
        </w:rPr>
        <w:t>“Por la cual se adopta el Manual de Recursos Tributarios - Aportes 2% del Instituto Colombiano de Bienestar Familiar”</w:t>
      </w:r>
    </w:p>
    <w:p w14:paraId="16AB9D41" w14:textId="6CCB9A44" w:rsidR="0C0A7CB6" w:rsidRDefault="0C0A7CB6" w:rsidP="25F7252E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F7252E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5DE84618" w14:textId="5F891355" w:rsidR="0C0A7CB6" w:rsidRDefault="0C0A7CB6" w:rsidP="25F7252E">
      <w:pPr>
        <w:jc w:val="center"/>
        <w:rPr>
          <w:rFonts w:ascii="Verdana" w:eastAsia="Verdana" w:hAnsi="Verdana" w:cs="Verdana"/>
          <w:sz w:val="22"/>
          <w:szCs w:val="22"/>
        </w:rPr>
      </w:pPr>
      <w:r w:rsidRPr="25F7252E">
        <w:rPr>
          <w:rFonts w:ascii="Verdana" w:eastAsia="Verdana" w:hAnsi="Verdana" w:cs="Verdana"/>
          <w:sz w:val="22"/>
          <w:szCs w:val="22"/>
        </w:rPr>
        <w:t>en uso de sus facultades legales y estatutarias.</w:t>
      </w:r>
    </w:p>
    <w:p w14:paraId="39F55AFA" w14:textId="43EE91AA" w:rsidR="0C0A7CB6" w:rsidRDefault="0C0A7CB6" w:rsidP="25F7252E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F7252E">
        <w:rPr>
          <w:rFonts w:ascii="Verdana" w:eastAsia="Verdana" w:hAnsi="Verdana" w:cs="Verdana"/>
          <w:b/>
          <w:bCs/>
          <w:sz w:val="22"/>
          <w:szCs w:val="22"/>
        </w:rPr>
        <w:t>CONSIDERANDO:</w:t>
      </w:r>
    </w:p>
    <w:p w14:paraId="237E8904" w14:textId="581C04F3" w:rsidR="0C0A7CB6" w:rsidRDefault="0C0A7CB6" w:rsidP="25F7252E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5F7252E">
        <w:rPr>
          <w:rFonts w:ascii="Verdana" w:eastAsia="Verdana" w:hAnsi="Verdana" w:cs="Verdana"/>
          <w:sz w:val="22"/>
          <w:szCs w:val="22"/>
        </w:rPr>
        <w:t>Que el aporte patronal del 2% constituye el Ingreso Corriente Tributario más importante del patrimonio del ICBF.</w:t>
      </w:r>
    </w:p>
    <w:p w14:paraId="5ABE8C1A" w14:textId="0006D264" w:rsidR="0C0A7CB6" w:rsidRDefault="0C0A7CB6" w:rsidP="25F7252E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5F7252E">
        <w:rPr>
          <w:rFonts w:ascii="Verdana" w:eastAsia="Verdana" w:hAnsi="Verdana" w:cs="Verdana"/>
          <w:sz w:val="22"/>
          <w:szCs w:val="22"/>
        </w:rPr>
        <w:t>Que el sistema de recaudo de esta fuente económica fue modificado haciéndolo más acorde a la política gubernamental de racionalización del proceso de gestión pública.</w:t>
      </w:r>
    </w:p>
    <w:p w14:paraId="538B5AD6" w14:textId="189A6B29" w:rsidR="0C0A7CB6" w:rsidRDefault="0C0A7CB6" w:rsidP="25F7252E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5F7252E">
        <w:rPr>
          <w:rFonts w:ascii="Verdana" w:eastAsia="Verdana" w:hAnsi="Verdana" w:cs="Verdana"/>
          <w:sz w:val="22"/>
          <w:szCs w:val="22"/>
        </w:rPr>
        <w:t xml:space="preserve">Que el Artículo 28, Literal C) del Capítulo IX del Decreto 334 de 1980 faculta al </w:t>
      </w:r>
      <w:proofErr w:type="gramStart"/>
      <w:r w:rsidRPr="25F7252E">
        <w:rPr>
          <w:rFonts w:ascii="Verdana" w:eastAsia="Verdana" w:hAnsi="Verdana" w:cs="Verdana"/>
          <w:sz w:val="22"/>
          <w:szCs w:val="22"/>
        </w:rPr>
        <w:t>Director General</w:t>
      </w:r>
      <w:proofErr w:type="gramEnd"/>
      <w:r w:rsidRPr="25F7252E">
        <w:rPr>
          <w:rFonts w:ascii="Verdana" w:eastAsia="Verdana" w:hAnsi="Verdana" w:cs="Verdana"/>
          <w:sz w:val="22"/>
          <w:szCs w:val="22"/>
        </w:rPr>
        <w:t xml:space="preserve"> del ICBF para delegar internamente funciones en los Subalternos.</w:t>
      </w:r>
    </w:p>
    <w:p w14:paraId="4474A8EA" w14:textId="6A364A6E" w:rsidR="0C0A7CB6" w:rsidRDefault="0C0A7CB6" w:rsidP="25F7252E">
      <w:pPr>
        <w:jc w:val="center"/>
        <w:rPr>
          <w:rFonts w:ascii="Verdana" w:eastAsia="Verdana" w:hAnsi="Verdana" w:cs="Verdana"/>
          <w:b/>
          <w:bCs/>
        </w:rPr>
      </w:pPr>
      <w:r w:rsidRPr="25F7252E">
        <w:rPr>
          <w:rFonts w:ascii="Verdana" w:eastAsia="Verdana" w:hAnsi="Verdana" w:cs="Verdana"/>
          <w:b/>
          <w:bCs/>
        </w:rPr>
        <w:t>DECRETA:</w:t>
      </w:r>
    </w:p>
    <w:p w14:paraId="67378D41" w14:textId="08A07352" w:rsidR="0C0A7CB6" w:rsidRDefault="0C0A7CB6" w:rsidP="25F7252E">
      <w:pPr>
        <w:jc w:val="both"/>
        <w:rPr>
          <w:rFonts w:ascii="Verdana" w:eastAsia="Verdana" w:hAnsi="Verdana" w:cs="Verdana"/>
          <w:sz w:val="22"/>
          <w:szCs w:val="22"/>
        </w:rPr>
      </w:pPr>
      <w:r w:rsidRPr="25F7252E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2DDAB068" w:rsidRPr="25F7252E">
        <w:rPr>
          <w:rFonts w:ascii="Verdana" w:eastAsia="Verdana" w:hAnsi="Verdana" w:cs="Verdana"/>
          <w:b/>
          <w:bCs/>
          <w:sz w:val="22"/>
          <w:szCs w:val="22"/>
        </w:rPr>
        <w:t>1o</w:t>
      </w:r>
      <w:r w:rsidRPr="25F7252E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25F7252E">
        <w:rPr>
          <w:rFonts w:ascii="Verdana" w:eastAsia="Verdana" w:hAnsi="Verdana" w:cs="Verdana"/>
          <w:sz w:val="22"/>
          <w:szCs w:val="22"/>
        </w:rPr>
        <w:t xml:space="preserve"> </w:t>
      </w:r>
      <w:r w:rsidR="2212228A" w:rsidRPr="25F7252E">
        <w:rPr>
          <w:rFonts w:ascii="Verdana" w:eastAsia="Verdana" w:hAnsi="Verdana" w:cs="Verdana"/>
          <w:sz w:val="22"/>
          <w:szCs w:val="22"/>
        </w:rPr>
        <w:t>[</w:t>
      </w:r>
      <w:r w:rsidRPr="25F7252E">
        <w:rPr>
          <w:rFonts w:ascii="Verdana" w:eastAsia="Verdana" w:hAnsi="Verdana" w:cs="Verdana"/>
          <w:sz w:val="22"/>
          <w:szCs w:val="22"/>
        </w:rPr>
        <w:t>Resolución derogada por el artículo 20 de la Resolución 1256 de 2000</w:t>
      </w:r>
      <w:r w:rsidR="1FDFD98B" w:rsidRPr="25F7252E">
        <w:rPr>
          <w:rFonts w:ascii="Verdana" w:eastAsia="Verdana" w:hAnsi="Verdana" w:cs="Verdana"/>
          <w:sz w:val="22"/>
          <w:szCs w:val="22"/>
        </w:rPr>
        <w:t>]</w:t>
      </w:r>
      <w:r w:rsidRPr="25F7252E">
        <w:rPr>
          <w:rFonts w:ascii="Verdana" w:eastAsia="Verdana" w:hAnsi="Verdana" w:cs="Verdana"/>
          <w:sz w:val="22"/>
          <w:szCs w:val="22"/>
        </w:rPr>
        <w:t xml:space="preserve"> Adoptase el Manual de Recursos Tributarios - Aportes 2% del Instituto Colombiano de Bienestar Familiar.</w:t>
      </w:r>
    </w:p>
    <w:p w14:paraId="6A5D9979" w14:textId="625D110C" w:rsidR="0C0A7CB6" w:rsidRDefault="0C0A7CB6" w:rsidP="25F7252E">
      <w:pPr>
        <w:jc w:val="both"/>
        <w:rPr>
          <w:rFonts w:ascii="Verdana" w:eastAsia="Verdana" w:hAnsi="Verdana" w:cs="Verdana"/>
          <w:sz w:val="22"/>
          <w:szCs w:val="22"/>
        </w:rPr>
      </w:pPr>
      <w:r w:rsidRPr="25F7252E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2D315A3F" w:rsidRPr="25F7252E">
        <w:rPr>
          <w:rFonts w:ascii="Verdana" w:eastAsia="Verdana" w:hAnsi="Verdana" w:cs="Verdana"/>
          <w:b/>
          <w:bCs/>
          <w:sz w:val="22"/>
          <w:szCs w:val="22"/>
        </w:rPr>
        <w:t>2o</w:t>
      </w:r>
      <w:r w:rsidRPr="25F7252E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25F7252E">
        <w:rPr>
          <w:rFonts w:ascii="Verdana" w:eastAsia="Verdana" w:hAnsi="Verdana" w:cs="Verdana"/>
          <w:sz w:val="22"/>
          <w:szCs w:val="22"/>
        </w:rPr>
        <w:t xml:space="preserve"> </w:t>
      </w:r>
      <w:r w:rsidR="2212228A" w:rsidRPr="25F7252E">
        <w:rPr>
          <w:rFonts w:ascii="Verdana" w:eastAsia="Verdana" w:hAnsi="Verdana" w:cs="Verdana"/>
          <w:sz w:val="22"/>
          <w:szCs w:val="22"/>
        </w:rPr>
        <w:t>[</w:t>
      </w:r>
      <w:r w:rsidRPr="25F7252E">
        <w:rPr>
          <w:rFonts w:ascii="Verdana" w:eastAsia="Verdana" w:hAnsi="Verdana" w:cs="Verdana"/>
          <w:sz w:val="22"/>
          <w:szCs w:val="22"/>
        </w:rPr>
        <w:t>Resolución derogada por el artículo 20 de la Resolución 1256 de 2000</w:t>
      </w:r>
      <w:r w:rsidR="1FDFD98B" w:rsidRPr="25F7252E">
        <w:rPr>
          <w:rFonts w:ascii="Verdana" w:eastAsia="Verdana" w:hAnsi="Verdana" w:cs="Verdana"/>
          <w:sz w:val="22"/>
          <w:szCs w:val="22"/>
        </w:rPr>
        <w:t>]</w:t>
      </w:r>
      <w:r w:rsidRPr="25F7252E">
        <w:rPr>
          <w:rFonts w:ascii="Verdana" w:eastAsia="Verdana" w:hAnsi="Verdana" w:cs="Verdana"/>
          <w:sz w:val="22"/>
          <w:szCs w:val="22"/>
        </w:rPr>
        <w:t xml:space="preserve"> Delegase en los </w:t>
      </w:r>
      <w:proofErr w:type="gramStart"/>
      <w:r w:rsidRPr="25F7252E">
        <w:rPr>
          <w:rFonts w:ascii="Verdana" w:eastAsia="Verdana" w:hAnsi="Verdana" w:cs="Verdana"/>
          <w:sz w:val="22"/>
          <w:szCs w:val="22"/>
        </w:rPr>
        <w:t>Directores Regionales</w:t>
      </w:r>
      <w:proofErr w:type="gramEnd"/>
      <w:r w:rsidRPr="25F7252E">
        <w:rPr>
          <w:rFonts w:ascii="Verdana" w:eastAsia="Verdana" w:hAnsi="Verdana" w:cs="Verdana"/>
          <w:sz w:val="22"/>
          <w:szCs w:val="22"/>
        </w:rPr>
        <w:t xml:space="preserve"> su adecuada ejecución para lo cual brindarán el apoyo que se requiera.</w:t>
      </w:r>
    </w:p>
    <w:p w14:paraId="3B456404" w14:textId="41FB36E9" w:rsidR="0C0A7CB6" w:rsidRDefault="0C0A7CB6" w:rsidP="25F7252E">
      <w:pPr>
        <w:jc w:val="both"/>
        <w:rPr>
          <w:rFonts w:ascii="Verdana" w:eastAsia="Verdana" w:hAnsi="Verdana" w:cs="Verdana"/>
          <w:sz w:val="22"/>
          <w:szCs w:val="22"/>
        </w:rPr>
      </w:pPr>
      <w:r w:rsidRPr="25F7252E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041CB128" w:rsidRPr="25F7252E">
        <w:rPr>
          <w:rFonts w:ascii="Verdana" w:eastAsia="Verdana" w:hAnsi="Verdana" w:cs="Verdana"/>
          <w:b/>
          <w:bCs/>
          <w:sz w:val="22"/>
          <w:szCs w:val="22"/>
        </w:rPr>
        <w:t>3o</w:t>
      </w:r>
      <w:r w:rsidRPr="25F7252E">
        <w:rPr>
          <w:rFonts w:ascii="Verdana" w:eastAsia="Verdana" w:hAnsi="Verdana" w:cs="Verdana"/>
          <w:b/>
          <w:bCs/>
          <w:sz w:val="22"/>
          <w:szCs w:val="22"/>
        </w:rPr>
        <w:t>.</w:t>
      </w:r>
      <w:r w:rsidR="3BAB9732" w:rsidRPr="25F7252E">
        <w:rPr>
          <w:rFonts w:ascii="Verdana" w:eastAsia="Verdana" w:hAnsi="Verdana" w:cs="Verdana"/>
          <w:sz w:val="22"/>
          <w:szCs w:val="22"/>
        </w:rPr>
        <w:t xml:space="preserve"> </w:t>
      </w:r>
      <w:r w:rsidR="2212228A" w:rsidRPr="25F7252E">
        <w:rPr>
          <w:rFonts w:ascii="Verdana" w:eastAsia="Verdana" w:hAnsi="Verdana" w:cs="Verdana"/>
          <w:sz w:val="22"/>
          <w:szCs w:val="22"/>
        </w:rPr>
        <w:t>[</w:t>
      </w:r>
      <w:r w:rsidRPr="25F7252E">
        <w:rPr>
          <w:rFonts w:ascii="Verdana" w:eastAsia="Verdana" w:hAnsi="Verdana" w:cs="Verdana"/>
          <w:sz w:val="22"/>
          <w:szCs w:val="22"/>
        </w:rPr>
        <w:t>Resolución derogada por el artículo 20 de la Resolución 1256 de 2000</w:t>
      </w:r>
      <w:r w:rsidR="1FDFD98B" w:rsidRPr="25F7252E">
        <w:rPr>
          <w:rFonts w:ascii="Verdana" w:eastAsia="Verdana" w:hAnsi="Verdana" w:cs="Verdana"/>
          <w:sz w:val="22"/>
          <w:szCs w:val="22"/>
        </w:rPr>
        <w:t>]</w:t>
      </w:r>
      <w:r w:rsidRPr="25F7252E">
        <w:rPr>
          <w:rFonts w:ascii="Verdana" w:eastAsia="Verdana" w:hAnsi="Verdana" w:cs="Verdana"/>
          <w:sz w:val="22"/>
          <w:szCs w:val="22"/>
        </w:rPr>
        <w:t xml:space="preserve"> Será responsabilidad de la Subdirección de Finanzas y Presupuesto, garantizar la permanente actualización del presente Manual, así como de la Subdirección de Control Administrativo y Coordinación Regional de la oportuna divulgación de las modificaciones que se le efectúen.</w:t>
      </w:r>
    </w:p>
    <w:p w14:paraId="481C5406" w14:textId="7A0F4FF3" w:rsidR="0C0A7CB6" w:rsidRDefault="0C0A7CB6" w:rsidP="25F7252E">
      <w:pPr>
        <w:jc w:val="both"/>
        <w:rPr>
          <w:rFonts w:ascii="Verdana" w:eastAsia="Verdana" w:hAnsi="Verdana" w:cs="Verdana"/>
          <w:sz w:val="22"/>
          <w:szCs w:val="22"/>
        </w:rPr>
      </w:pPr>
      <w:r w:rsidRPr="25F7252E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57EA574E" w:rsidRPr="25F7252E">
        <w:rPr>
          <w:rFonts w:ascii="Verdana" w:eastAsia="Verdana" w:hAnsi="Verdana" w:cs="Verdana"/>
          <w:b/>
          <w:bCs/>
          <w:sz w:val="22"/>
          <w:szCs w:val="22"/>
        </w:rPr>
        <w:t>4</w:t>
      </w:r>
      <w:r w:rsidR="3FD67AB2" w:rsidRPr="25F7252E">
        <w:rPr>
          <w:rFonts w:ascii="Verdana" w:eastAsia="Verdana" w:hAnsi="Verdana" w:cs="Verdana"/>
          <w:b/>
          <w:bCs/>
          <w:sz w:val="22"/>
          <w:szCs w:val="22"/>
        </w:rPr>
        <w:t>o</w:t>
      </w:r>
      <w:r w:rsidRPr="25F7252E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25F7252E">
        <w:rPr>
          <w:rFonts w:ascii="Verdana" w:eastAsia="Verdana" w:hAnsi="Verdana" w:cs="Verdana"/>
          <w:sz w:val="22"/>
          <w:szCs w:val="22"/>
        </w:rPr>
        <w:t xml:space="preserve"> </w:t>
      </w:r>
      <w:r w:rsidR="2212228A" w:rsidRPr="25F7252E">
        <w:rPr>
          <w:rFonts w:ascii="Verdana" w:eastAsia="Verdana" w:hAnsi="Verdana" w:cs="Verdana"/>
          <w:sz w:val="22"/>
          <w:szCs w:val="22"/>
        </w:rPr>
        <w:t>[</w:t>
      </w:r>
      <w:r w:rsidRPr="25F7252E">
        <w:rPr>
          <w:rFonts w:ascii="Verdana" w:eastAsia="Verdana" w:hAnsi="Verdana" w:cs="Verdana"/>
          <w:sz w:val="22"/>
          <w:szCs w:val="22"/>
        </w:rPr>
        <w:t>Resolución derogada por el artículo 20 de la Resolución 1256 de 2000</w:t>
      </w:r>
      <w:r w:rsidR="1FDFD98B" w:rsidRPr="25F7252E">
        <w:rPr>
          <w:rFonts w:ascii="Verdana" w:eastAsia="Verdana" w:hAnsi="Verdana" w:cs="Verdana"/>
          <w:sz w:val="22"/>
          <w:szCs w:val="22"/>
        </w:rPr>
        <w:t>]</w:t>
      </w:r>
      <w:r w:rsidRPr="25F7252E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expedición.</w:t>
      </w:r>
    </w:p>
    <w:p w14:paraId="5C73A281" w14:textId="489EE822" w:rsidR="6601DE05" w:rsidRDefault="6601DE05" w:rsidP="25F7252E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F7252E">
        <w:rPr>
          <w:rFonts w:ascii="Verdana" w:eastAsia="Verdana" w:hAnsi="Verdana" w:cs="Verdana"/>
          <w:b/>
          <w:bCs/>
          <w:sz w:val="22"/>
          <w:szCs w:val="22"/>
        </w:rPr>
        <w:lastRenderedPageBreak/>
        <w:t xml:space="preserve">NOTIFIQUESE Y CUMPLASE, </w:t>
      </w:r>
    </w:p>
    <w:p w14:paraId="1A1856CE" w14:textId="715C264F" w:rsidR="0C0A7CB6" w:rsidRDefault="0C0A7CB6" w:rsidP="25F7252E">
      <w:pPr>
        <w:jc w:val="center"/>
        <w:rPr>
          <w:rFonts w:ascii="Verdana" w:eastAsia="Verdana" w:hAnsi="Verdana" w:cs="Verdana"/>
          <w:sz w:val="22"/>
          <w:szCs w:val="22"/>
        </w:rPr>
      </w:pPr>
      <w:r w:rsidRPr="25F7252E">
        <w:rPr>
          <w:rFonts w:ascii="Verdana" w:eastAsia="Verdana" w:hAnsi="Verdana" w:cs="Verdana"/>
          <w:sz w:val="22"/>
          <w:szCs w:val="22"/>
        </w:rPr>
        <w:t xml:space="preserve">Dada en Bogotá, D. E. a los 27 </w:t>
      </w:r>
      <w:r w:rsidR="1BFD1985" w:rsidRPr="25F7252E">
        <w:rPr>
          <w:rFonts w:ascii="Verdana" w:eastAsia="Verdana" w:hAnsi="Verdana" w:cs="Verdana"/>
          <w:sz w:val="22"/>
          <w:szCs w:val="22"/>
        </w:rPr>
        <w:t xml:space="preserve">días del mes de noviembre de </w:t>
      </w:r>
      <w:r w:rsidRPr="25F7252E">
        <w:rPr>
          <w:rFonts w:ascii="Verdana" w:eastAsia="Verdana" w:hAnsi="Verdana" w:cs="Verdana"/>
          <w:sz w:val="22"/>
          <w:szCs w:val="22"/>
        </w:rPr>
        <w:t>1986.</w:t>
      </w:r>
    </w:p>
    <w:p w14:paraId="1E5D2C65" w14:textId="5D7869C6" w:rsidR="0C0A7CB6" w:rsidRDefault="0C0A7CB6" w:rsidP="25F7252E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F7252E">
        <w:rPr>
          <w:rFonts w:ascii="Verdana" w:eastAsia="Verdana" w:hAnsi="Verdana" w:cs="Verdana"/>
          <w:b/>
          <w:bCs/>
          <w:sz w:val="22"/>
          <w:szCs w:val="22"/>
        </w:rPr>
        <w:t>JAIME BENÍTEZ TOBON</w:t>
      </w:r>
    </w:p>
    <w:p w14:paraId="17176D67" w14:textId="47D6BF19" w:rsidR="1082BC96" w:rsidRDefault="1082BC96" w:rsidP="25F7252E">
      <w:pPr>
        <w:jc w:val="center"/>
      </w:pPr>
      <w:r w:rsidRPr="25F7252E">
        <w:rPr>
          <w:rFonts w:ascii="Verdana" w:eastAsia="Verdana" w:hAnsi="Verdana" w:cs="Verdana"/>
          <w:sz w:val="22"/>
          <w:szCs w:val="22"/>
        </w:rPr>
        <w:t>DIRECTOR GENERAL</w:t>
      </w:r>
    </w:p>
    <w:p w14:paraId="55E2B2B3" w14:textId="78232832" w:rsidR="0C0A7CB6" w:rsidRDefault="0C0A7CB6" w:rsidP="25F7252E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F7252E">
        <w:rPr>
          <w:rFonts w:ascii="Verdana" w:eastAsia="Verdana" w:hAnsi="Verdana" w:cs="Verdana"/>
          <w:b/>
          <w:bCs/>
          <w:sz w:val="22"/>
          <w:szCs w:val="22"/>
        </w:rPr>
        <w:t>ALBA OTILIA DUEÑAS DE PEREZ</w:t>
      </w:r>
    </w:p>
    <w:p w14:paraId="4117E575" w14:textId="248E19C2" w:rsidR="0C0A7CB6" w:rsidRDefault="0C0A7CB6" w:rsidP="25F7252E">
      <w:pPr>
        <w:jc w:val="center"/>
        <w:rPr>
          <w:rFonts w:ascii="Verdana" w:eastAsia="Verdana" w:hAnsi="Verdana" w:cs="Verdana"/>
          <w:sz w:val="22"/>
          <w:szCs w:val="22"/>
        </w:rPr>
      </w:pPr>
      <w:r w:rsidRPr="25F7252E">
        <w:rPr>
          <w:rFonts w:ascii="Verdana" w:eastAsia="Verdana" w:hAnsi="Verdana" w:cs="Verdana"/>
          <w:sz w:val="22"/>
          <w:szCs w:val="22"/>
        </w:rPr>
        <w:t>S</w:t>
      </w:r>
      <w:r w:rsidR="777C8D62" w:rsidRPr="25F7252E">
        <w:rPr>
          <w:rFonts w:ascii="Verdana" w:eastAsia="Verdana" w:hAnsi="Verdana" w:cs="Verdana"/>
          <w:sz w:val="22"/>
          <w:szCs w:val="22"/>
        </w:rPr>
        <w:t>ECRETARIA GENERAL</w:t>
      </w:r>
    </w:p>
    <w:p w14:paraId="577BC31D" w14:textId="4677656F" w:rsidR="25F7252E" w:rsidRDefault="25F7252E" w:rsidP="25F7252E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25F725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0D39"/>
    <w:multiLevelType w:val="hybridMultilevel"/>
    <w:tmpl w:val="90E049F8"/>
    <w:lvl w:ilvl="0" w:tplc="214222E4">
      <w:start w:val="1"/>
      <w:numFmt w:val="decimal"/>
      <w:lvlText w:val="%1."/>
      <w:lvlJc w:val="left"/>
      <w:pPr>
        <w:ind w:left="720" w:hanging="360"/>
      </w:pPr>
    </w:lvl>
    <w:lvl w:ilvl="1" w:tplc="E2D24F72">
      <w:start w:val="1"/>
      <w:numFmt w:val="lowerLetter"/>
      <w:lvlText w:val="%2."/>
      <w:lvlJc w:val="left"/>
      <w:pPr>
        <w:ind w:left="1440" w:hanging="360"/>
      </w:pPr>
    </w:lvl>
    <w:lvl w:ilvl="2" w:tplc="4C94526A">
      <w:start w:val="1"/>
      <w:numFmt w:val="lowerRoman"/>
      <w:lvlText w:val="%3."/>
      <w:lvlJc w:val="right"/>
      <w:pPr>
        <w:ind w:left="2160" w:hanging="180"/>
      </w:pPr>
    </w:lvl>
    <w:lvl w:ilvl="3" w:tplc="11762A50">
      <w:start w:val="1"/>
      <w:numFmt w:val="decimal"/>
      <w:lvlText w:val="%4."/>
      <w:lvlJc w:val="left"/>
      <w:pPr>
        <w:ind w:left="2880" w:hanging="360"/>
      </w:pPr>
    </w:lvl>
    <w:lvl w:ilvl="4" w:tplc="C382D6E2">
      <w:start w:val="1"/>
      <w:numFmt w:val="lowerLetter"/>
      <w:lvlText w:val="%5."/>
      <w:lvlJc w:val="left"/>
      <w:pPr>
        <w:ind w:left="3600" w:hanging="360"/>
      </w:pPr>
    </w:lvl>
    <w:lvl w:ilvl="5" w:tplc="23E0CC8A">
      <w:start w:val="1"/>
      <w:numFmt w:val="lowerRoman"/>
      <w:lvlText w:val="%6."/>
      <w:lvlJc w:val="right"/>
      <w:pPr>
        <w:ind w:left="4320" w:hanging="180"/>
      </w:pPr>
    </w:lvl>
    <w:lvl w:ilvl="6" w:tplc="774CFE12">
      <w:start w:val="1"/>
      <w:numFmt w:val="decimal"/>
      <w:lvlText w:val="%7."/>
      <w:lvlJc w:val="left"/>
      <w:pPr>
        <w:ind w:left="5040" w:hanging="360"/>
      </w:pPr>
    </w:lvl>
    <w:lvl w:ilvl="7" w:tplc="BF886888">
      <w:start w:val="1"/>
      <w:numFmt w:val="lowerLetter"/>
      <w:lvlText w:val="%8."/>
      <w:lvlJc w:val="left"/>
      <w:pPr>
        <w:ind w:left="5760" w:hanging="360"/>
      </w:pPr>
    </w:lvl>
    <w:lvl w:ilvl="8" w:tplc="A8B6BF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98C2"/>
    <w:multiLevelType w:val="hybridMultilevel"/>
    <w:tmpl w:val="52609B70"/>
    <w:lvl w:ilvl="0" w:tplc="96ACEA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93292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14E473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10AA6A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D5677C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880143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EC4769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C84FDE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D3E3C4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39819">
    <w:abstractNumId w:val="0"/>
  </w:num>
  <w:num w:numId="2" w16cid:durableId="292368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8C073B"/>
    <w:rsid w:val="000B437A"/>
    <w:rsid w:val="001B7766"/>
    <w:rsid w:val="00AB1202"/>
    <w:rsid w:val="00B77C2A"/>
    <w:rsid w:val="00C22750"/>
    <w:rsid w:val="041CB128"/>
    <w:rsid w:val="08EA076E"/>
    <w:rsid w:val="0C0A7CB6"/>
    <w:rsid w:val="1082BC96"/>
    <w:rsid w:val="16E9FA57"/>
    <w:rsid w:val="1A95544B"/>
    <w:rsid w:val="1BFD1985"/>
    <w:rsid w:val="1DB595B3"/>
    <w:rsid w:val="1F2C465B"/>
    <w:rsid w:val="1FDFD98B"/>
    <w:rsid w:val="2056FFE4"/>
    <w:rsid w:val="2212228A"/>
    <w:rsid w:val="22955C10"/>
    <w:rsid w:val="248C073B"/>
    <w:rsid w:val="25F7252E"/>
    <w:rsid w:val="261B18C1"/>
    <w:rsid w:val="2D315A3F"/>
    <w:rsid w:val="2DDAB068"/>
    <w:rsid w:val="3BAB9732"/>
    <w:rsid w:val="3FD67AB2"/>
    <w:rsid w:val="44C9F70F"/>
    <w:rsid w:val="4C0AD1B0"/>
    <w:rsid w:val="57EA574E"/>
    <w:rsid w:val="6542479B"/>
    <w:rsid w:val="6601DE05"/>
    <w:rsid w:val="6E09DC36"/>
    <w:rsid w:val="765952C2"/>
    <w:rsid w:val="777C8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073B"/>
  <w15:chartTrackingRefBased/>
  <w15:docId w15:val="{BD86A52D-7032-4A31-941E-080CD871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25F7252E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C22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C69C0B-E63B-4163-869C-59035801BD7D}"/>
</file>

<file path=customXml/itemProps2.xml><?xml version="1.0" encoding="utf-8"?>
<ds:datastoreItem xmlns:ds="http://schemas.openxmlformats.org/officeDocument/2006/customXml" ds:itemID="{CF373A4E-9551-4C8A-8CFD-0D90CD5ED79F}"/>
</file>

<file path=customXml/itemProps3.xml><?xml version="1.0" encoding="utf-8"?>
<ds:datastoreItem xmlns:ds="http://schemas.openxmlformats.org/officeDocument/2006/customXml" ds:itemID="{F36F86AD-D624-4881-8F53-01B1741AF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2025-11-21T15:51:00Z</dcterms:created>
  <dcterms:modified xsi:type="dcterms:W3CDTF">2026-01-15T15:15:00Z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