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14ABB6BD" w:rsidR="006D5ECF" w:rsidRPr="00DE103B" w:rsidRDefault="00251F6B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A873FE">
        <w:rPr>
          <w:rFonts w:ascii="Verdana" w:hAnsi="Verdana"/>
          <w:b/>
          <w:bCs/>
          <w:sz w:val="22"/>
          <w:szCs w:val="22"/>
        </w:rPr>
        <w:t>300</w:t>
      </w:r>
      <w:r w:rsidR="00E96AE6" w:rsidRPr="00DB3505">
        <w:rPr>
          <w:rFonts w:ascii="Verdana" w:hAnsi="Verdana"/>
          <w:b/>
          <w:bCs/>
          <w:sz w:val="22"/>
          <w:szCs w:val="22"/>
        </w:rPr>
        <w:t xml:space="preserve"> </w:t>
      </w:r>
      <w:r w:rsidRPr="00DB3505">
        <w:rPr>
          <w:rFonts w:ascii="Verdana" w:hAnsi="Verdana"/>
          <w:b/>
          <w:bCs/>
          <w:sz w:val="22"/>
          <w:szCs w:val="22"/>
        </w:rPr>
        <w:t>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FAA1F65" w14:textId="691B3E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A873FE">
        <w:rPr>
          <w:rFonts w:ascii="Verdana" w:hAnsi="Verdana"/>
          <w:sz w:val="20"/>
          <w:szCs w:val="20"/>
        </w:rPr>
        <w:t>1 de febrero</w:t>
      </w:r>
      <w:r w:rsidRPr="00251F6B">
        <w:rPr>
          <w:rFonts w:ascii="Verdana" w:hAnsi="Verdana"/>
          <w:sz w:val="20"/>
          <w:szCs w:val="20"/>
        </w:rPr>
        <w:t xml:space="preserve"> de 20</w:t>
      </w:r>
      <w:r w:rsidR="00D5214B">
        <w:rPr>
          <w:rFonts w:ascii="Verdana" w:hAnsi="Verdana"/>
          <w:sz w:val="20"/>
          <w:szCs w:val="20"/>
        </w:rPr>
        <w:t>2</w:t>
      </w:r>
      <w:r w:rsidR="000D6943">
        <w:rPr>
          <w:rFonts w:ascii="Verdana" w:hAnsi="Verdana"/>
          <w:sz w:val="20"/>
          <w:szCs w:val="20"/>
        </w:rPr>
        <w:t>4</w:t>
      </w:r>
    </w:p>
    <w:p w14:paraId="3C8362D2" w14:textId="4FBBA0AB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 xml:space="preserve">: </w:t>
      </w:r>
      <w:r w:rsidR="00A873FE">
        <w:rPr>
          <w:rFonts w:ascii="Verdana" w:hAnsi="Verdana"/>
          <w:sz w:val="20"/>
          <w:szCs w:val="20"/>
        </w:rPr>
        <w:t xml:space="preserve">1 de febrero </w:t>
      </w:r>
      <w:r w:rsidR="000D6943">
        <w:rPr>
          <w:rFonts w:ascii="Verdana" w:hAnsi="Verdana"/>
          <w:sz w:val="20"/>
          <w:szCs w:val="20"/>
        </w:rPr>
        <w:t>de 2024</w:t>
      </w:r>
    </w:p>
    <w:p w14:paraId="1772F951" w14:textId="667A71CB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C616D1" w:rsidRPr="00C616D1">
        <w:rPr>
          <w:rFonts w:ascii="Verdana" w:hAnsi="Verdana"/>
          <w:sz w:val="20"/>
          <w:szCs w:val="20"/>
        </w:rPr>
        <w:t xml:space="preserve">vigente </w:t>
      </w:r>
    </w:p>
    <w:p w14:paraId="30D368E6" w14:textId="77777777" w:rsidR="006D1939" w:rsidRPr="00251F6B" w:rsidRDefault="006D1939" w:rsidP="006D1939">
      <w:pPr>
        <w:rPr>
          <w:rFonts w:ascii="Verdana" w:hAnsi="Verdana"/>
          <w:sz w:val="20"/>
          <w:szCs w:val="20"/>
        </w:rPr>
      </w:pPr>
    </w:p>
    <w:p w14:paraId="396C1C8B" w14:textId="4792638E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79E929F8" w14:textId="5D1FE700" w:rsidR="000D0BEE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</w:p>
    <w:p w14:paraId="5E657EE0" w14:textId="7CDC7A88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A873FE">
        <w:rPr>
          <w:rFonts w:ascii="Verdana" w:hAnsi="Verdana"/>
          <w:b/>
          <w:bCs/>
          <w:sz w:val="22"/>
          <w:szCs w:val="22"/>
        </w:rPr>
        <w:t>300</w:t>
      </w:r>
      <w:r w:rsidRPr="00DB3505">
        <w:rPr>
          <w:rFonts w:ascii="Verdana" w:hAnsi="Verdana"/>
          <w:b/>
          <w:bCs/>
          <w:sz w:val="22"/>
          <w:szCs w:val="22"/>
        </w:rPr>
        <w:t xml:space="preserve"> 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6C13A6D" w14:textId="129E2A24" w:rsidR="00DB3505" w:rsidRPr="00DB3505" w:rsidRDefault="00DB3505" w:rsidP="00251F6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(</w:t>
      </w:r>
      <w:r w:rsidR="00125E68">
        <w:rPr>
          <w:rFonts w:ascii="Verdana" w:hAnsi="Verdana"/>
          <w:b/>
          <w:bCs/>
          <w:sz w:val="22"/>
          <w:szCs w:val="22"/>
        </w:rPr>
        <w:t>1</w:t>
      </w:r>
      <w:r w:rsidR="00251F6B" w:rsidRPr="00251F6B">
        <w:rPr>
          <w:rFonts w:ascii="Verdana" w:hAnsi="Verdana"/>
          <w:b/>
          <w:bCs/>
          <w:sz w:val="22"/>
          <w:szCs w:val="22"/>
        </w:rPr>
        <w:t xml:space="preserve"> de </w:t>
      </w:r>
      <w:r w:rsidR="00A873FE">
        <w:rPr>
          <w:rFonts w:ascii="Verdana" w:hAnsi="Verdana"/>
          <w:b/>
          <w:bCs/>
          <w:sz w:val="22"/>
          <w:szCs w:val="22"/>
        </w:rPr>
        <w:t>febrero</w:t>
      </w:r>
      <w:r w:rsidRPr="00DB3505">
        <w:rPr>
          <w:rFonts w:ascii="Verdana" w:hAnsi="Verdana"/>
          <w:b/>
          <w:bCs/>
          <w:sz w:val="22"/>
          <w:szCs w:val="22"/>
        </w:rPr>
        <w:t>)</w:t>
      </w:r>
    </w:p>
    <w:p w14:paraId="7BB7ACAE" w14:textId="77777777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INSTITUTO COLOMBIANO DE BIENESTAR FAMILIAR CECILIA DE LA FUENTE DE LLERAS</w:t>
      </w:r>
    </w:p>
    <w:p w14:paraId="3ADAA644" w14:textId="29065B39" w:rsidR="00A071B1" w:rsidRDefault="00A071B1" w:rsidP="00251F6B">
      <w:pPr>
        <w:jc w:val="center"/>
        <w:rPr>
          <w:rFonts w:ascii="Verdana" w:hAnsi="Verdana"/>
          <w:sz w:val="22"/>
          <w:szCs w:val="22"/>
        </w:rPr>
      </w:pPr>
      <w:r w:rsidRPr="00A071B1">
        <w:rPr>
          <w:rFonts w:ascii="Verdana" w:hAnsi="Verdana"/>
          <w:sz w:val="22"/>
          <w:szCs w:val="22"/>
        </w:rPr>
        <w:t>“</w:t>
      </w:r>
      <w:r w:rsidR="00C616D1">
        <w:rPr>
          <w:rFonts w:ascii="Verdana" w:hAnsi="Verdana"/>
          <w:sz w:val="22"/>
          <w:szCs w:val="22"/>
        </w:rPr>
        <w:t>Por medio de la cual se reasume la competencias delegada en la Dirección Regional ICBF la Guajira para otorgar personerías jurídicas y efectuar el reconocimiento para pertenecer al Sistema Nacional de Bienestar Familiar,</w:t>
      </w:r>
      <w:r w:rsidR="00305A9D">
        <w:rPr>
          <w:rFonts w:ascii="Verdana" w:hAnsi="Verdana"/>
          <w:sz w:val="22"/>
          <w:szCs w:val="22"/>
        </w:rPr>
        <w:t xml:space="preserve"> el trámite de cancelación </w:t>
      </w:r>
      <w:r w:rsidR="00F61C7C">
        <w:rPr>
          <w:rFonts w:ascii="Verdana" w:hAnsi="Verdana"/>
          <w:sz w:val="22"/>
          <w:szCs w:val="22"/>
        </w:rPr>
        <w:t>voluntaria de las personerías jurídicas y el otorgamiento y renovación de licencias de funcionamiento a las instituciones del Sistema Nacional de Bienestar Familiar que prestan servicios de protección, integral, aprobar reformas estatutarias, recibir la inscripción de sus representantes legales, órganos directivos y demás dignatarios”</w:t>
      </w:r>
    </w:p>
    <w:p w14:paraId="3D6C6B14" w14:textId="628F9F2F" w:rsidR="00DB3505" w:rsidRPr="00DB3505" w:rsidRDefault="00693221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EL </w:t>
      </w:r>
      <w:r w:rsidR="00DB3505" w:rsidRPr="00DB3505">
        <w:rPr>
          <w:rFonts w:ascii="Verdana" w:hAnsi="Verdana"/>
          <w:b/>
          <w:bCs/>
          <w:sz w:val="22"/>
          <w:szCs w:val="22"/>
        </w:rPr>
        <w:t xml:space="preserve">DIRECTOR GENERAL </w:t>
      </w:r>
      <w:r>
        <w:rPr>
          <w:rFonts w:ascii="Verdana" w:hAnsi="Verdana"/>
          <w:b/>
          <w:bCs/>
          <w:sz w:val="22"/>
          <w:szCs w:val="22"/>
        </w:rPr>
        <w:t xml:space="preserve">ENCARGADO </w:t>
      </w:r>
      <w:r w:rsidR="00DB3505" w:rsidRPr="00DB3505">
        <w:rPr>
          <w:rFonts w:ascii="Verdana" w:hAnsi="Verdana"/>
          <w:b/>
          <w:bCs/>
          <w:sz w:val="22"/>
          <w:szCs w:val="22"/>
        </w:rPr>
        <w:t>DEL INSTITUTO COLOMBIANO DE BIENESTAR FAMILIAR CECILIA DE LA FUENTE DE LLERAS,</w:t>
      </w:r>
    </w:p>
    <w:p w14:paraId="5F616A03" w14:textId="0FC57C31" w:rsidR="00871E0C" w:rsidRDefault="00871E0C" w:rsidP="00251F6B">
      <w:pPr>
        <w:jc w:val="center"/>
        <w:rPr>
          <w:rFonts w:ascii="Verdana" w:hAnsi="Verdana"/>
          <w:sz w:val="22"/>
          <w:szCs w:val="22"/>
        </w:rPr>
      </w:pPr>
      <w:r w:rsidRPr="00871E0C">
        <w:rPr>
          <w:rFonts w:ascii="Verdana" w:hAnsi="Verdana"/>
          <w:sz w:val="22"/>
          <w:szCs w:val="22"/>
        </w:rPr>
        <w:t xml:space="preserve">En uso de sus facultades legales y </w:t>
      </w:r>
      <w:r w:rsidR="00F61C7C">
        <w:rPr>
          <w:rFonts w:ascii="Verdana" w:hAnsi="Verdana"/>
          <w:sz w:val="22"/>
          <w:szCs w:val="22"/>
        </w:rPr>
        <w:t xml:space="preserve">en especial las conferidas en la Ley 7 de 1979, Ley 489 de 1998, Ley 1098 de 2006, el Decreto 1084 de 2015 y la Resolución 3899 de 2010 con sus modificaciones y, </w:t>
      </w:r>
    </w:p>
    <w:p w14:paraId="62EE6393" w14:textId="66EE4F34" w:rsidR="00DB3505" w:rsidRDefault="00DB3505" w:rsidP="00251F6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CONSIDERANDO:</w:t>
      </w:r>
    </w:p>
    <w:p w14:paraId="0AD0A107" w14:textId="4B251D2D" w:rsidR="00B9152B" w:rsidRDefault="00B9152B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articulo 209 de la Constitución Política establece que la función administrativa debe estar al servicio de los intereses generales y se desarrolla con fundamento en los principios de igualdad, moralidad, eficiencia, economía, celeridad, imparcialidad y publicidad. </w:t>
      </w:r>
    </w:p>
    <w:p w14:paraId="6462F3B1" w14:textId="7AAF4D3D" w:rsidR="00B9152B" w:rsidRDefault="00B9152B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 la Ley 7ª de 1979 creó el Sistema Nacional de Bienestar Familiar a través del cual se presta el Servicio Público de Bienestar Familiar a cargo del Estado</w:t>
      </w:r>
      <w:r w:rsidR="00D50536">
        <w:rPr>
          <w:rFonts w:ascii="Verdana" w:hAnsi="Verdana"/>
          <w:sz w:val="22"/>
          <w:szCs w:val="22"/>
        </w:rPr>
        <w:t xml:space="preserve">, estableciendo como fines del Sistema promover la integración y realización armónica de la familiar, proteger al menor y garantizar los derechos de la niñez y vincular el mayor número de personas y coordinar las entidades estatales competentes en el manejo de los problema de la familiar y del menor al propósito de elevar el nivel de vida de nuestra sociedad. </w:t>
      </w:r>
    </w:p>
    <w:p w14:paraId="6BAFE4E9" w14:textId="260AC929" w:rsidR="00D50536" w:rsidRDefault="00D50536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artículo </w:t>
      </w:r>
      <w:r w:rsidR="00B2397F">
        <w:rPr>
          <w:rFonts w:ascii="Verdana" w:hAnsi="Verdana"/>
          <w:sz w:val="22"/>
          <w:szCs w:val="22"/>
        </w:rPr>
        <w:t xml:space="preserve">21 de la mencionada Ley, señalo las funciones asignadas al ICBF, </w:t>
      </w:r>
      <w:r w:rsidR="00196A2F">
        <w:rPr>
          <w:rFonts w:ascii="Verdana" w:hAnsi="Verdana"/>
          <w:sz w:val="22"/>
          <w:szCs w:val="22"/>
        </w:rPr>
        <w:t>entre</w:t>
      </w:r>
      <w:r w:rsidR="00B2397F">
        <w:rPr>
          <w:rFonts w:ascii="Verdana" w:hAnsi="Verdana"/>
          <w:sz w:val="22"/>
          <w:szCs w:val="22"/>
        </w:rPr>
        <w:t xml:space="preserve"> estas: “8. Otorgar, suspender y cancelar licencias funcionamien</w:t>
      </w:r>
      <w:r w:rsidR="00196A2F">
        <w:rPr>
          <w:rFonts w:ascii="Verdana" w:hAnsi="Verdana"/>
          <w:sz w:val="22"/>
          <w:szCs w:val="22"/>
        </w:rPr>
        <w:t xml:space="preserve">to para </w:t>
      </w:r>
      <w:r w:rsidR="005F6C56">
        <w:rPr>
          <w:rFonts w:ascii="Verdana" w:hAnsi="Verdana"/>
          <w:sz w:val="22"/>
          <w:szCs w:val="22"/>
        </w:rPr>
        <w:t>establecimiento públicos</w:t>
      </w:r>
      <w:r w:rsidR="00196A2F">
        <w:rPr>
          <w:rFonts w:ascii="Verdana" w:hAnsi="Verdana"/>
          <w:sz w:val="22"/>
          <w:szCs w:val="22"/>
        </w:rPr>
        <w:t xml:space="preserve"> o privados de protección al </w:t>
      </w:r>
      <w:r w:rsidR="00196A2F">
        <w:rPr>
          <w:rFonts w:ascii="Verdana" w:hAnsi="Verdana"/>
          <w:sz w:val="22"/>
          <w:szCs w:val="22"/>
        </w:rPr>
        <w:lastRenderedPageBreak/>
        <w:t xml:space="preserve">menos y a la familia y a instituciones que desarrollen programas de adopción”. </w:t>
      </w:r>
    </w:p>
    <w:p w14:paraId="2B2AE53B" w14:textId="165A7295" w:rsidR="00196A2F" w:rsidRDefault="00196A2F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de acuerdo con lo normado en </w:t>
      </w:r>
      <w:r w:rsidR="005F6C56">
        <w:rPr>
          <w:rFonts w:ascii="Verdana" w:hAnsi="Verdana"/>
          <w:sz w:val="22"/>
          <w:szCs w:val="22"/>
        </w:rPr>
        <w:t>los artículos</w:t>
      </w:r>
      <w:r>
        <w:rPr>
          <w:rFonts w:ascii="Verdana" w:hAnsi="Verdana"/>
          <w:sz w:val="22"/>
          <w:szCs w:val="22"/>
        </w:rPr>
        <w:t xml:space="preserve"> 8 y 27 del Decreto 2388 de 1979, todos </w:t>
      </w:r>
      <w:r w:rsidR="005F6C56">
        <w:rPr>
          <w:rFonts w:ascii="Verdana" w:hAnsi="Verdana"/>
          <w:sz w:val="22"/>
          <w:szCs w:val="22"/>
        </w:rPr>
        <w:t>los organismos</w:t>
      </w:r>
      <w:r w:rsidR="002D3284">
        <w:rPr>
          <w:rFonts w:ascii="Verdana" w:hAnsi="Verdana"/>
          <w:sz w:val="22"/>
          <w:szCs w:val="22"/>
        </w:rPr>
        <w:t xml:space="preserve">, instituciones o entidades de carácter público o privado que habitualmente realicen actividades relacionadas con la protección </w:t>
      </w:r>
      <w:r w:rsidR="007526F0">
        <w:rPr>
          <w:rFonts w:ascii="Verdana" w:hAnsi="Verdana"/>
          <w:sz w:val="22"/>
          <w:szCs w:val="22"/>
        </w:rPr>
        <w:t xml:space="preserve">preventiva y especial de niños, niñas y adolescentes, la garantía de sus derechos y la realización e integración armónica de la familia, deben ceñirse a las normas del Sistema Nacional de Bienestar Familiar. </w:t>
      </w:r>
    </w:p>
    <w:p w14:paraId="0BDE4FEE" w14:textId="2D88E18C" w:rsidR="007526F0" w:rsidRDefault="007526F0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la Ley </w:t>
      </w:r>
      <w:r w:rsidR="00684CE2">
        <w:rPr>
          <w:rFonts w:ascii="Verdana" w:hAnsi="Verdana"/>
          <w:sz w:val="22"/>
          <w:szCs w:val="22"/>
        </w:rPr>
        <w:t xml:space="preserve">489 de 1998 en su artículo 9 estableció que las autoridades administrativas, en virtud de lo dispuesto en la constitución Política y de conformidad con la presente ley, podrán mediante aco de delegación, transferir el ejercicio de funciones a sus colaboradores o a otras autoridades, con funciones afines o complementarias. </w:t>
      </w:r>
    </w:p>
    <w:p w14:paraId="24C81385" w14:textId="414EB972" w:rsidR="00684CE2" w:rsidRDefault="00684CE2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artículo 10 de la misma normatividad indicó </w:t>
      </w:r>
      <w:r w:rsidR="004E5755">
        <w:rPr>
          <w:rFonts w:ascii="Verdana" w:hAnsi="Verdana"/>
          <w:sz w:val="22"/>
          <w:szCs w:val="22"/>
        </w:rPr>
        <w:t>los requisitos de la delegación el cual debe ser por siempre por escrito, determinando la autoridad delegataria y las funciones o asunto espec</w:t>
      </w:r>
      <w:r w:rsidR="003C5308">
        <w:rPr>
          <w:rFonts w:ascii="Verdana" w:hAnsi="Verdana"/>
          <w:sz w:val="22"/>
          <w:szCs w:val="22"/>
        </w:rPr>
        <w:t xml:space="preserve">íficos cuya atención y decisión se transfieren. </w:t>
      </w:r>
    </w:p>
    <w:p w14:paraId="553EA77B" w14:textId="3AB9E319" w:rsidR="003C5308" w:rsidRDefault="003C5308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 el artículo 12 de la Ley 489 de 1998, indicó que la delegación exime de responsabilidad al delegante, la cual corresponderá</w:t>
      </w:r>
      <w:r w:rsidR="00AD08A7">
        <w:rPr>
          <w:rFonts w:ascii="Verdana" w:hAnsi="Verdana"/>
          <w:sz w:val="22"/>
          <w:szCs w:val="22"/>
        </w:rPr>
        <w:t xml:space="preserve"> exclusivamente al delegatorio, sin perjuicio de que en virtud de los dispuesto en el artículo 211 de la Constitución Pol</w:t>
      </w:r>
      <w:r w:rsidR="00712DDF">
        <w:rPr>
          <w:rFonts w:ascii="Verdana" w:hAnsi="Verdana"/>
          <w:sz w:val="22"/>
          <w:szCs w:val="22"/>
        </w:rPr>
        <w:t xml:space="preserve">ítica, la autoridad delegante pueda en cualquier tiempo reasumir la competencia y revisar los actos expedidos por el delegatario, con sujeción a las disposiciones del Código Contenciosos Administrativo. </w:t>
      </w:r>
    </w:p>
    <w:p w14:paraId="1E096E9F" w14:textId="6A343604" w:rsidR="004F0472" w:rsidRDefault="00F2410E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Consejo de Estado en Sentencia 00314 de 2016, con ponencia del Magistrado Marco Antonio Velilla, señalo: “Es necesario recordar que la delegación </w:t>
      </w:r>
      <w:r w:rsidR="00363945">
        <w:rPr>
          <w:rFonts w:ascii="Verdana" w:hAnsi="Verdana"/>
          <w:sz w:val="22"/>
          <w:szCs w:val="22"/>
        </w:rPr>
        <w:t>es una medida en virtud de la cual, el titular de una competencia o función administrativa, previamente autorizado por el Legislador, dec</w:t>
      </w:r>
      <w:r w:rsidR="008C5185">
        <w:rPr>
          <w:rFonts w:ascii="Verdana" w:hAnsi="Verdana"/>
          <w:sz w:val="22"/>
          <w:szCs w:val="22"/>
        </w:rPr>
        <w:t>ide radicarla temporalmente y discrecionalmente en cabeza de otra autoridad usualmente subordinada, debiendo quedar en claro que las competencias o funciones susceptibles de delegación</w:t>
      </w:r>
      <w:r w:rsidR="006259CC">
        <w:rPr>
          <w:rFonts w:ascii="Verdana" w:hAnsi="Verdana"/>
          <w:sz w:val="22"/>
          <w:szCs w:val="22"/>
        </w:rPr>
        <w:t xml:space="preserve">, son solo aquellas </w:t>
      </w:r>
      <w:r w:rsidR="002C7F94">
        <w:rPr>
          <w:rFonts w:ascii="Verdana" w:hAnsi="Verdana"/>
          <w:sz w:val="22"/>
          <w:szCs w:val="22"/>
        </w:rPr>
        <w:t>de las cuales es titular la autoridad delegante”</w:t>
      </w:r>
    </w:p>
    <w:p w14:paraId="28142E78" w14:textId="310EC67C" w:rsidR="002C7F94" w:rsidRDefault="002C7F94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artículo 16 de la Ley 1098 de 2006 establece que le compete al Instituto Colombiano de Bienestar Familiar – ICBF como ente rector, coordinador y articulador del Sistema Nacional de Bienestar Familiar, reconocer, otorgar, suspender </w:t>
      </w:r>
      <w:r w:rsidR="000A3985">
        <w:rPr>
          <w:rFonts w:ascii="Verdana" w:hAnsi="Verdana"/>
          <w:sz w:val="22"/>
          <w:szCs w:val="22"/>
        </w:rPr>
        <w:t>y cancelar personerías jurídicas y licencias de funcionamiento a las Instituciones del Sistema que prestan servicios de protección a los menores de edad o a la familia y a las que desarrollen el programa de ad</w:t>
      </w:r>
      <w:r w:rsidR="004C7EBB">
        <w:rPr>
          <w:rFonts w:ascii="Verdana" w:hAnsi="Verdana"/>
          <w:sz w:val="22"/>
          <w:szCs w:val="22"/>
        </w:rPr>
        <w:t>opci</w:t>
      </w:r>
      <w:r w:rsidR="00586D2B">
        <w:rPr>
          <w:rFonts w:ascii="Verdana" w:hAnsi="Verdana"/>
          <w:sz w:val="22"/>
          <w:szCs w:val="22"/>
        </w:rPr>
        <w:t xml:space="preserve">ón. </w:t>
      </w:r>
    </w:p>
    <w:p w14:paraId="43488995" w14:textId="28ED0D8F" w:rsidR="00586D2B" w:rsidRDefault="00586D2B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articulo 205 ibidem ordena que el Instituto Colombiano de Bienestar Familiar como rector del Sistema Nacional de Bienestar Familiar, tiene a su cargo la articulación de las entidades responsables de la garantía de los derechos, la prevención de su vulneración, la protección y el restablecimiento de </w:t>
      </w:r>
      <w:proofErr w:type="gramStart"/>
      <w:r>
        <w:rPr>
          <w:rFonts w:ascii="Verdana" w:hAnsi="Verdana"/>
          <w:sz w:val="22"/>
          <w:szCs w:val="22"/>
        </w:rPr>
        <w:t>los mismos</w:t>
      </w:r>
      <w:proofErr w:type="gramEnd"/>
      <w:r>
        <w:rPr>
          <w:rFonts w:ascii="Verdana" w:hAnsi="Verdana"/>
          <w:sz w:val="22"/>
          <w:szCs w:val="22"/>
        </w:rPr>
        <w:t xml:space="preserve">, en los ámbitos nacional, departamental, distrital, municipal y resguardos o territorios indígenas. </w:t>
      </w:r>
    </w:p>
    <w:p w14:paraId="63AAA9A1" w14:textId="4DCC043F" w:rsidR="0013517D" w:rsidRDefault="0013517D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de acuerdo con las facultades mencionadas, el ICBF expidió la Resolución 3899 de 2010, la cual establece en su </w:t>
      </w:r>
      <w:r w:rsidR="00E44E25">
        <w:rPr>
          <w:rFonts w:ascii="Verdana" w:hAnsi="Verdana"/>
          <w:sz w:val="22"/>
          <w:szCs w:val="22"/>
        </w:rPr>
        <w:t>artículo</w:t>
      </w:r>
      <w:r>
        <w:rPr>
          <w:rFonts w:ascii="Verdana" w:hAnsi="Verdana"/>
          <w:sz w:val="22"/>
          <w:szCs w:val="22"/>
        </w:rPr>
        <w:t xml:space="preserve"> 3 que el </w:t>
      </w:r>
      <w:r>
        <w:rPr>
          <w:rFonts w:ascii="Verdana" w:hAnsi="Verdana"/>
          <w:sz w:val="22"/>
          <w:szCs w:val="22"/>
        </w:rPr>
        <w:lastRenderedPageBreak/>
        <w:t xml:space="preserve">otorgamiento, reconocimiento, renovación, suspensión y cancelación de las personerías </w:t>
      </w:r>
      <w:r w:rsidR="00E44E25">
        <w:rPr>
          <w:rFonts w:ascii="Verdana" w:hAnsi="Verdana"/>
          <w:sz w:val="22"/>
          <w:szCs w:val="22"/>
        </w:rPr>
        <w:t>jurídicas</w:t>
      </w:r>
      <w:r>
        <w:rPr>
          <w:rFonts w:ascii="Verdana" w:hAnsi="Verdana"/>
          <w:sz w:val="22"/>
          <w:szCs w:val="22"/>
        </w:rPr>
        <w:t xml:space="preserve"> y licencias de funcionamiento de las instituciones del Sistema Nacional de Bienestar Familiar que prestan servicios de protección </w:t>
      </w:r>
      <w:r w:rsidR="00E44E25">
        <w:rPr>
          <w:rFonts w:ascii="Verdana" w:hAnsi="Verdana"/>
          <w:sz w:val="22"/>
          <w:szCs w:val="22"/>
        </w:rPr>
        <w:t>integral</w:t>
      </w:r>
      <w:r>
        <w:rPr>
          <w:rFonts w:ascii="Verdana" w:hAnsi="Verdana"/>
          <w:sz w:val="22"/>
          <w:szCs w:val="22"/>
        </w:rPr>
        <w:t xml:space="preserve">, la autorización a los organismos acreditados para desarrollar el programa de adopción, </w:t>
      </w:r>
      <w:r w:rsidR="00E44E25">
        <w:rPr>
          <w:rFonts w:ascii="Verdana" w:hAnsi="Verdana"/>
          <w:sz w:val="22"/>
          <w:szCs w:val="22"/>
        </w:rPr>
        <w:t xml:space="preserve">y la función de inspección, vigilancia y control sobre los mismos son competencia de la Dirección General del ICBF. </w:t>
      </w:r>
    </w:p>
    <w:p w14:paraId="71F350A5" w14:textId="08781188" w:rsidR="00E44E25" w:rsidRDefault="0059698B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 el artículo 4 ibidem modificado por el artículo 1 de la Resolución 9555 de 2016, delegó en los Directores Regionales del ICBF en el ámbito de su circunscripción territorial</w:t>
      </w:r>
      <w:r w:rsidR="00710595">
        <w:rPr>
          <w:rFonts w:ascii="Verdana" w:hAnsi="Verdana"/>
          <w:sz w:val="22"/>
          <w:szCs w:val="22"/>
        </w:rPr>
        <w:t xml:space="preserve">, la competencias para otorgar personerías jurídicas y efectuar el reconocimiento para pertenecer al Sistema Nacional de Bienestar Familiar, así como el trámite </w:t>
      </w:r>
      <w:r w:rsidR="00242259">
        <w:rPr>
          <w:rFonts w:ascii="Verdana" w:hAnsi="Verdana"/>
          <w:sz w:val="22"/>
          <w:szCs w:val="22"/>
        </w:rPr>
        <w:t xml:space="preserve">de cancelación voluntaria de las personerías jurídicas que han sido </w:t>
      </w:r>
      <w:r w:rsidR="00754213">
        <w:rPr>
          <w:rFonts w:ascii="Verdana" w:hAnsi="Verdana"/>
          <w:sz w:val="22"/>
          <w:szCs w:val="22"/>
        </w:rPr>
        <w:t xml:space="preserve">otorgadas </w:t>
      </w:r>
      <w:r w:rsidR="00F362B0">
        <w:rPr>
          <w:rFonts w:ascii="Verdana" w:hAnsi="Verdana"/>
          <w:sz w:val="22"/>
          <w:szCs w:val="22"/>
        </w:rPr>
        <w:t xml:space="preserve">por la respectiva Dirección </w:t>
      </w:r>
      <w:r w:rsidR="00FC2215">
        <w:rPr>
          <w:rFonts w:ascii="Verdana" w:hAnsi="Verdana"/>
          <w:sz w:val="22"/>
          <w:szCs w:val="22"/>
        </w:rPr>
        <w:t>Regional</w:t>
      </w:r>
      <w:r w:rsidR="00F362B0">
        <w:rPr>
          <w:rFonts w:ascii="Verdana" w:hAnsi="Verdana"/>
          <w:sz w:val="22"/>
          <w:szCs w:val="22"/>
        </w:rPr>
        <w:t xml:space="preserve"> y el otorgamiento y renovación </w:t>
      </w:r>
      <w:r w:rsidR="00FC2215">
        <w:rPr>
          <w:rFonts w:ascii="Verdana" w:hAnsi="Verdana"/>
          <w:sz w:val="22"/>
          <w:szCs w:val="22"/>
        </w:rPr>
        <w:t xml:space="preserve">de licencias </w:t>
      </w:r>
      <w:r w:rsidR="00B83D5C">
        <w:rPr>
          <w:rFonts w:ascii="Verdana" w:hAnsi="Verdana"/>
          <w:sz w:val="22"/>
          <w:szCs w:val="22"/>
        </w:rPr>
        <w:t>iniciales</w:t>
      </w:r>
      <w:r w:rsidR="00FC2215">
        <w:rPr>
          <w:rFonts w:ascii="Verdana" w:hAnsi="Verdana"/>
          <w:sz w:val="22"/>
          <w:szCs w:val="22"/>
        </w:rPr>
        <w:t xml:space="preserve">, la aprobación de las reformas estatutarias, recibir </w:t>
      </w:r>
      <w:r w:rsidR="00B83D5C">
        <w:rPr>
          <w:rFonts w:ascii="Verdana" w:hAnsi="Verdana"/>
          <w:sz w:val="22"/>
          <w:szCs w:val="22"/>
        </w:rPr>
        <w:t xml:space="preserve">la inscripción de sus representantes legales, órganos directivos y demás dignatarios. </w:t>
      </w:r>
    </w:p>
    <w:p w14:paraId="5B6A30D6" w14:textId="7312F30C" w:rsidR="00B83D5C" w:rsidRDefault="00B83D5C" w:rsidP="00D635B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Que, en atención a los antes refer</w:t>
      </w:r>
      <w:r w:rsidR="00C616D1">
        <w:rPr>
          <w:rFonts w:ascii="Verdana" w:hAnsi="Verdana"/>
          <w:sz w:val="22"/>
          <w:szCs w:val="22"/>
        </w:rPr>
        <w:t xml:space="preserve">ido, se reasumirá la </w:t>
      </w:r>
      <w:proofErr w:type="gramStart"/>
      <w:r w:rsidR="00C616D1">
        <w:rPr>
          <w:rFonts w:ascii="Verdana" w:hAnsi="Verdana"/>
          <w:sz w:val="22"/>
          <w:szCs w:val="22"/>
        </w:rPr>
        <w:t>competencias delegada</w:t>
      </w:r>
      <w:proofErr w:type="gramEnd"/>
      <w:r w:rsidR="00C616D1">
        <w:rPr>
          <w:rFonts w:ascii="Verdana" w:hAnsi="Verdana"/>
          <w:sz w:val="22"/>
          <w:szCs w:val="22"/>
        </w:rPr>
        <w:t xml:space="preserve"> a un delegatario, específicamente al </w:t>
      </w:r>
      <w:proofErr w:type="gramStart"/>
      <w:r w:rsidR="00C616D1">
        <w:rPr>
          <w:rFonts w:ascii="Verdana" w:hAnsi="Verdana"/>
          <w:sz w:val="22"/>
          <w:szCs w:val="22"/>
        </w:rPr>
        <w:t>Director Regional</w:t>
      </w:r>
      <w:proofErr w:type="gramEnd"/>
      <w:r w:rsidR="00C616D1">
        <w:rPr>
          <w:rFonts w:ascii="Verdana" w:hAnsi="Verdana"/>
          <w:sz w:val="22"/>
          <w:szCs w:val="22"/>
        </w:rPr>
        <w:t xml:space="preserve"> La Guajira, teniendo en cuenta que las delegaciones son transitorias y discrecionales y que existen necesidades del servicio que ameriten ejercer funciones de manera directa, quedando incólume las delegaciones en cabeza de los demás </w:t>
      </w:r>
      <w:proofErr w:type="gramStart"/>
      <w:r w:rsidR="00C616D1">
        <w:rPr>
          <w:rFonts w:ascii="Verdana" w:hAnsi="Verdana"/>
          <w:sz w:val="22"/>
          <w:szCs w:val="22"/>
        </w:rPr>
        <w:t>Directores Regionales</w:t>
      </w:r>
      <w:proofErr w:type="gramEnd"/>
      <w:r w:rsidR="00C616D1">
        <w:rPr>
          <w:rFonts w:ascii="Verdana" w:hAnsi="Verdana"/>
          <w:sz w:val="22"/>
          <w:szCs w:val="22"/>
        </w:rPr>
        <w:t xml:space="preserve"> del ICBF. </w:t>
      </w:r>
    </w:p>
    <w:p w14:paraId="2E7C48EF" w14:textId="43079428" w:rsidR="00586D2B" w:rsidRPr="0013517D" w:rsidRDefault="00D635BC" w:rsidP="0013517D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D635BC">
        <w:rPr>
          <w:rFonts w:ascii="Verdana" w:hAnsi="Verdana"/>
          <w:sz w:val="22"/>
          <w:szCs w:val="22"/>
        </w:rPr>
        <w:t>En mérito de lo expuest</w:t>
      </w:r>
      <w:r w:rsidR="0013517D">
        <w:rPr>
          <w:rFonts w:ascii="Verdana" w:hAnsi="Verdana"/>
          <w:sz w:val="22"/>
          <w:szCs w:val="22"/>
        </w:rPr>
        <w:t xml:space="preserve">o, </w:t>
      </w:r>
    </w:p>
    <w:p w14:paraId="4D19E32B" w14:textId="27FFB1BE" w:rsidR="00DB3505" w:rsidRPr="00D635BC" w:rsidRDefault="00DB3505" w:rsidP="00D635BC">
      <w:pPr>
        <w:ind w:left="360"/>
        <w:jc w:val="center"/>
        <w:rPr>
          <w:rFonts w:ascii="Verdana" w:hAnsi="Verdana"/>
          <w:sz w:val="22"/>
          <w:szCs w:val="22"/>
        </w:rPr>
      </w:pPr>
      <w:r w:rsidRPr="00D635BC">
        <w:rPr>
          <w:rFonts w:ascii="Verdana" w:hAnsi="Verdana"/>
          <w:b/>
          <w:bCs/>
          <w:sz w:val="22"/>
          <w:szCs w:val="22"/>
        </w:rPr>
        <w:t>RESUELVE:</w:t>
      </w:r>
    </w:p>
    <w:p w14:paraId="52802B47" w14:textId="61768450" w:rsidR="00DB3505" w:rsidRPr="00A51A14" w:rsidRDefault="00DB3505" w:rsidP="00543054">
      <w:pPr>
        <w:rPr>
          <w:rFonts w:ascii="Verdana" w:hAnsi="Verdana"/>
          <w:sz w:val="22"/>
          <w:szCs w:val="22"/>
        </w:rPr>
      </w:pPr>
      <w:bookmarkStart w:id="0" w:name="1"/>
      <w:r w:rsidRPr="00DB3505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B3505">
        <w:rPr>
          <w:rFonts w:ascii="Verdana" w:hAnsi="Verdana"/>
          <w:sz w:val="22"/>
          <w:szCs w:val="22"/>
        </w:rPr>
        <w:t> </w:t>
      </w:r>
      <w:r w:rsidR="00A11143">
        <w:rPr>
          <w:rFonts w:ascii="Verdana" w:hAnsi="Verdana"/>
          <w:sz w:val="22"/>
          <w:szCs w:val="22"/>
        </w:rPr>
        <w:t xml:space="preserve">REASUMIR la competencia delegada en el Director Regional La Guajira del ICBF, prevista en el artículo 4 de la Resolución </w:t>
      </w:r>
      <w:r w:rsidR="00E0077B">
        <w:rPr>
          <w:rFonts w:ascii="Verdana" w:hAnsi="Verdana"/>
          <w:sz w:val="22"/>
          <w:szCs w:val="22"/>
        </w:rPr>
        <w:t xml:space="preserve">3899 de 2010, modificado por el artículo 1 de la Resolución 9555 de 2016, relacionada con “otorgar personerías jurídicas </w:t>
      </w:r>
      <w:r w:rsidR="00F4455D">
        <w:rPr>
          <w:rFonts w:ascii="Verdana" w:hAnsi="Verdana"/>
          <w:sz w:val="22"/>
          <w:szCs w:val="22"/>
        </w:rPr>
        <w:t xml:space="preserve">y efectuar el reconocimiento para pertenecer </w:t>
      </w:r>
      <w:r w:rsidR="002507EA">
        <w:rPr>
          <w:rFonts w:ascii="Verdana" w:hAnsi="Verdana"/>
          <w:sz w:val="22"/>
          <w:szCs w:val="22"/>
        </w:rPr>
        <w:t xml:space="preserve">al Sistema Nacional de Bienestar Familiar, así como el trámite de cancelación </w:t>
      </w:r>
      <w:r w:rsidR="00B86B6C">
        <w:rPr>
          <w:rFonts w:ascii="Verdana" w:hAnsi="Verdana"/>
          <w:sz w:val="22"/>
          <w:szCs w:val="22"/>
        </w:rPr>
        <w:t xml:space="preserve">voluntaria de las personerías jurídicas que han sido otorgadas por la respectiva Dirección Regional y el otorgamiento y renovación de licencias de funcionamiento a las instituciones del Sistema Nacional de Bienestar Familiar </w:t>
      </w:r>
      <w:r w:rsidR="004B253A">
        <w:rPr>
          <w:rFonts w:ascii="Verdana" w:hAnsi="Verdana"/>
          <w:sz w:val="22"/>
          <w:szCs w:val="22"/>
        </w:rPr>
        <w:t>que prestan servicios de protección integral, a excepción de las licencias iniciales, la aprobación de las reformas estatutarias, recibir la inscripción de sus representantes legales, órgano directivos y demás dignatarios</w:t>
      </w:r>
      <w:r w:rsidR="00B9152B">
        <w:rPr>
          <w:rFonts w:ascii="Verdana" w:hAnsi="Verdana"/>
          <w:sz w:val="22"/>
          <w:szCs w:val="22"/>
        </w:rPr>
        <w:t xml:space="preserve">” de acuerdo con las consideraciones del presente acto administrativo. </w:t>
      </w:r>
    </w:p>
    <w:p w14:paraId="72BF8436" w14:textId="1ABEDC70" w:rsidR="00564479" w:rsidRDefault="00564479" w:rsidP="00DB3505">
      <w:pPr>
        <w:rPr>
          <w:rFonts w:ascii="Verdana" w:hAnsi="Verdana"/>
          <w:b/>
          <w:bCs/>
          <w:sz w:val="22"/>
          <w:szCs w:val="22"/>
        </w:rPr>
      </w:pPr>
      <w:bookmarkStart w:id="1" w:name="2"/>
      <w:r>
        <w:rPr>
          <w:rFonts w:ascii="Verdana" w:hAnsi="Verdana"/>
          <w:b/>
          <w:bCs/>
          <w:sz w:val="22"/>
          <w:szCs w:val="22"/>
        </w:rPr>
        <w:t>PAR</w:t>
      </w:r>
      <w:r w:rsidR="004E442F">
        <w:rPr>
          <w:rFonts w:ascii="Verdana" w:hAnsi="Verdana"/>
          <w:b/>
          <w:bCs/>
          <w:sz w:val="22"/>
          <w:szCs w:val="22"/>
        </w:rPr>
        <w:t>Á</w:t>
      </w:r>
      <w:r>
        <w:rPr>
          <w:rFonts w:ascii="Verdana" w:hAnsi="Verdana"/>
          <w:b/>
          <w:bCs/>
          <w:sz w:val="22"/>
          <w:szCs w:val="22"/>
        </w:rPr>
        <w:t xml:space="preserve">GRAFO. </w:t>
      </w:r>
      <w:r w:rsidRPr="004E442F">
        <w:rPr>
          <w:rFonts w:ascii="Verdana" w:hAnsi="Verdana"/>
          <w:sz w:val="22"/>
          <w:szCs w:val="22"/>
        </w:rPr>
        <w:t xml:space="preserve">La presente resolución NO modifica la delegación otorgada a los demás </w:t>
      </w:r>
      <w:proofErr w:type="gramStart"/>
      <w:r w:rsidRPr="004E442F">
        <w:rPr>
          <w:rFonts w:ascii="Verdana" w:hAnsi="Verdana"/>
          <w:sz w:val="22"/>
          <w:szCs w:val="22"/>
        </w:rPr>
        <w:t>Directores Regionales</w:t>
      </w:r>
      <w:proofErr w:type="gramEnd"/>
      <w:r w:rsidRPr="004E442F">
        <w:rPr>
          <w:rFonts w:ascii="Verdana" w:hAnsi="Verdana"/>
          <w:sz w:val="22"/>
          <w:szCs w:val="22"/>
        </w:rPr>
        <w:t xml:space="preserve"> del ICBF, en virtud del artículo 4 de la Resolución </w:t>
      </w:r>
      <w:r w:rsidR="004E442F" w:rsidRPr="004E442F">
        <w:rPr>
          <w:rFonts w:ascii="Verdana" w:hAnsi="Verdana"/>
          <w:sz w:val="22"/>
          <w:szCs w:val="22"/>
        </w:rPr>
        <w:t>3899 de 2010, modificado por el articulo 1 de la Resolución 9555 de 2016.</w:t>
      </w:r>
      <w:r w:rsidR="004E442F">
        <w:rPr>
          <w:rFonts w:ascii="Verdana" w:hAnsi="Verdana"/>
          <w:b/>
          <w:bCs/>
          <w:sz w:val="22"/>
          <w:szCs w:val="22"/>
        </w:rPr>
        <w:t xml:space="preserve"> </w:t>
      </w:r>
    </w:p>
    <w:p w14:paraId="2D8A132C" w14:textId="3EC6FC08" w:rsidR="00DF1B4B" w:rsidRDefault="00DB3505" w:rsidP="00DB3505">
      <w:pPr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DB3505">
        <w:rPr>
          <w:rFonts w:ascii="Verdana" w:hAnsi="Verdana"/>
          <w:sz w:val="22"/>
          <w:szCs w:val="22"/>
        </w:rPr>
        <w:t> </w:t>
      </w:r>
      <w:bookmarkStart w:id="2" w:name="3"/>
      <w:r w:rsidR="00A873FE">
        <w:rPr>
          <w:rFonts w:ascii="Verdana" w:hAnsi="Verdana"/>
          <w:sz w:val="22"/>
          <w:szCs w:val="22"/>
        </w:rPr>
        <w:t>COMUNICAR</w:t>
      </w:r>
      <w:r w:rsidR="00564479">
        <w:rPr>
          <w:rFonts w:ascii="Verdana" w:hAnsi="Verdana"/>
          <w:sz w:val="22"/>
          <w:szCs w:val="22"/>
        </w:rPr>
        <w:t xml:space="preserve"> al </w:t>
      </w:r>
      <w:proofErr w:type="gramStart"/>
      <w:r w:rsidR="00564479">
        <w:rPr>
          <w:rFonts w:ascii="Verdana" w:hAnsi="Verdana"/>
          <w:sz w:val="22"/>
          <w:szCs w:val="22"/>
        </w:rPr>
        <w:t>Director Regional</w:t>
      </w:r>
      <w:proofErr w:type="gramEnd"/>
      <w:r w:rsidR="00564479">
        <w:rPr>
          <w:rFonts w:ascii="Verdana" w:hAnsi="Verdana"/>
          <w:sz w:val="22"/>
          <w:szCs w:val="22"/>
        </w:rPr>
        <w:t xml:space="preserve"> La Guajira para su conocimiento y fines pertinentes.</w:t>
      </w:r>
    </w:p>
    <w:p w14:paraId="41C47461" w14:textId="0CC7B847" w:rsidR="006E16E1" w:rsidRDefault="00DB3505" w:rsidP="00DB3505">
      <w:pPr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DB3505">
        <w:rPr>
          <w:rFonts w:ascii="Verdana" w:hAnsi="Verdana"/>
          <w:sz w:val="22"/>
          <w:szCs w:val="22"/>
        </w:rPr>
        <w:t> </w:t>
      </w:r>
      <w:bookmarkStart w:id="3" w:name="4"/>
      <w:r w:rsidR="00A873FE">
        <w:rPr>
          <w:rFonts w:ascii="Verdana" w:hAnsi="Verdana"/>
          <w:sz w:val="22"/>
          <w:szCs w:val="22"/>
        </w:rPr>
        <w:t xml:space="preserve">VIGENCIA. La presente Resolución rige a partir de su expedición. </w:t>
      </w:r>
    </w:p>
    <w:bookmarkEnd w:id="3"/>
    <w:p w14:paraId="6F2189C5" w14:textId="7DA719DF" w:rsidR="00DB3505" w:rsidRPr="00DB3505" w:rsidRDefault="00DE103B" w:rsidP="00DE103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COMUNÍQUESE Y CÚMPLASE</w:t>
      </w:r>
      <w:r w:rsidRPr="00DE103B">
        <w:rPr>
          <w:rFonts w:ascii="Verdana" w:hAnsi="Verdana"/>
          <w:b/>
          <w:bCs/>
          <w:sz w:val="22"/>
          <w:szCs w:val="22"/>
        </w:rPr>
        <w:t xml:space="preserve">, </w:t>
      </w:r>
    </w:p>
    <w:p w14:paraId="74AF46DF" w14:textId="55311145" w:rsidR="00DB3505" w:rsidRPr="00DB3505" w:rsidRDefault="00DB3505" w:rsidP="00DE103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sz w:val="22"/>
          <w:szCs w:val="22"/>
        </w:rPr>
        <w:lastRenderedPageBreak/>
        <w:t xml:space="preserve">Dada en Bogotá, D. C., </w:t>
      </w:r>
      <w:proofErr w:type="gramStart"/>
      <w:r w:rsidR="00A873FE">
        <w:rPr>
          <w:rFonts w:ascii="Verdana" w:hAnsi="Verdana"/>
          <w:sz w:val="22"/>
          <w:szCs w:val="22"/>
        </w:rPr>
        <w:t>el 1 días</w:t>
      </w:r>
      <w:proofErr w:type="gramEnd"/>
      <w:r w:rsidR="00A873FE">
        <w:rPr>
          <w:rFonts w:ascii="Verdana" w:hAnsi="Verdana"/>
          <w:sz w:val="22"/>
          <w:szCs w:val="22"/>
        </w:rPr>
        <w:t xml:space="preserve"> del mes de</w:t>
      </w:r>
      <w:r w:rsidR="00DE103B">
        <w:rPr>
          <w:rFonts w:ascii="Verdana" w:hAnsi="Verdana"/>
          <w:sz w:val="22"/>
          <w:szCs w:val="22"/>
        </w:rPr>
        <w:t xml:space="preserve"> mes </w:t>
      </w:r>
      <w:r w:rsidRPr="00DB3505">
        <w:rPr>
          <w:rFonts w:ascii="Verdana" w:hAnsi="Verdana"/>
          <w:sz w:val="22"/>
          <w:szCs w:val="22"/>
        </w:rPr>
        <w:t xml:space="preserve">de </w:t>
      </w:r>
      <w:r w:rsidR="00A873FE">
        <w:rPr>
          <w:rFonts w:ascii="Verdana" w:hAnsi="Verdana"/>
          <w:sz w:val="22"/>
          <w:szCs w:val="22"/>
        </w:rPr>
        <w:t>febrero</w:t>
      </w:r>
      <w:r w:rsidRPr="00DB3505">
        <w:rPr>
          <w:rFonts w:ascii="Verdana" w:hAnsi="Verdana"/>
          <w:sz w:val="22"/>
          <w:szCs w:val="22"/>
        </w:rPr>
        <w:t xml:space="preserve"> de 202</w:t>
      </w:r>
      <w:r w:rsidR="00F770E5">
        <w:rPr>
          <w:rFonts w:ascii="Verdana" w:hAnsi="Verdana"/>
          <w:sz w:val="22"/>
          <w:szCs w:val="22"/>
        </w:rPr>
        <w:t>4</w:t>
      </w:r>
    </w:p>
    <w:p w14:paraId="0499E739" w14:textId="72583173" w:rsidR="00DE103B" w:rsidRPr="00DB3505" w:rsidRDefault="00F770E5" w:rsidP="00DE103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MILTON FABIAN FORERO MELO</w:t>
      </w:r>
    </w:p>
    <w:p w14:paraId="1ECFFF6B" w14:textId="6DB0E174" w:rsidR="00A724C4" w:rsidRPr="00657673" w:rsidRDefault="00F770E5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 GENERAL ENCARGADO</w:t>
      </w:r>
    </w:p>
    <w:sectPr w:rsidR="00A724C4" w:rsidRPr="00657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A8EC" w14:textId="77777777" w:rsidR="004A0494" w:rsidRDefault="004A0494" w:rsidP="00251F6B">
      <w:pPr>
        <w:spacing w:after="0"/>
      </w:pPr>
      <w:r>
        <w:separator/>
      </w:r>
    </w:p>
  </w:endnote>
  <w:endnote w:type="continuationSeparator" w:id="0">
    <w:p w14:paraId="269FC978" w14:textId="77777777" w:rsidR="004A0494" w:rsidRDefault="004A0494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3A96" w14:textId="77777777" w:rsidR="004A0494" w:rsidRDefault="004A0494" w:rsidP="00251F6B">
      <w:pPr>
        <w:spacing w:after="0"/>
      </w:pPr>
      <w:r>
        <w:separator/>
      </w:r>
    </w:p>
  </w:footnote>
  <w:footnote w:type="continuationSeparator" w:id="0">
    <w:p w14:paraId="29A80326" w14:textId="77777777" w:rsidR="004A0494" w:rsidRDefault="004A0494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4"/>
  </w:num>
  <w:num w:numId="2" w16cid:durableId="707920155">
    <w:abstractNumId w:val="0"/>
  </w:num>
  <w:num w:numId="3" w16cid:durableId="1520006266">
    <w:abstractNumId w:val="1"/>
  </w:num>
  <w:num w:numId="4" w16cid:durableId="1994868198">
    <w:abstractNumId w:val="5"/>
  </w:num>
  <w:num w:numId="5" w16cid:durableId="101999986">
    <w:abstractNumId w:val="3"/>
  </w:num>
  <w:num w:numId="6" w16cid:durableId="1180050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43942"/>
    <w:rsid w:val="000A3985"/>
    <w:rsid w:val="000D0BEE"/>
    <w:rsid w:val="000D6943"/>
    <w:rsid w:val="000F567A"/>
    <w:rsid w:val="00125E68"/>
    <w:rsid w:val="0013517D"/>
    <w:rsid w:val="00143A2C"/>
    <w:rsid w:val="0014658E"/>
    <w:rsid w:val="001502B8"/>
    <w:rsid w:val="00196A2F"/>
    <w:rsid w:val="001B3B8D"/>
    <w:rsid w:val="00212507"/>
    <w:rsid w:val="0022609A"/>
    <w:rsid w:val="00242259"/>
    <w:rsid w:val="00243CB4"/>
    <w:rsid w:val="002507EA"/>
    <w:rsid w:val="00251F6B"/>
    <w:rsid w:val="002806F2"/>
    <w:rsid w:val="002B259D"/>
    <w:rsid w:val="002C5CC7"/>
    <w:rsid w:val="002C7F94"/>
    <w:rsid w:val="002D3284"/>
    <w:rsid w:val="00305A9D"/>
    <w:rsid w:val="00346F3A"/>
    <w:rsid w:val="00363945"/>
    <w:rsid w:val="003A147B"/>
    <w:rsid w:val="003A5EDC"/>
    <w:rsid w:val="003B6C26"/>
    <w:rsid w:val="003C3330"/>
    <w:rsid w:val="003C5308"/>
    <w:rsid w:val="003D2F74"/>
    <w:rsid w:val="003F6172"/>
    <w:rsid w:val="0040689A"/>
    <w:rsid w:val="004600F2"/>
    <w:rsid w:val="00464196"/>
    <w:rsid w:val="0046582E"/>
    <w:rsid w:val="0047169E"/>
    <w:rsid w:val="004A0494"/>
    <w:rsid w:val="004B253A"/>
    <w:rsid w:val="004C7EBB"/>
    <w:rsid w:val="004E442F"/>
    <w:rsid w:val="004E5755"/>
    <w:rsid w:val="004F0472"/>
    <w:rsid w:val="005041B1"/>
    <w:rsid w:val="00534960"/>
    <w:rsid w:val="00543054"/>
    <w:rsid w:val="00553090"/>
    <w:rsid w:val="00564479"/>
    <w:rsid w:val="00586D2B"/>
    <w:rsid w:val="0059698B"/>
    <w:rsid w:val="005A2590"/>
    <w:rsid w:val="005C7A00"/>
    <w:rsid w:val="005D5138"/>
    <w:rsid w:val="005F6C56"/>
    <w:rsid w:val="006053FC"/>
    <w:rsid w:val="006259CC"/>
    <w:rsid w:val="0064600F"/>
    <w:rsid w:val="00657673"/>
    <w:rsid w:val="00670102"/>
    <w:rsid w:val="00677306"/>
    <w:rsid w:val="00684CE2"/>
    <w:rsid w:val="00692A8A"/>
    <w:rsid w:val="00693221"/>
    <w:rsid w:val="006976BF"/>
    <w:rsid w:val="006A1FBF"/>
    <w:rsid w:val="006A45F2"/>
    <w:rsid w:val="006B545B"/>
    <w:rsid w:val="006C2C20"/>
    <w:rsid w:val="006C543E"/>
    <w:rsid w:val="006D1939"/>
    <w:rsid w:val="006D5ECF"/>
    <w:rsid w:val="006E16E1"/>
    <w:rsid w:val="00710595"/>
    <w:rsid w:val="00712DDF"/>
    <w:rsid w:val="007136E8"/>
    <w:rsid w:val="007504D1"/>
    <w:rsid w:val="007526F0"/>
    <w:rsid w:val="00754213"/>
    <w:rsid w:val="007637F1"/>
    <w:rsid w:val="0083436E"/>
    <w:rsid w:val="00863A26"/>
    <w:rsid w:val="00871E0C"/>
    <w:rsid w:val="008C5185"/>
    <w:rsid w:val="008D18D4"/>
    <w:rsid w:val="00933C0C"/>
    <w:rsid w:val="0098549C"/>
    <w:rsid w:val="009B324D"/>
    <w:rsid w:val="009B65B7"/>
    <w:rsid w:val="00A071B1"/>
    <w:rsid w:val="00A11143"/>
    <w:rsid w:val="00A14EC4"/>
    <w:rsid w:val="00A51A14"/>
    <w:rsid w:val="00A724C4"/>
    <w:rsid w:val="00A873FE"/>
    <w:rsid w:val="00A9702F"/>
    <w:rsid w:val="00A97813"/>
    <w:rsid w:val="00AD08A7"/>
    <w:rsid w:val="00AD4A99"/>
    <w:rsid w:val="00B2397F"/>
    <w:rsid w:val="00B64762"/>
    <w:rsid w:val="00B83D5C"/>
    <w:rsid w:val="00B86B6C"/>
    <w:rsid w:val="00B87F74"/>
    <w:rsid w:val="00B9152B"/>
    <w:rsid w:val="00BE115D"/>
    <w:rsid w:val="00C07F46"/>
    <w:rsid w:val="00C2424F"/>
    <w:rsid w:val="00C4037E"/>
    <w:rsid w:val="00C5648C"/>
    <w:rsid w:val="00C616D1"/>
    <w:rsid w:val="00D0270B"/>
    <w:rsid w:val="00D35493"/>
    <w:rsid w:val="00D50536"/>
    <w:rsid w:val="00D5214B"/>
    <w:rsid w:val="00D635BC"/>
    <w:rsid w:val="00D84A62"/>
    <w:rsid w:val="00D902B0"/>
    <w:rsid w:val="00DA586D"/>
    <w:rsid w:val="00DB3505"/>
    <w:rsid w:val="00DE103B"/>
    <w:rsid w:val="00DE63C8"/>
    <w:rsid w:val="00DF1B4B"/>
    <w:rsid w:val="00E0077B"/>
    <w:rsid w:val="00E07225"/>
    <w:rsid w:val="00E44E25"/>
    <w:rsid w:val="00E76D4A"/>
    <w:rsid w:val="00E96AE6"/>
    <w:rsid w:val="00EA785D"/>
    <w:rsid w:val="00EC53B9"/>
    <w:rsid w:val="00F2410E"/>
    <w:rsid w:val="00F362B0"/>
    <w:rsid w:val="00F4455D"/>
    <w:rsid w:val="00F44C1C"/>
    <w:rsid w:val="00F61C7C"/>
    <w:rsid w:val="00F770E5"/>
    <w:rsid w:val="00F83E5C"/>
    <w:rsid w:val="00F96ED6"/>
    <w:rsid w:val="00FA53D1"/>
    <w:rsid w:val="00FC2215"/>
    <w:rsid w:val="00FC3A5D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2AF17-C0F8-4EE5-9A46-0303E069B120}"/>
</file>

<file path=customXml/itemProps3.xml><?xml version="1.0" encoding="utf-8"?>
<ds:datastoreItem xmlns:ds="http://schemas.openxmlformats.org/officeDocument/2006/customXml" ds:itemID="{101F7023-C416-4BD7-9303-44F48041D9FA}"/>
</file>

<file path=customXml/itemProps4.xml><?xml version="1.0" encoding="utf-8"?>
<ds:datastoreItem xmlns:ds="http://schemas.openxmlformats.org/officeDocument/2006/customXml" ds:itemID="{38D248C3-75C7-41E9-BED6-6B8D5FC5ADAE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1278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121</cp:revision>
  <dcterms:created xsi:type="dcterms:W3CDTF">2026-03-03T16:25:00Z</dcterms:created>
  <dcterms:modified xsi:type="dcterms:W3CDTF">2026-04-13T16:08:00Z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