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40B8" w14:textId="78367C4E" w:rsidR="000B4793" w:rsidRDefault="00670D71" w:rsidP="00670D71">
      <w:pPr>
        <w:jc w:val="center"/>
        <w:rPr>
          <w:rFonts w:ascii="Verdana" w:hAnsi="Verdana"/>
          <w:b/>
          <w:bCs/>
        </w:rPr>
      </w:pPr>
      <w:r w:rsidRPr="00670D71">
        <w:rPr>
          <w:rFonts w:ascii="Verdana" w:hAnsi="Verdana"/>
          <w:b/>
          <w:bCs/>
        </w:rPr>
        <w:t>RESOLUCIÓN 0296 DE 2025</w:t>
      </w:r>
    </w:p>
    <w:p w14:paraId="73B23920" w14:textId="5E0C27D5" w:rsidR="00670D71" w:rsidRP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E947DC">
        <w:rPr>
          <w:rFonts w:ascii="Verdana" w:hAnsi="Verdana"/>
          <w:sz w:val="20"/>
          <w:szCs w:val="20"/>
        </w:rPr>
        <w:t>31</w:t>
      </w:r>
      <w:r w:rsidRPr="00670D71">
        <w:rPr>
          <w:rFonts w:ascii="Verdana" w:hAnsi="Verdana"/>
          <w:sz w:val="20"/>
          <w:szCs w:val="20"/>
        </w:rPr>
        <w:t xml:space="preserve"> de enero de 2025</w:t>
      </w:r>
    </w:p>
    <w:p w14:paraId="17466542" w14:textId="688679B0" w:rsidR="00670D71" w:rsidRP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E947DC">
        <w:rPr>
          <w:rFonts w:ascii="Verdana" w:hAnsi="Verdana"/>
          <w:sz w:val="20"/>
          <w:szCs w:val="20"/>
        </w:rPr>
        <w:t>31</w:t>
      </w:r>
      <w:r w:rsidRPr="00670D71">
        <w:rPr>
          <w:rFonts w:ascii="Verdana" w:hAnsi="Verdana"/>
          <w:sz w:val="20"/>
          <w:szCs w:val="20"/>
        </w:rPr>
        <w:t xml:space="preserve"> de enero de 2025</w:t>
      </w:r>
    </w:p>
    <w:p w14:paraId="02A7465C" w14:textId="77777777" w:rsidR="00670D71" w:rsidRP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6642DF6E" w14:textId="77777777" w:rsidR="00670D71" w:rsidRP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2E827F04" w14:textId="77777777" w:rsidR="00670D71" w:rsidRP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Fecha de publicación en Diario Oficial: N/A</w:t>
      </w:r>
    </w:p>
    <w:p w14:paraId="5D4BA53C" w14:textId="0B680B5F" w:rsidR="00670D71" w:rsidRDefault="00670D71" w:rsidP="00670D71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N/A</w:t>
      </w:r>
    </w:p>
    <w:p w14:paraId="3C30475B" w14:textId="77777777" w:rsidR="00670D71" w:rsidRDefault="00670D71" w:rsidP="00670D71">
      <w:pPr>
        <w:jc w:val="center"/>
        <w:rPr>
          <w:rFonts w:ascii="Verdana" w:hAnsi="Verdana"/>
          <w:b/>
          <w:bCs/>
        </w:rPr>
      </w:pPr>
      <w:r w:rsidRPr="00670D71">
        <w:rPr>
          <w:rFonts w:ascii="Verdana" w:hAnsi="Verdana"/>
          <w:b/>
          <w:bCs/>
        </w:rPr>
        <w:t>RESOLUCIÓN 0296 DE 2025</w:t>
      </w:r>
    </w:p>
    <w:p w14:paraId="3188E373" w14:textId="5AEB898D" w:rsidR="00670D71" w:rsidRDefault="00670D71" w:rsidP="00670D71">
      <w:pPr>
        <w:jc w:val="center"/>
        <w:rPr>
          <w:rFonts w:ascii="Verdana" w:hAnsi="Verdana"/>
        </w:rPr>
      </w:pPr>
      <w:r>
        <w:rPr>
          <w:rFonts w:ascii="Verdana" w:hAnsi="Verdana"/>
        </w:rPr>
        <w:t>(31 de enero)</w:t>
      </w:r>
    </w:p>
    <w:p w14:paraId="1908CEAD" w14:textId="7A86A733" w:rsidR="00670D71" w:rsidRDefault="00670D71" w:rsidP="00670D71">
      <w:pPr>
        <w:jc w:val="center"/>
        <w:rPr>
          <w:rFonts w:ascii="Verdana" w:hAnsi="Verdana"/>
        </w:rPr>
      </w:pPr>
      <w:r w:rsidRPr="00670D71">
        <w:rPr>
          <w:rFonts w:ascii="Verdana" w:hAnsi="Verdana"/>
        </w:rPr>
        <w:t>"Por la cual se modifica parcialmente el artículo 1º de la Resolución 0001 de 02 de enero de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2025 "Por la cual se adoptan los Lineamientos de Programación y Ejecución de Metas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Sociales y Financieras para la vigencia 2025 del Instituto Colombiano de Bienestar Familiar</w:t>
      </w:r>
      <w:r w:rsidR="00E4504F"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Cecilia de la Fuente de Lleras - ICBF".</w:t>
      </w:r>
    </w:p>
    <w:p w14:paraId="26FD88E1" w14:textId="00D8DBDD" w:rsidR="00670D71" w:rsidRPr="00670D71" w:rsidRDefault="00670D71" w:rsidP="00670D71">
      <w:pPr>
        <w:jc w:val="center"/>
        <w:rPr>
          <w:rFonts w:ascii="Verdana" w:hAnsi="Verdana"/>
          <w:b/>
          <w:bCs/>
        </w:rPr>
      </w:pPr>
      <w:r w:rsidRPr="00670D71">
        <w:rPr>
          <w:rFonts w:ascii="Verdana" w:hAnsi="Verdana"/>
          <w:b/>
          <w:bCs/>
        </w:rPr>
        <w:t>LA DIRECTORA GENERAL DEL INSTITUTO COLOMBIANO DE BIENESTAR FAMILIAR (ICBF) - CECILIA DE LA FUENTE DE LLERAS</w:t>
      </w:r>
    </w:p>
    <w:p w14:paraId="22376C0D" w14:textId="6E77C527" w:rsidR="00670D71" w:rsidRPr="00670D71" w:rsidRDefault="00670D71" w:rsidP="00670D71">
      <w:pPr>
        <w:jc w:val="center"/>
        <w:rPr>
          <w:rFonts w:ascii="Verdana" w:hAnsi="Verdana"/>
        </w:rPr>
      </w:pPr>
      <w:r w:rsidRPr="00670D71">
        <w:rPr>
          <w:rFonts w:ascii="Verdana" w:hAnsi="Verdana"/>
        </w:rPr>
        <w:t>En uso de sus facultades legales y estatutarias, en especial las conferidas en el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artículo 28 de la Ley 7a de 1979 y el artículo 78 de la Ley 489 de 1998 y,</w:t>
      </w:r>
    </w:p>
    <w:p w14:paraId="5A75A8D8" w14:textId="03D35302" w:rsidR="00670D71" w:rsidRDefault="00670D71" w:rsidP="00670D71">
      <w:pPr>
        <w:jc w:val="center"/>
        <w:rPr>
          <w:rFonts w:ascii="Verdana" w:hAnsi="Verdana"/>
          <w:b/>
          <w:bCs/>
        </w:rPr>
      </w:pPr>
      <w:r w:rsidRPr="00670D71">
        <w:rPr>
          <w:rFonts w:ascii="Verdana" w:hAnsi="Verdana"/>
          <w:b/>
          <w:bCs/>
        </w:rPr>
        <w:t>CONSIDERANDO</w:t>
      </w:r>
    </w:p>
    <w:p w14:paraId="1C19BADB" w14:textId="1AFA327F" w:rsidR="00670D71" w:rsidRP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el artículo 12 del Decreto 111 de 1996, define los principios del Sistema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Presupuestal, entre los cuales se encuentran: los de la planificación, la anualidad, la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universalidad, la unidad de caja, la programación integral, la especialización, la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inembargabilidad, la coherencia macroeconómica y la homeóstasis.</w:t>
      </w:r>
    </w:p>
    <w:p w14:paraId="18C2C459" w14:textId="3401A50F" w:rsidR="00670D71" w:rsidRP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conforme lo previsto en el artículo 17 ibidem, "(...) Todo programa presupuestal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deberá contemplar simultáneamente los gastos de inversión y de funcionamiento que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las exigencias técnicas y administrativas demanden como necesarios para su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ejecución y operación, de conformidad con los procedimientos y normas legales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vigentes".</w:t>
      </w:r>
    </w:p>
    <w:p w14:paraId="27E39F29" w14:textId="2A7FC067" w:rsidR="00670D71" w:rsidRP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a través del Decreto 1621 del 30 de diciembre de 2024, el Ministerio de Hacienda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y Crédito Público liquidó el Presupuesto General de la Nación para la vigencia fiscal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 2025, detallando las apropiaciones, clasificando y definiendo los gastos. Este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Decreto incluye el Presupuesto del Instituto Colombiano de Bienestar Familiar (ICBF)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para la vigencia fiscal 2025.</w:t>
      </w:r>
    </w:p>
    <w:p w14:paraId="673165B9" w14:textId="306A42DC" w:rsidR="00670D71" w:rsidRP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en consideración a lo anterior, el ICBF mediante Resolución No. 64321 del 31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 diciembre de 2024, consolidó el presupuesto de ingresos y desagregó, distribuyó,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 xml:space="preserve">asignó y ordenó comunicar la asignación del presupuesto de gastos </w:t>
      </w:r>
      <w:r w:rsidRPr="00670D71">
        <w:rPr>
          <w:rFonts w:ascii="Verdana" w:hAnsi="Verdana"/>
        </w:rPr>
        <w:lastRenderedPageBreak/>
        <w:t>del ICBF a nivel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 la Unidad Ejecutora, Regionales y Sede de la Dirección General, para la vigencia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fiscal del año 2025.</w:t>
      </w:r>
    </w:p>
    <w:p w14:paraId="6EA458E2" w14:textId="57F8831C" w:rsidR="00670D71" w:rsidRP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el ICBF, mediante Resolución 0001 de 2 de enero de 2025, adoptó los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Lineamientos de Programación y Ejecución de Metas Sociales y Financieras para la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vigencia 2025, en ochenta y cuatro (84) fichas técnicas con sus correspondientes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anexos, por Dependencia del Gasto - Centros de Costos y Modalidades de Atención,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registrados en el presupuesto de gastos del ICBF.</w:t>
      </w:r>
    </w:p>
    <w:p w14:paraId="5D2429E6" w14:textId="4D7890E3" w:rsid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en virtud a lo establecido en el artículo 3º de la Resolución 0001 de 2025,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cualquier modificación o ajuste a los Lineamientos de Programación y Ejecución de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Metas Sociales y Financieras - Vigencia 2025, deberá ser efectuada mediante acto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administrativo, cuya solicitud deberá contener la solicitud y justificación técnica y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presupuestal del (los) responsable(s) de la ficha de programación; el aval de la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Subdirección de Programación y el control de legalidad de la Oficina Asesora Jurídica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del ICBF.</w:t>
      </w:r>
    </w:p>
    <w:p w14:paraId="255B2457" w14:textId="3E146325" w:rsidR="00670D71" w:rsidRDefault="00670D71" w:rsidP="00670D71">
      <w:pPr>
        <w:jc w:val="both"/>
        <w:rPr>
          <w:rFonts w:ascii="Verdana" w:hAnsi="Verdana"/>
        </w:rPr>
      </w:pPr>
      <w:r w:rsidRPr="00670D71">
        <w:rPr>
          <w:rFonts w:ascii="Verdana" w:hAnsi="Verdana"/>
        </w:rPr>
        <w:t>Que, dentro de las ochenta y cuatro (84) fichas adoptadas en los Lineamientos de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Programación y Ejecución de Metas Sociales y Financieras para la vigencia 2025, se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encuentran cinco (5) fichas con sus correspondientes anexos, establecidas por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dependencia de gastos correspondientes a inversión, las cuales se relacionan a</w:t>
      </w:r>
      <w:r>
        <w:rPr>
          <w:rFonts w:ascii="Verdana" w:hAnsi="Verdana"/>
        </w:rPr>
        <w:t xml:space="preserve"> </w:t>
      </w:r>
      <w:r w:rsidRPr="00670D71">
        <w:rPr>
          <w:rFonts w:ascii="Verdana" w:hAnsi="Verdana"/>
        </w:rPr>
        <w:t>continuación:</w:t>
      </w:r>
    </w:p>
    <w:p w14:paraId="43A9FDF7" w14:textId="77777777" w:rsidR="00670D71" w:rsidRPr="00670D71" w:rsidRDefault="00670D71" w:rsidP="00670D71">
      <w:pPr>
        <w:jc w:val="center"/>
        <w:rPr>
          <w:rFonts w:ascii="Verdana" w:hAnsi="Verdana"/>
          <w:b/>
          <w:bCs/>
        </w:rPr>
      </w:pPr>
      <w:r w:rsidRPr="00670D71">
        <w:rPr>
          <w:rFonts w:ascii="Verdana" w:hAnsi="Verdana"/>
          <w:b/>
          <w:bCs/>
        </w:rPr>
        <w:t xml:space="preserve">Tabla numero 1 </w:t>
      </w:r>
    </w:p>
    <w:p w14:paraId="2F2C64E6" w14:textId="6B80D062" w:rsidR="00670D71" w:rsidRDefault="00670D71" w:rsidP="00670D71">
      <w:pPr>
        <w:jc w:val="center"/>
        <w:rPr>
          <w:rFonts w:ascii="Verdana" w:hAnsi="Verdana"/>
        </w:rPr>
      </w:pPr>
      <w:r w:rsidRPr="00670D71">
        <w:rPr>
          <w:rFonts w:ascii="Verdana" w:hAnsi="Verdana"/>
        </w:rPr>
        <w:t>Fichas de lineamientos de programación - Dirección de Protección del ICBF</w:t>
      </w:r>
    </w:p>
    <w:tbl>
      <w:tblPr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3043"/>
        <w:gridCol w:w="3994"/>
      </w:tblGrid>
      <w:tr w:rsidR="00796397" w:rsidRPr="00796397" w14:paraId="78EC18E2" w14:textId="77777777" w:rsidTr="00796397">
        <w:trPr>
          <w:trHeight w:val="86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BE1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787D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FICHA </w:t>
            </w:r>
            <w:proofErr w:type="gramStart"/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DE  LINEAMIENTOS</w:t>
            </w:r>
            <w:proofErr w:type="gramEnd"/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D68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796397" w:rsidRPr="00796397" w14:paraId="38E8C605" w14:textId="77777777" w:rsidTr="00796397">
        <w:trPr>
          <w:trHeight w:val="892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8898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7AD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FICHA I-10-120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41F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RESTABLECIMIENTO EN LA ADMINISTRACIÓN DE JUSTICIA</w:t>
            </w:r>
          </w:p>
        </w:tc>
      </w:tr>
      <w:tr w:rsidR="00796397" w:rsidRPr="00796397" w14:paraId="24354715" w14:textId="77777777" w:rsidTr="00796397">
        <w:trPr>
          <w:trHeight w:val="44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71ED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F35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FICHA I-11-121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37D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UBICACIÓN INICIAL</w:t>
            </w:r>
          </w:p>
        </w:tc>
      </w:tr>
      <w:tr w:rsidR="00796397" w:rsidRPr="00796397" w14:paraId="002B427E" w14:textId="77777777" w:rsidTr="00796397">
        <w:trPr>
          <w:trHeight w:val="1561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ADD9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0AC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FICHA I-12-122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1ADC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MODALIDADES DE APOYO Y FORTALECIMIENTO A LA FAMILIA</w:t>
            </w: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MODALIDADES DE APOYO FAMILIAR Y COMUNITARIO</w:t>
            </w:r>
          </w:p>
        </w:tc>
      </w:tr>
      <w:tr w:rsidR="00796397" w:rsidRPr="00796397" w14:paraId="5F42F7D8" w14:textId="77777777" w:rsidTr="00796397">
        <w:trPr>
          <w:trHeight w:val="44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83B7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AFD6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FICHA I-13-123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154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MODALIDADES DE ACOGIMIENTO</w:t>
            </w:r>
          </w:p>
        </w:tc>
      </w:tr>
      <w:tr w:rsidR="00796397" w:rsidRPr="00796397" w14:paraId="544D7AA6" w14:textId="77777777" w:rsidTr="00796397">
        <w:trPr>
          <w:trHeight w:val="44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FBA0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0104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FICHA I-14-124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2C4" w14:textId="77777777" w:rsidR="00796397" w:rsidRPr="00796397" w:rsidRDefault="00796397" w:rsidP="00796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96397">
              <w:rPr>
                <w:rFonts w:ascii="Calibri" w:eastAsia="Times New Roman" w:hAnsi="Calibri" w:cs="Calibri"/>
                <w:color w:val="000000"/>
                <w:lang w:eastAsia="es-CO"/>
              </w:rPr>
              <w:t>VÍCTIMAS DE CONFLICTO ARMADO</w:t>
            </w:r>
          </w:p>
        </w:tc>
      </w:tr>
    </w:tbl>
    <w:p w14:paraId="47C72FC5" w14:textId="367A6E66" w:rsidR="00670D71" w:rsidRDefault="00796397" w:rsidP="00670D71">
      <w:pPr>
        <w:jc w:val="both"/>
        <w:rPr>
          <w:rFonts w:ascii="Verdana" w:hAnsi="Verdana"/>
          <w:sz w:val="14"/>
          <w:szCs w:val="14"/>
        </w:rPr>
      </w:pPr>
      <w:r w:rsidRPr="00796397">
        <w:rPr>
          <w:rFonts w:ascii="Verdana" w:hAnsi="Verdana"/>
          <w:sz w:val="14"/>
          <w:szCs w:val="14"/>
        </w:rPr>
        <w:t>Fuente: Dirección de Planeación - Subdirección de Programación. 2025</w:t>
      </w:r>
    </w:p>
    <w:p w14:paraId="5E53BA64" w14:textId="31B4310D" w:rsidR="00796397" w:rsidRP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Que, de conformidad a la previsión contenida en el artículo 38 del Decreto 987 de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2012, "</w:t>
      </w:r>
      <w:proofErr w:type="spellStart"/>
      <w:r w:rsidRPr="00796397">
        <w:rPr>
          <w:rFonts w:ascii="Verdana" w:hAnsi="Verdana"/>
        </w:rPr>
        <w:t>Рor</w:t>
      </w:r>
      <w:proofErr w:type="spellEnd"/>
      <w:r w:rsidRPr="00796397">
        <w:rPr>
          <w:rFonts w:ascii="Verdana" w:hAnsi="Verdana"/>
        </w:rPr>
        <w:t xml:space="preserve"> el cual se modifica la estructura del Instituto Colombiano de Bienestar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 xml:space="preserve">Familiar "Cecilia de la Fuente de </w:t>
      </w:r>
      <w:proofErr w:type="gramStart"/>
      <w:r w:rsidRPr="00796397">
        <w:rPr>
          <w:rFonts w:ascii="Verdana" w:hAnsi="Verdana"/>
        </w:rPr>
        <w:t>Lleras“ y</w:t>
      </w:r>
      <w:proofErr w:type="gramEnd"/>
      <w:r w:rsidRPr="00796397">
        <w:rPr>
          <w:rFonts w:ascii="Verdana" w:hAnsi="Verdana"/>
        </w:rPr>
        <w:t xml:space="preserve"> se determinan las funciones </w:t>
      </w:r>
      <w:r w:rsidRPr="00796397">
        <w:rPr>
          <w:rFonts w:ascii="Verdana" w:hAnsi="Verdana"/>
        </w:rPr>
        <w:lastRenderedPageBreak/>
        <w:t>de sus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dependencias", son funciones de la Dirección de Protección, entre otras las siguientes:</w:t>
      </w:r>
    </w:p>
    <w:p w14:paraId="59979C18" w14:textId="0FB81017" w:rsidR="00796397" w:rsidRP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"(...) 2. Definir los lineamientos generales en materia de protección que deben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ser tenidos en cuenta en todos los procesos relacionados con el reconocimiento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derechos a los niños, niñas y adolescentes. (...) 5. Diseñar servicios,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actualizar y validar los lineamientos técnicos existentes cumpliendo con la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misión del Instituto. (...) 39. Definir y hacer seguimiento a sus metas, planes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acción e indicadores, en coordinación con la Dirección de Planeación y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Control de Gestión y el plan de compras y plan de contratación, en coordinación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con la Dirección de Logística y Abastecimiento (...)".</w:t>
      </w:r>
    </w:p>
    <w:p w14:paraId="11EA0770" w14:textId="5E270D32" w:rsid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Que, la Directora de Protección (E) del ICBF, mediante memorando radicado bajo el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No. 202520000000002863, fechado 16 de enero de 2025, solicitó a la Subdirección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Programación de la Dirección de Planeación y Control de Gestión, la modificación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las fichas: FICНА I-10-120 - RESTABLECIMIENTO EN LA ADMINISTRACIÓN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JUSTICIA; FIСНА І-11-121 - UBICACIÓN INICIAL; FICHA I-12-122-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MODALIDADES DE APOYO Y FORTALECIMIENTO A LA FAMILIA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MODALIDADES DE APOYO FAMILIAR Y COMUNITARIO; FICHA I-13-123 -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MODALIDADES DE ACOGIMIENTO Y FICHA I-14-124 VÍCTIMAS DE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CONFLICTO ARMADO respectivamente, las cuales hacen parte integral de los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lineamientos de programación inicialmente adoptados para la vigencia fiscal 2025,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mediante Resolución 0001 de 02 de enero de 2025, argumentando que:</w:t>
      </w:r>
    </w:p>
    <w:p w14:paraId="1B321DE5" w14:textId="294F503E" w:rsid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"(...) Con ocasión del incremento avalado por la Dirección General, con el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objetivo de no afectar la atención de los niños, niñas, adolescentes y jóvenes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ubicados en los servicios de Protección, de manera atenta solicitamos modificar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las Fichas 1-10, I-11, I-12, 1-13 е I-14 de los lineamientos de programación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vigentes, en el sentido de: (i) actualizar las tarifas costo cupo establecidas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en el ítem No 6 "SERVICIOS MISIONALES ASOCIADOS" de la Dirección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 Protección. (</w:t>
      </w:r>
      <w:proofErr w:type="spellStart"/>
      <w:r w:rsidRPr="00796397">
        <w:rPr>
          <w:rFonts w:ascii="Verdana" w:hAnsi="Verdana"/>
        </w:rPr>
        <w:t>ii</w:t>
      </w:r>
      <w:proofErr w:type="spellEnd"/>
      <w:r w:rsidRPr="00796397">
        <w:rPr>
          <w:rFonts w:ascii="Verdana" w:hAnsi="Verdana"/>
        </w:rPr>
        <w:t>) Adicionalmente, incluir en la ficha I-14 la descripción de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los encuentros familiares. (...).</w:t>
      </w:r>
    </w:p>
    <w:p w14:paraId="158BB0DD" w14:textId="6C533459" w:rsidR="00796397" w:rsidRP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(</w:t>
      </w:r>
      <w:proofErr w:type="spellStart"/>
      <w:r w:rsidRPr="00796397">
        <w:rPr>
          <w:rFonts w:ascii="Verdana" w:hAnsi="Verdana"/>
        </w:rPr>
        <w:t>ii</w:t>
      </w:r>
      <w:proofErr w:type="spellEnd"/>
      <w:r w:rsidRPr="00796397">
        <w:rPr>
          <w:rFonts w:ascii="Verdana" w:hAnsi="Verdana"/>
        </w:rPr>
        <w:t>) Se requiere incluir en la ficha I-14-124, ítem a) 02-02-02-009-003-03,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OTROS SERVICIOS SOCIALES CON ALOJAMIENTO, el párrafo de la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descripción de "Encuentros Familiares: "En el marco de las actividades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contempladas dentro de los Lineamientos de atención para niños, niñas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adolescentes desvinculados de los grupos armados al margen de la ley, se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establece el desarrollo de los Encuentros entre la familia y/o red vincular de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apoyo y los niños, las niñas y adolescentes asistentes al programa. Su costo y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distribución se realizará de acuerdo con los niños, niñas y adolescentes activos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los programas de protección y la asignación presupuestal de la vigencia,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 xml:space="preserve">previa validación de la Dirección de Protección". </w:t>
      </w:r>
    </w:p>
    <w:p w14:paraId="62C620F4" w14:textId="0833D0F6" w:rsidR="00796397" w:rsidRDefault="00796397" w:rsidP="00796397">
      <w:pPr>
        <w:jc w:val="both"/>
        <w:rPr>
          <w:rFonts w:ascii="Verdana" w:hAnsi="Verdana"/>
        </w:rPr>
      </w:pPr>
      <w:r w:rsidRPr="00796397">
        <w:rPr>
          <w:rFonts w:ascii="Verdana" w:hAnsi="Verdana"/>
        </w:rPr>
        <w:t>Que, la modificación solicitada por la Dirección de Protección, cuenta con el concepto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 xml:space="preserve">FAVORABLE de la Subdirección de Programación de la Dirección de </w:t>
      </w:r>
      <w:r w:rsidRPr="00796397">
        <w:rPr>
          <w:rFonts w:ascii="Verdana" w:hAnsi="Verdana"/>
        </w:rPr>
        <w:lastRenderedPageBreak/>
        <w:t>Planeación y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Control de Gestión del ICBF, cuyas fichas de programación quedarán de la siguiente</w:t>
      </w:r>
      <w:r>
        <w:rPr>
          <w:rFonts w:ascii="Verdana" w:hAnsi="Verdana"/>
        </w:rPr>
        <w:t xml:space="preserve"> </w:t>
      </w:r>
      <w:r w:rsidRPr="00796397">
        <w:rPr>
          <w:rFonts w:ascii="Verdana" w:hAnsi="Verdana"/>
        </w:rPr>
        <w:t>forma:</w:t>
      </w:r>
    </w:p>
    <w:p w14:paraId="052227F2" w14:textId="77777777" w:rsidR="00796397" w:rsidRPr="00796397" w:rsidRDefault="00796397" w:rsidP="00796397">
      <w:pPr>
        <w:jc w:val="center"/>
        <w:rPr>
          <w:rFonts w:ascii="Verdana" w:hAnsi="Verdana"/>
          <w:b/>
          <w:bCs/>
        </w:rPr>
      </w:pPr>
      <w:r w:rsidRPr="00796397">
        <w:rPr>
          <w:rFonts w:ascii="Verdana" w:hAnsi="Verdana"/>
          <w:b/>
          <w:bCs/>
        </w:rPr>
        <w:t>Tabla numero 2</w:t>
      </w:r>
    </w:p>
    <w:p w14:paraId="46E42B55" w14:textId="1C88663E" w:rsidR="00796397" w:rsidRDefault="00796397" w:rsidP="00796397">
      <w:pPr>
        <w:jc w:val="center"/>
        <w:rPr>
          <w:rFonts w:ascii="Verdana" w:hAnsi="Verdana"/>
        </w:rPr>
      </w:pPr>
      <w:r w:rsidRPr="00796397">
        <w:rPr>
          <w:rFonts w:ascii="Verdana" w:hAnsi="Verdana"/>
        </w:rPr>
        <w:t>Lineamientos de programación, actualización de tarifas costo cupo mes.</w:t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2886"/>
        <w:gridCol w:w="2251"/>
        <w:gridCol w:w="2285"/>
      </w:tblGrid>
      <w:tr w:rsidR="00216431" w:rsidRPr="00E4504F" w14:paraId="5F4636FD" w14:textId="77777777" w:rsidTr="00216431">
        <w:trPr>
          <w:trHeight w:val="8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210F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</w:r>
            <w:proofErr w:type="spellStart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LINEAMIENTOSs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4CA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924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RUBRO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PRESUPUESTAL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929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AJUSTE EFECTUADO</w:t>
            </w:r>
          </w:p>
        </w:tc>
      </w:tr>
      <w:tr w:rsidR="00216431" w:rsidRPr="00E4504F" w14:paraId="47FD24E1" w14:textId="77777777" w:rsidTr="00216431">
        <w:trPr>
          <w:trHeight w:val="200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73BC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I-10-120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561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RESTABLECIMIENTO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EN LA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ADMINISTRACION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JUSTICIA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263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704040-4602013-02-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5517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 xml:space="preserve">2025), establecidos en el </w:t>
            </w:r>
            <w:proofErr w:type="spellStart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item</w:t>
            </w:r>
            <w:proofErr w:type="spellEnd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</w:t>
            </w:r>
          </w:p>
        </w:tc>
      </w:tr>
      <w:tr w:rsidR="00216431" w:rsidRPr="00E4504F" w14:paraId="759481AD" w14:textId="77777777" w:rsidTr="00216431">
        <w:trPr>
          <w:trHeight w:val="200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9731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1-11-121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0945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UBICACION INICIAL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6712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F08F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 xml:space="preserve">2025), establecidos en el </w:t>
            </w:r>
            <w:proofErr w:type="spellStart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item</w:t>
            </w:r>
            <w:proofErr w:type="spellEnd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  <w:tr w:rsidR="00216431" w:rsidRPr="00E4504F" w14:paraId="506C12CF" w14:textId="77777777" w:rsidTr="00216431">
        <w:trPr>
          <w:trHeight w:val="266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C0FB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I-12-122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631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APOYO Y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FORTALECIMIENTO 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LA FAMILIA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APOYO FAMILIAR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COMUNITARIO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7D0E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13F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  <w:tr w:rsidR="00216431" w:rsidRPr="00E4504F" w14:paraId="74CC0A23" w14:textId="77777777" w:rsidTr="00216431">
        <w:trPr>
          <w:trHeight w:val="200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7207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1-13-123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66C9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ACOGIMIENTO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A9B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B120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  <w:tr w:rsidR="00216431" w:rsidRPr="00E4504F" w14:paraId="2CF5C7D5" w14:textId="77777777" w:rsidTr="00216431">
        <w:trPr>
          <w:trHeight w:val="422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E809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FICHA I-14-124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7CE7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VÍCTIMAS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CONFLICTO ARMADO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FBD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CF62" w14:textId="77777777" w:rsidR="00216431" w:rsidRPr="00E4504F" w:rsidRDefault="00216431" w:rsidP="0021643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Inclusión en el clasificador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gasto "02-02-02-009-003-03 OTROS SERVICIOS SOCIALES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CON ALOJAMIENTO" la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descripción de "Encuentros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Familiares".</w:t>
            </w:r>
          </w:p>
        </w:tc>
      </w:tr>
    </w:tbl>
    <w:p w14:paraId="1892A359" w14:textId="6FD657DE" w:rsidR="00796397" w:rsidRDefault="00216431" w:rsidP="00216431">
      <w:pPr>
        <w:rPr>
          <w:rFonts w:ascii="Verdana" w:hAnsi="Verdana"/>
          <w:sz w:val="14"/>
          <w:szCs w:val="14"/>
        </w:rPr>
      </w:pPr>
      <w:r w:rsidRPr="00216431">
        <w:rPr>
          <w:rFonts w:ascii="Verdana" w:hAnsi="Verdana"/>
          <w:sz w:val="14"/>
          <w:szCs w:val="14"/>
        </w:rPr>
        <w:t>Fuente: Dirección de Planeación - Subdirección de Programación. 2025</w:t>
      </w:r>
    </w:p>
    <w:p w14:paraId="0CF5DC68" w14:textId="0FBED9BC" w:rsidR="00216431" w:rsidRDefault="00216431" w:rsidP="00216431">
      <w:pPr>
        <w:jc w:val="both"/>
        <w:rPr>
          <w:rFonts w:ascii="Verdana" w:hAnsi="Verdana"/>
        </w:rPr>
      </w:pPr>
      <w:r w:rsidRPr="00216431">
        <w:rPr>
          <w:rFonts w:ascii="Verdana" w:hAnsi="Verdana"/>
        </w:rPr>
        <w:t>Que, considerando los argumentos previamente planteados, las modificaciones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propuestas resultan necesarias para garantizar la adecuada ejecución de los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Lineamientos de Programación y Ejecución de Metas Sociales y Financieras para la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vigencia 2025. Dichos ajustes, al actualizar las tarifas y ampliar la cobertura de las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fichas técnicas involucradas, fortalecen la capacidad del Instituto para responder a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las necesidades de los niños, niñas, adolescentes y familias beneficiarias de los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programas misionales, asegurando la continuidad, eficiencia y calidad de los servicios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prestados en concordancia con las disposiciones legales vigentes.</w:t>
      </w:r>
    </w:p>
    <w:p w14:paraId="27B3CB1A" w14:textId="74834B57" w:rsidR="00216431" w:rsidRDefault="00216431" w:rsidP="00216431">
      <w:pPr>
        <w:jc w:val="both"/>
        <w:rPr>
          <w:rFonts w:ascii="Verdana" w:hAnsi="Verdana"/>
        </w:rPr>
      </w:pPr>
      <w:r w:rsidRPr="00216431">
        <w:rPr>
          <w:rFonts w:ascii="Verdana" w:hAnsi="Verdana"/>
        </w:rPr>
        <w:t>Que, en mérito de lo expuesto;</w:t>
      </w:r>
    </w:p>
    <w:p w14:paraId="50214DFC" w14:textId="77777777" w:rsidR="00216431" w:rsidRPr="00E4504F" w:rsidRDefault="00216431" w:rsidP="00E4504F">
      <w:pPr>
        <w:jc w:val="center"/>
        <w:rPr>
          <w:rFonts w:ascii="Verdana" w:hAnsi="Verdana"/>
          <w:b/>
          <w:bCs/>
        </w:rPr>
      </w:pPr>
      <w:r w:rsidRPr="00E4504F">
        <w:rPr>
          <w:rFonts w:ascii="Verdana" w:hAnsi="Verdana"/>
          <w:b/>
          <w:bCs/>
        </w:rPr>
        <w:t>RESUELVE:</w:t>
      </w:r>
    </w:p>
    <w:p w14:paraId="6BEE2D15" w14:textId="6ACD7972" w:rsidR="00216431" w:rsidRDefault="00216431" w:rsidP="00216431">
      <w:pPr>
        <w:jc w:val="both"/>
        <w:rPr>
          <w:rFonts w:ascii="Verdana" w:hAnsi="Verdana"/>
        </w:rPr>
      </w:pPr>
      <w:r w:rsidRPr="00216431">
        <w:rPr>
          <w:rFonts w:ascii="Verdana" w:hAnsi="Verdana"/>
          <w:b/>
          <w:bCs/>
        </w:rPr>
        <w:t>ARTÍCULO 1o: MODIFICAR</w:t>
      </w:r>
      <w:r w:rsidRPr="00216431">
        <w:rPr>
          <w:rFonts w:ascii="Verdana" w:hAnsi="Verdana"/>
        </w:rPr>
        <w:t xml:space="preserve"> parcialmente el artículo 1º de la Resolución 0001 de 02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de enero de 2025, en el sentido de actualizar las tarifas costo cupo establecidas en el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 xml:space="preserve">ítem No 6 "SERVICIOS MISIONALES </w:t>
      </w:r>
      <w:proofErr w:type="spellStart"/>
      <w:r w:rsidRPr="00216431">
        <w:rPr>
          <w:rFonts w:ascii="Verdana" w:hAnsi="Verdana"/>
        </w:rPr>
        <w:t>ASOCIADOs</w:t>
      </w:r>
      <w:proofErr w:type="spellEnd"/>
      <w:r w:rsidRPr="00216431">
        <w:rPr>
          <w:rFonts w:ascii="Verdana" w:hAnsi="Verdana"/>
        </w:rPr>
        <w:t>" en las fichas de programación: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FICHA I-10-120 - RESTABLECIMIENTO EN LA ADMINISTRACIÓN DE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JUSTICIA; FICHА І-11-121 - UBICACIÓN INICIAL; FICHA I-12-122 -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MODALIDADES DE APOYO Y FORTALECIMIENTO A LA FAMILIA /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MODALIDADES DE APOYO FAMILIAR Y COMUNITARIO; FICHА I-13-123 -</w:t>
      </w:r>
      <w:r>
        <w:rPr>
          <w:rFonts w:ascii="Verdana" w:hAnsi="Verdana"/>
        </w:rPr>
        <w:t xml:space="preserve"> </w:t>
      </w:r>
      <w:r w:rsidRPr="00216431">
        <w:rPr>
          <w:rFonts w:ascii="Verdana" w:hAnsi="Verdana"/>
        </w:rPr>
        <w:t>MODALIDADES DE ACOGIMIENTO, las cuales quedarán de la siguiente forma:</w:t>
      </w: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2950"/>
        <w:gridCol w:w="2379"/>
        <w:gridCol w:w="2152"/>
      </w:tblGrid>
      <w:tr w:rsidR="00E947DC" w:rsidRPr="00E4504F" w14:paraId="0C6F118E" w14:textId="77777777" w:rsidTr="00E947DC">
        <w:trPr>
          <w:trHeight w:val="90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330A" w14:textId="04C974A0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LINEAMIENTOS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F8BF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9CE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RUBRO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PRESUPUESTAL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0553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AJUSTE EFECTUADO</w:t>
            </w:r>
          </w:p>
        </w:tc>
      </w:tr>
      <w:tr w:rsidR="00E947DC" w:rsidRPr="00E4504F" w14:paraId="2C5F4BAF" w14:textId="77777777" w:rsidTr="00E947DC">
        <w:trPr>
          <w:trHeight w:val="21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243E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lastRenderedPageBreak/>
              <w:t>FICHA I-10-120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2614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RESTABLECIMIENTO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EN LA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ADMINISTRACION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JUSTICIA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B903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704040-4602013-02-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9B8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 xml:space="preserve">2025), establecidos en el </w:t>
            </w:r>
            <w:proofErr w:type="spellStart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item</w:t>
            </w:r>
            <w:proofErr w:type="spellEnd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</w:t>
            </w:r>
          </w:p>
        </w:tc>
      </w:tr>
      <w:tr w:rsidR="00E947DC" w:rsidRPr="00E4504F" w14:paraId="3088288D" w14:textId="77777777" w:rsidTr="00E947DC">
        <w:trPr>
          <w:trHeight w:val="21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4B5E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1-11-121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4A56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UBICACION INICIAL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A261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349D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 xml:space="preserve">2025), establecidos en el </w:t>
            </w:r>
            <w:proofErr w:type="spellStart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item</w:t>
            </w:r>
            <w:proofErr w:type="spellEnd"/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  <w:tr w:rsidR="00E947DC" w:rsidRPr="00E4504F" w14:paraId="15A2B782" w14:textId="77777777" w:rsidTr="00E947DC">
        <w:trPr>
          <w:trHeight w:val="28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87EE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I-12-122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613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APOYO Y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FORTALECIMIENTO 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LA FAMILIA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APOYO FAMILIAR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COMUNITARIO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2768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8809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  <w:tr w:rsidR="00E947DC" w:rsidRPr="00E4504F" w14:paraId="073B2B79" w14:textId="77777777" w:rsidTr="00E947DC">
        <w:trPr>
          <w:trHeight w:val="210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C1D5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FICHA 1-13-123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66B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MODALIDADES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ACOGIMIENTO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DFFF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0D69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</w:p>
        </w:tc>
      </w:tr>
    </w:tbl>
    <w:p w14:paraId="6E4FA64A" w14:textId="77777777" w:rsidR="00E947DC" w:rsidRDefault="00E947DC" w:rsidP="00E947DC">
      <w:pPr>
        <w:jc w:val="both"/>
        <w:rPr>
          <w:rFonts w:ascii="Verdana" w:hAnsi="Verdana"/>
        </w:rPr>
      </w:pPr>
    </w:p>
    <w:p w14:paraId="67B9067E" w14:textId="1601D9BB" w:rsidR="00216431" w:rsidRDefault="00E947DC" w:rsidP="00E947DC">
      <w:pPr>
        <w:jc w:val="both"/>
        <w:rPr>
          <w:rFonts w:ascii="Verdana" w:hAnsi="Verdana"/>
        </w:rPr>
      </w:pPr>
      <w:r w:rsidRPr="00E4504F">
        <w:rPr>
          <w:rFonts w:ascii="Verdana" w:hAnsi="Verdana"/>
          <w:b/>
          <w:bCs/>
        </w:rPr>
        <w:t>ARTÍCULO 2: MODIFICAR</w:t>
      </w:r>
      <w:r w:rsidRPr="00E947DC">
        <w:rPr>
          <w:rFonts w:ascii="Verdana" w:hAnsi="Verdana"/>
        </w:rPr>
        <w:t xml:space="preserve"> parcialmente el artículo 1º de la Resolución 0001 de 02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de enero de 2025, en el sentido de ACTUALIZAR las tarifas costo cupo establecidas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en el ítem No 6 "SERVICIOS MISIONALES ASOCIADOS" y ADICIONAR en la ficha de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programación I-14-124 VÍCTIMAS DE CONFLICTO ARMADO, en el clasificador de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gasto 02-02-02-009-003-03 OTROS SERVICIOS SOCIALES CON ALOJAMIENTO, la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descripción de "Encuentros Familiares", la cual quedará de la siguiente forma:</w:t>
      </w:r>
    </w:p>
    <w:p w14:paraId="043FAC9F" w14:textId="77777777" w:rsidR="00E947DC" w:rsidRPr="00E947DC" w:rsidRDefault="00E947DC" w:rsidP="00E947DC">
      <w:pPr>
        <w:jc w:val="center"/>
        <w:rPr>
          <w:rFonts w:ascii="Verdana" w:hAnsi="Verdana"/>
          <w:b/>
          <w:bCs/>
        </w:rPr>
      </w:pPr>
      <w:r w:rsidRPr="00E947DC">
        <w:rPr>
          <w:rFonts w:ascii="Verdana" w:hAnsi="Verdana"/>
          <w:b/>
          <w:bCs/>
        </w:rPr>
        <w:t>Tabla numero 4</w:t>
      </w:r>
    </w:p>
    <w:p w14:paraId="600A8F9B" w14:textId="0C87CD8E" w:rsidR="00E947DC" w:rsidRDefault="00E947DC" w:rsidP="00E947DC">
      <w:pPr>
        <w:jc w:val="center"/>
        <w:rPr>
          <w:rFonts w:ascii="Verdana" w:hAnsi="Verdana"/>
        </w:rPr>
      </w:pPr>
      <w:r w:rsidRPr="00E947DC">
        <w:rPr>
          <w:rFonts w:ascii="Verdana" w:hAnsi="Verdana"/>
        </w:rPr>
        <w:t>Lineamientos de programación, actualización de tarifas costo cupo mes.</w:t>
      </w: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830"/>
        <w:gridCol w:w="2981"/>
        <w:gridCol w:w="2981"/>
      </w:tblGrid>
      <w:tr w:rsidR="00E947DC" w:rsidRPr="00E4504F" w14:paraId="024F4E57" w14:textId="77777777" w:rsidTr="00E947DC">
        <w:trPr>
          <w:trHeight w:val="343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9C8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FICHA I-14-124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1386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VÍCTIMAS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CONFLICTO ARMADO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DBA9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C-4602-1500-10-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704040-4602014-02-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124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D662" w14:textId="77777777" w:rsidR="00E947DC" w:rsidRPr="00E4504F" w:rsidRDefault="00E947DC" w:rsidP="00E947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</w:pP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t>Actualización de tarifas costo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cupo mes (febrero a diciembre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2025), establecidos en el ítem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No. 6 "SERVICIOS MISIONALES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ASOCIADOS".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Inclusión en el clasificador de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gasto "02-02-02-009-003-03 OTROS SERVICIOS SOCIALES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CON ALOJAMIENTO" la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descripción de "Encuentros</w:t>
            </w:r>
            <w:r w:rsidRPr="00E4504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CO"/>
              </w:rPr>
              <w:br/>
              <w:t>Familiares".</w:t>
            </w:r>
          </w:p>
        </w:tc>
      </w:tr>
    </w:tbl>
    <w:p w14:paraId="50E57A6E" w14:textId="408834E0" w:rsidR="00E947DC" w:rsidRDefault="00E947DC" w:rsidP="00E947DC">
      <w:pPr>
        <w:jc w:val="both"/>
        <w:rPr>
          <w:rFonts w:ascii="Verdana" w:hAnsi="Verdana"/>
          <w:sz w:val="14"/>
          <w:szCs w:val="14"/>
        </w:rPr>
      </w:pPr>
      <w:r w:rsidRPr="00E947DC">
        <w:rPr>
          <w:rFonts w:ascii="Verdana" w:hAnsi="Verdana"/>
          <w:sz w:val="14"/>
          <w:szCs w:val="14"/>
        </w:rPr>
        <w:t>Fuente: Dirección de Planeación - Subdirección de Programación. 2025</w:t>
      </w:r>
    </w:p>
    <w:p w14:paraId="6F72AA75" w14:textId="4E70426E" w:rsidR="00E947DC" w:rsidRPr="00E947DC" w:rsidRDefault="00E947DC" w:rsidP="00E947DC">
      <w:pPr>
        <w:jc w:val="both"/>
        <w:rPr>
          <w:rFonts w:ascii="Verdana" w:hAnsi="Verdana"/>
        </w:rPr>
      </w:pPr>
      <w:r w:rsidRPr="00E947DC">
        <w:rPr>
          <w:rFonts w:ascii="Verdana" w:hAnsi="Verdana"/>
          <w:b/>
          <w:bCs/>
        </w:rPr>
        <w:t>ARTÍCULO 3o: COMUNÍQUESE,</w:t>
      </w:r>
      <w:r w:rsidRPr="00E947DC">
        <w:rPr>
          <w:rFonts w:ascii="Verdana" w:hAnsi="Verdana"/>
        </w:rPr>
        <w:t xml:space="preserve"> el presente acto administrativo a las dependencias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involucradas a través de la Dirección de Planeación y Control de Gestión.</w:t>
      </w:r>
    </w:p>
    <w:p w14:paraId="7AED7F9A" w14:textId="026AEAE7" w:rsidR="00E947DC" w:rsidRPr="00E947DC" w:rsidRDefault="00E947DC" w:rsidP="00E947DC">
      <w:pPr>
        <w:jc w:val="both"/>
        <w:rPr>
          <w:rFonts w:ascii="Verdana" w:hAnsi="Verdana"/>
        </w:rPr>
      </w:pPr>
      <w:r w:rsidRPr="00E947DC">
        <w:rPr>
          <w:rFonts w:ascii="Verdana" w:hAnsi="Verdana"/>
          <w:b/>
          <w:bCs/>
        </w:rPr>
        <w:t>ARTÍCULO 4o: VIGENCIAS.</w:t>
      </w:r>
      <w:r w:rsidRPr="00E947DC">
        <w:rPr>
          <w:rFonts w:ascii="Verdana" w:hAnsi="Verdana"/>
        </w:rPr>
        <w:t xml:space="preserve"> La presente Resolución rige a partir de la fecha de su expedición. Las demás disposiciones contenidas en las Resoluciones en mención, que</w:t>
      </w:r>
      <w:r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no fueron objeto de modificación, permanecen incólumes.</w:t>
      </w:r>
    </w:p>
    <w:p w14:paraId="04451DE7" w14:textId="77777777" w:rsidR="00E947DC" w:rsidRPr="00E947DC" w:rsidRDefault="00E947DC" w:rsidP="00E947DC">
      <w:pPr>
        <w:jc w:val="center"/>
        <w:rPr>
          <w:rFonts w:ascii="Verdana" w:hAnsi="Verdana"/>
          <w:b/>
          <w:bCs/>
        </w:rPr>
      </w:pPr>
      <w:r w:rsidRPr="00E947DC">
        <w:rPr>
          <w:rFonts w:ascii="Verdana" w:hAnsi="Verdana"/>
          <w:b/>
          <w:bCs/>
        </w:rPr>
        <w:t>COMUNÍQUESE, PUBLIQUESE Y CÚMPLASE</w:t>
      </w:r>
    </w:p>
    <w:p w14:paraId="44614493" w14:textId="0D057FB8" w:rsidR="00E947DC" w:rsidRPr="00E947DC" w:rsidRDefault="00E947DC" w:rsidP="00E947DC">
      <w:pPr>
        <w:jc w:val="center"/>
        <w:rPr>
          <w:rFonts w:ascii="Verdana" w:hAnsi="Verdana"/>
        </w:rPr>
      </w:pPr>
      <w:r w:rsidRPr="00E947DC">
        <w:rPr>
          <w:rFonts w:ascii="Verdana" w:hAnsi="Verdana"/>
        </w:rPr>
        <w:t>DADA EN BOGOTÁ D.C., A LOS, 31</w:t>
      </w:r>
      <w:r w:rsidR="00C85DCA">
        <w:rPr>
          <w:rFonts w:ascii="Verdana" w:hAnsi="Verdana"/>
        </w:rPr>
        <w:t xml:space="preserve"> </w:t>
      </w:r>
      <w:r w:rsidRPr="00E947DC">
        <w:rPr>
          <w:rFonts w:ascii="Verdana" w:hAnsi="Verdana"/>
        </w:rPr>
        <w:t>DÍAS DEL MES DE ENERO DE 2025</w:t>
      </w:r>
    </w:p>
    <w:p w14:paraId="0A86FA9A" w14:textId="77777777" w:rsidR="00E947DC" w:rsidRPr="00E947DC" w:rsidRDefault="00E947DC" w:rsidP="00E947DC">
      <w:pPr>
        <w:jc w:val="center"/>
        <w:rPr>
          <w:rFonts w:ascii="Verdana" w:hAnsi="Verdana"/>
          <w:b/>
          <w:bCs/>
        </w:rPr>
      </w:pPr>
      <w:r w:rsidRPr="00E947DC">
        <w:rPr>
          <w:rFonts w:ascii="Verdana" w:hAnsi="Verdana"/>
          <w:b/>
          <w:bCs/>
        </w:rPr>
        <w:t>STRID ELIANA CÁCERES CARDENAS</w:t>
      </w:r>
    </w:p>
    <w:p w14:paraId="0880D2AF" w14:textId="6BC04DE2" w:rsidR="00E947DC" w:rsidRPr="00E947DC" w:rsidRDefault="00E947DC" w:rsidP="00E947DC">
      <w:pPr>
        <w:jc w:val="center"/>
        <w:rPr>
          <w:rFonts w:ascii="Verdana" w:hAnsi="Verdana"/>
        </w:rPr>
      </w:pPr>
      <w:r w:rsidRPr="00E947DC">
        <w:rPr>
          <w:rFonts w:ascii="Verdana" w:hAnsi="Verdana"/>
        </w:rPr>
        <w:t>DIRECTORA GENERAL ICBF</w:t>
      </w:r>
    </w:p>
    <w:sectPr w:rsidR="00E947DC" w:rsidRPr="00E94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1"/>
    <w:rsid w:val="000B4793"/>
    <w:rsid w:val="00216431"/>
    <w:rsid w:val="00670D71"/>
    <w:rsid w:val="00796397"/>
    <w:rsid w:val="009C5A32"/>
    <w:rsid w:val="00C85DCA"/>
    <w:rsid w:val="00E4504F"/>
    <w:rsid w:val="00E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425"/>
  <w15:chartTrackingRefBased/>
  <w15:docId w15:val="{F5A7A845-5EC5-4FF1-ABCF-1A92C55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DABB0-FA7A-436A-86DD-4C513AAF2099}"/>
</file>

<file path=customXml/itemProps2.xml><?xml version="1.0" encoding="utf-8"?>
<ds:datastoreItem xmlns:ds="http://schemas.openxmlformats.org/officeDocument/2006/customXml" ds:itemID="{C0165A1F-989E-4CA6-80E2-0008B6F3F945}"/>
</file>

<file path=customXml/itemProps3.xml><?xml version="1.0" encoding="utf-8"?>
<ds:datastoreItem xmlns:ds="http://schemas.openxmlformats.org/officeDocument/2006/customXml" ds:itemID="{B64ED471-BC04-4A0F-9A4E-16A15AADD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1833</Words>
  <Characters>10598</Characters>
  <Application>Microsoft Office Word</Application>
  <DocSecurity>0</DocSecurity>
  <Lines>365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2026-03-24T18:11:00Z</dcterms:created>
  <dcterms:modified xsi:type="dcterms:W3CDTF">2026-04-07T16:02:00Z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