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64556" w14:textId="62743D6B" w:rsidR="00711331" w:rsidRPr="00711331" w:rsidRDefault="00711331" w:rsidP="00711331">
      <w:pPr>
        <w:jc w:val="center"/>
        <w:rPr>
          <w:rFonts w:ascii="Verdana" w:hAnsi="Verdana"/>
          <w:b/>
          <w:bCs/>
          <w:sz w:val="22"/>
          <w:szCs w:val="22"/>
        </w:rPr>
      </w:pPr>
      <w:r w:rsidRPr="00711331">
        <w:rPr>
          <w:rFonts w:ascii="Verdana" w:hAnsi="Verdana"/>
          <w:b/>
          <w:bCs/>
          <w:sz w:val="22"/>
          <w:szCs w:val="22"/>
        </w:rPr>
        <w:t>RESOLUCIÓN 2697 DE 2016</w:t>
      </w:r>
    </w:p>
    <w:p w14:paraId="5A56A384" w14:textId="6CACDDCF" w:rsidR="00DB3E63" w:rsidRPr="00DB3E63" w:rsidRDefault="00DB3E63" w:rsidP="00DB3E63">
      <w:pPr>
        <w:rPr>
          <w:rFonts w:ascii="Verdana" w:hAnsi="Verdana"/>
          <w:sz w:val="20"/>
          <w:szCs w:val="20"/>
        </w:rPr>
      </w:pPr>
      <w:r w:rsidRPr="00DB3E63">
        <w:rPr>
          <w:rFonts w:ascii="Verdana" w:hAnsi="Verdana"/>
          <w:sz w:val="20"/>
          <w:szCs w:val="20"/>
        </w:rPr>
        <w:t>Fecha de Expedición: </w:t>
      </w:r>
      <w:r w:rsidRPr="00A3589E">
        <w:rPr>
          <w:rFonts w:ascii="Verdana" w:hAnsi="Verdana"/>
          <w:sz w:val="20"/>
          <w:szCs w:val="20"/>
        </w:rPr>
        <w:t>1 de abril</w:t>
      </w:r>
      <w:r w:rsidRPr="00DB3E63">
        <w:rPr>
          <w:rFonts w:ascii="Verdana" w:hAnsi="Verdana"/>
          <w:sz w:val="20"/>
          <w:szCs w:val="20"/>
        </w:rPr>
        <w:t xml:space="preserve"> de 2016 </w:t>
      </w:r>
    </w:p>
    <w:p w14:paraId="48CBEEF9" w14:textId="0280CD90" w:rsidR="00DB3E63" w:rsidRPr="00DB3E63" w:rsidRDefault="00DB3E63" w:rsidP="00DB3E63">
      <w:pPr>
        <w:rPr>
          <w:rFonts w:ascii="Verdana" w:hAnsi="Verdana"/>
          <w:sz w:val="20"/>
          <w:szCs w:val="20"/>
        </w:rPr>
      </w:pPr>
      <w:r w:rsidRPr="00DB3E63">
        <w:rPr>
          <w:rFonts w:ascii="Verdana" w:hAnsi="Verdana"/>
          <w:sz w:val="20"/>
          <w:szCs w:val="20"/>
        </w:rPr>
        <w:t>Fecha de </w:t>
      </w:r>
      <w:proofErr w:type="gramStart"/>
      <w:r w:rsidRPr="00DB3E63">
        <w:rPr>
          <w:rFonts w:ascii="Verdana" w:hAnsi="Verdana"/>
          <w:sz w:val="20"/>
          <w:szCs w:val="20"/>
        </w:rPr>
        <w:t>entrada en vigencia</w:t>
      </w:r>
      <w:proofErr w:type="gramEnd"/>
      <w:r w:rsidRPr="00DB3E63">
        <w:rPr>
          <w:rFonts w:ascii="Verdana" w:hAnsi="Verdana"/>
          <w:sz w:val="20"/>
          <w:szCs w:val="20"/>
        </w:rPr>
        <w:t>: </w:t>
      </w:r>
      <w:r w:rsidRPr="00A3589E">
        <w:rPr>
          <w:rFonts w:ascii="Verdana" w:hAnsi="Verdana"/>
          <w:sz w:val="20"/>
          <w:szCs w:val="20"/>
        </w:rPr>
        <w:t>1</w:t>
      </w:r>
      <w:r w:rsidRPr="00DB3E63">
        <w:rPr>
          <w:rFonts w:ascii="Verdana" w:hAnsi="Verdana"/>
          <w:sz w:val="20"/>
          <w:szCs w:val="20"/>
        </w:rPr>
        <w:t xml:space="preserve"> de abril de 2016</w:t>
      </w:r>
    </w:p>
    <w:p w14:paraId="529B8F23" w14:textId="2A179D96" w:rsidR="00DB3E63" w:rsidRPr="00DB3E63" w:rsidRDefault="00DB3E63" w:rsidP="00DB3E63">
      <w:pPr>
        <w:rPr>
          <w:rFonts w:ascii="Verdana" w:hAnsi="Verdana"/>
          <w:sz w:val="20"/>
          <w:szCs w:val="20"/>
        </w:rPr>
      </w:pPr>
      <w:r w:rsidRPr="00DB3E63">
        <w:rPr>
          <w:rFonts w:ascii="Verdana" w:hAnsi="Verdana"/>
          <w:sz w:val="20"/>
          <w:szCs w:val="20"/>
        </w:rPr>
        <w:t>Estado de la vigencia: </w:t>
      </w:r>
      <w:r w:rsidRPr="00A3589E">
        <w:rPr>
          <w:rFonts w:ascii="Verdana" w:hAnsi="Verdana"/>
          <w:sz w:val="20"/>
          <w:szCs w:val="20"/>
        </w:rPr>
        <w:t>vigente</w:t>
      </w:r>
    </w:p>
    <w:p w14:paraId="34CF12E6" w14:textId="77777777" w:rsidR="00DB3E63" w:rsidRPr="00DB3E63" w:rsidRDefault="00DB3E63" w:rsidP="00DB3E63">
      <w:pPr>
        <w:rPr>
          <w:rFonts w:ascii="Verdana" w:hAnsi="Verdana"/>
          <w:sz w:val="20"/>
          <w:szCs w:val="20"/>
        </w:rPr>
      </w:pPr>
      <w:r w:rsidRPr="00DB3E63">
        <w:rPr>
          <w:rFonts w:ascii="Verdana" w:hAnsi="Verdana"/>
          <w:sz w:val="20"/>
          <w:szCs w:val="20"/>
        </w:rPr>
        <w:t> </w:t>
      </w:r>
    </w:p>
    <w:p w14:paraId="0714CB96" w14:textId="724B48DA" w:rsidR="00DB3E63" w:rsidRPr="00DB3E63" w:rsidRDefault="00DB3E63" w:rsidP="00DB3E63">
      <w:pPr>
        <w:rPr>
          <w:rFonts w:ascii="Verdana" w:hAnsi="Verdana"/>
          <w:sz w:val="20"/>
          <w:szCs w:val="20"/>
        </w:rPr>
      </w:pPr>
      <w:r w:rsidRPr="00DB3E63">
        <w:rPr>
          <w:rFonts w:ascii="Verdana" w:hAnsi="Verdana"/>
          <w:sz w:val="20"/>
          <w:szCs w:val="20"/>
        </w:rPr>
        <w:t xml:space="preserve">Fecha de publicación en Diario Oficial: </w:t>
      </w:r>
      <w:r w:rsidRPr="00A3589E">
        <w:rPr>
          <w:rFonts w:ascii="Verdana" w:hAnsi="Verdana"/>
          <w:sz w:val="20"/>
          <w:szCs w:val="20"/>
        </w:rPr>
        <w:t>N/A</w:t>
      </w:r>
    </w:p>
    <w:p w14:paraId="43D2FEA7" w14:textId="751FA989" w:rsidR="00DB3E63" w:rsidRPr="00DB3E63" w:rsidRDefault="00DB3E63" w:rsidP="00DB3E63">
      <w:pPr>
        <w:rPr>
          <w:rFonts w:ascii="Verdana" w:hAnsi="Verdana"/>
          <w:sz w:val="20"/>
          <w:szCs w:val="20"/>
        </w:rPr>
      </w:pPr>
      <w:r w:rsidRPr="00DB3E63">
        <w:rPr>
          <w:rFonts w:ascii="Verdana" w:hAnsi="Verdana"/>
          <w:sz w:val="20"/>
          <w:szCs w:val="20"/>
        </w:rPr>
        <w:t>Número del Diario Oficial: N</w:t>
      </w:r>
      <w:r w:rsidRPr="00A3589E">
        <w:rPr>
          <w:rFonts w:ascii="Verdana" w:hAnsi="Verdana"/>
          <w:sz w:val="20"/>
          <w:szCs w:val="20"/>
        </w:rPr>
        <w:t>/A</w:t>
      </w:r>
    </w:p>
    <w:p w14:paraId="042D74E8" w14:textId="3D0C2906" w:rsidR="00D10C8D" w:rsidRPr="00711331" w:rsidRDefault="00D10C8D" w:rsidP="00711331">
      <w:pPr>
        <w:jc w:val="center"/>
        <w:rPr>
          <w:rFonts w:ascii="Verdana" w:hAnsi="Verdana"/>
          <w:b/>
          <w:bCs/>
          <w:sz w:val="22"/>
          <w:szCs w:val="22"/>
        </w:rPr>
      </w:pPr>
      <w:r w:rsidRPr="00711331">
        <w:rPr>
          <w:rFonts w:ascii="Verdana" w:hAnsi="Verdana"/>
          <w:b/>
          <w:bCs/>
          <w:sz w:val="22"/>
          <w:szCs w:val="22"/>
        </w:rPr>
        <w:t>RESOLUCIÓN 2697 DE 2016</w:t>
      </w:r>
    </w:p>
    <w:p w14:paraId="24FBC219" w14:textId="6221AB4C" w:rsidR="00D10C8D" w:rsidRPr="00711331" w:rsidRDefault="00D10C8D" w:rsidP="00711331">
      <w:pPr>
        <w:jc w:val="center"/>
        <w:rPr>
          <w:rFonts w:ascii="Verdana" w:hAnsi="Verdana"/>
          <w:b/>
          <w:bCs/>
          <w:sz w:val="22"/>
          <w:szCs w:val="22"/>
        </w:rPr>
      </w:pPr>
      <w:r w:rsidRPr="00711331">
        <w:rPr>
          <w:rFonts w:ascii="Verdana" w:hAnsi="Verdana"/>
          <w:b/>
          <w:bCs/>
          <w:sz w:val="22"/>
          <w:szCs w:val="22"/>
        </w:rPr>
        <w:t>(</w:t>
      </w:r>
      <w:r w:rsidR="00DB3E63" w:rsidRPr="00711331">
        <w:rPr>
          <w:rFonts w:ascii="Verdana" w:hAnsi="Verdana"/>
          <w:b/>
          <w:bCs/>
          <w:sz w:val="22"/>
          <w:szCs w:val="22"/>
        </w:rPr>
        <w:t xml:space="preserve">1 de </w:t>
      </w:r>
      <w:r w:rsidRPr="00711331">
        <w:rPr>
          <w:rFonts w:ascii="Verdana" w:hAnsi="Verdana"/>
          <w:b/>
          <w:bCs/>
          <w:sz w:val="22"/>
          <w:szCs w:val="22"/>
        </w:rPr>
        <w:t>abril)</w:t>
      </w:r>
    </w:p>
    <w:p w14:paraId="6951EF1A" w14:textId="77777777" w:rsidR="00D10C8D" w:rsidRPr="00711331" w:rsidRDefault="00D10C8D" w:rsidP="00711331">
      <w:pPr>
        <w:jc w:val="center"/>
        <w:rPr>
          <w:rFonts w:ascii="Verdana" w:hAnsi="Verdana"/>
          <w:b/>
          <w:bCs/>
          <w:sz w:val="22"/>
          <w:szCs w:val="22"/>
        </w:rPr>
      </w:pPr>
      <w:r w:rsidRPr="00711331">
        <w:rPr>
          <w:rFonts w:ascii="Verdana" w:hAnsi="Verdana"/>
          <w:b/>
          <w:bCs/>
          <w:sz w:val="22"/>
          <w:szCs w:val="22"/>
        </w:rPr>
        <w:t>INSTITUTO COLOMBIANO DE BIENESTAR FAMILIAR - ICBF</w:t>
      </w:r>
    </w:p>
    <w:p w14:paraId="0396394B" w14:textId="1EACFE84" w:rsidR="00D10C8D" w:rsidRPr="00182C8A" w:rsidRDefault="00DB3E63" w:rsidP="00711331">
      <w:pPr>
        <w:jc w:val="center"/>
        <w:rPr>
          <w:rFonts w:ascii="Verdana" w:hAnsi="Verdana"/>
          <w:sz w:val="22"/>
          <w:szCs w:val="22"/>
        </w:rPr>
      </w:pPr>
      <w:r>
        <w:rPr>
          <w:rFonts w:ascii="Verdana" w:hAnsi="Verdana"/>
          <w:sz w:val="22"/>
          <w:szCs w:val="22"/>
        </w:rPr>
        <w:t>“</w:t>
      </w:r>
      <w:r w:rsidR="00D10C8D" w:rsidRPr="00182C8A">
        <w:rPr>
          <w:rFonts w:ascii="Verdana" w:hAnsi="Verdana"/>
          <w:sz w:val="22"/>
          <w:szCs w:val="22"/>
        </w:rPr>
        <w:t>Por la cual se modifican la resolución 001 de 2016 por medio de la cual aprueba los Lineamientos de Programación y Ejecución de Metas Sociales y Financieras - Vigencia 2016 del Instituto Colombiano de Bienestar Familiar - Cecilia De la Fuente de Lleras – ICBF</w:t>
      </w:r>
      <w:r w:rsidR="00711331">
        <w:rPr>
          <w:rFonts w:ascii="Verdana" w:hAnsi="Verdana"/>
          <w:sz w:val="22"/>
          <w:szCs w:val="22"/>
        </w:rPr>
        <w:t>”</w:t>
      </w:r>
    </w:p>
    <w:p w14:paraId="3DB99BF4" w14:textId="07EEB784" w:rsidR="00D10C8D" w:rsidRPr="00711331" w:rsidRDefault="00D10C8D" w:rsidP="00711331">
      <w:pPr>
        <w:jc w:val="center"/>
        <w:rPr>
          <w:rFonts w:ascii="Verdana" w:hAnsi="Verdana"/>
          <w:b/>
          <w:bCs/>
          <w:sz w:val="22"/>
          <w:szCs w:val="22"/>
        </w:rPr>
      </w:pPr>
      <w:r w:rsidRPr="00711331">
        <w:rPr>
          <w:rFonts w:ascii="Verdana" w:hAnsi="Verdana"/>
          <w:b/>
          <w:bCs/>
          <w:sz w:val="22"/>
          <w:szCs w:val="22"/>
        </w:rPr>
        <w:t>LA DIRECTORA GENERAL DEL INSTITUTO COLOMBIANO DE BIENESTAR FAMILIAR - CECILIA DE LA FUENTE DE LLERAS- ICBF.</w:t>
      </w:r>
    </w:p>
    <w:p w14:paraId="72D64DED" w14:textId="5C5A6002" w:rsidR="00D10C8D" w:rsidRPr="00182C8A" w:rsidRDefault="00D10C8D" w:rsidP="00711331">
      <w:pPr>
        <w:jc w:val="center"/>
        <w:rPr>
          <w:rFonts w:ascii="Verdana" w:hAnsi="Verdana"/>
          <w:sz w:val="22"/>
          <w:szCs w:val="22"/>
        </w:rPr>
      </w:pPr>
      <w:r w:rsidRPr="00182C8A">
        <w:rPr>
          <w:rFonts w:ascii="Verdana" w:hAnsi="Verdana"/>
          <w:sz w:val="22"/>
          <w:szCs w:val="22"/>
        </w:rPr>
        <w:t>En uso de sus facultades legales y en especial las conferidas en el literal b) del artículo 28 de la Ley 7a de 1979, y en el artículo 78 de la Ley 489 de 1998 y</w:t>
      </w:r>
    </w:p>
    <w:p w14:paraId="22786639" w14:textId="12221CAC" w:rsidR="00D10C8D" w:rsidRPr="00711331" w:rsidRDefault="00D10C8D" w:rsidP="00711331">
      <w:pPr>
        <w:jc w:val="center"/>
        <w:rPr>
          <w:rFonts w:ascii="Verdana" w:hAnsi="Verdana"/>
          <w:b/>
          <w:bCs/>
          <w:sz w:val="22"/>
          <w:szCs w:val="22"/>
        </w:rPr>
      </w:pPr>
      <w:r w:rsidRPr="00711331">
        <w:rPr>
          <w:rFonts w:ascii="Verdana" w:hAnsi="Verdana"/>
          <w:b/>
          <w:bCs/>
          <w:sz w:val="22"/>
          <w:szCs w:val="22"/>
        </w:rPr>
        <w:t>CONSIDERANDO</w:t>
      </w:r>
      <w:r w:rsidR="00711331" w:rsidRPr="00711331">
        <w:rPr>
          <w:rFonts w:ascii="Verdana" w:hAnsi="Verdana"/>
          <w:b/>
          <w:bCs/>
          <w:sz w:val="22"/>
          <w:szCs w:val="22"/>
        </w:rPr>
        <w:t>:</w:t>
      </w:r>
    </w:p>
    <w:p w14:paraId="2B02FC4F" w14:textId="77777777" w:rsidR="00A3589E" w:rsidRDefault="00D10C8D" w:rsidP="00182C8A">
      <w:pPr>
        <w:pStyle w:val="Prrafodelista"/>
        <w:numPr>
          <w:ilvl w:val="0"/>
          <w:numId w:val="1"/>
        </w:numPr>
        <w:rPr>
          <w:rFonts w:ascii="Verdana" w:hAnsi="Verdana"/>
          <w:sz w:val="22"/>
          <w:szCs w:val="22"/>
        </w:rPr>
      </w:pPr>
      <w:r w:rsidRPr="00A3589E">
        <w:rPr>
          <w:rFonts w:ascii="Verdana" w:hAnsi="Verdana"/>
          <w:sz w:val="22"/>
          <w:szCs w:val="22"/>
        </w:rPr>
        <w:t>Que mediante la Resolución No. 001 del 4 de enero de 2016, se aprobaron los Lineamientos de Programación y Ejecución de Metas Sociales y Financieras - Vigencia Fiscal 2016 del Instituto Colombiano de Bienestar Familiar - Cecilia de la Fuente de Lleras - ICBF.</w:t>
      </w:r>
    </w:p>
    <w:p w14:paraId="7AF356B2" w14:textId="77777777" w:rsidR="00A3589E" w:rsidRDefault="00D10C8D" w:rsidP="00182C8A">
      <w:pPr>
        <w:pStyle w:val="Prrafodelista"/>
        <w:numPr>
          <w:ilvl w:val="0"/>
          <w:numId w:val="1"/>
        </w:numPr>
        <w:rPr>
          <w:rFonts w:ascii="Verdana" w:hAnsi="Verdana"/>
          <w:sz w:val="22"/>
          <w:szCs w:val="22"/>
        </w:rPr>
      </w:pPr>
      <w:r w:rsidRPr="00A3589E">
        <w:rPr>
          <w:rFonts w:ascii="Verdana" w:hAnsi="Verdana"/>
          <w:sz w:val="22"/>
          <w:szCs w:val="22"/>
        </w:rPr>
        <w:t>Que las Fichas 1-31, I-32, I-33, I-34, I-35, I-36 e I-39 de los Lineamientos de Programación y Ejecución de Metas Sociales y Financieras, corresponde a los identificadores de presupuesto C320-1504-7-101, C320-1504-7-102, C320-1504-7-103, C320-1504-7-104, C320-1504-7-105, C320-1504-7-106 y C320-1504-7-110, respectivamente y hacen parte del proyecto PROTECCIÓN - ACCIONES PARA PRESERVAR Y RESTITUIR EL EJERCICIO INTEGRAL DE LOS DERECHOS DE LA NIÑEZ Y LA FAMILIA</w:t>
      </w:r>
    </w:p>
    <w:p w14:paraId="1E74483F" w14:textId="696C4DD8" w:rsidR="00D10C8D" w:rsidRDefault="00D10C8D" w:rsidP="00182C8A">
      <w:pPr>
        <w:pStyle w:val="Prrafodelista"/>
        <w:numPr>
          <w:ilvl w:val="0"/>
          <w:numId w:val="1"/>
        </w:numPr>
        <w:rPr>
          <w:rFonts w:ascii="Verdana" w:hAnsi="Verdana"/>
          <w:sz w:val="22"/>
          <w:szCs w:val="22"/>
        </w:rPr>
      </w:pPr>
      <w:r w:rsidRPr="00A3589E">
        <w:rPr>
          <w:rFonts w:ascii="Verdana" w:hAnsi="Verdana"/>
          <w:sz w:val="22"/>
          <w:szCs w:val="22"/>
        </w:rPr>
        <w:t>Que la Dirección de Protección teniendo en cuenta la necesidad de realizar la actualización de los lineamientos técnicos administrativos de las modalidades de atención con responsabilidad de la dirección de protección, tramitó la expedición de nuevos lineamientos técnicos, los cuales fueron aprobados mediante las siguientes resoluciones:</w:t>
      </w:r>
    </w:p>
    <w:tbl>
      <w:tblPr>
        <w:tblStyle w:val="Tablaconcuadrcula"/>
        <w:tblW w:w="5050" w:type="pct"/>
        <w:tblLook w:val="04A0" w:firstRow="1" w:lastRow="0" w:firstColumn="1" w:lastColumn="0" w:noHBand="0" w:noVBand="1"/>
      </w:tblPr>
      <w:tblGrid>
        <w:gridCol w:w="633"/>
        <w:gridCol w:w="1561"/>
        <w:gridCol w:w="1296"/>
        <w:gridCol w:w="5426"/>
      </w:tblGrid>
      <w:tr w:rsidR="00CF5755" w:rsidRPr="00CF5755" w14:paraId="6FECD48B" w14:textId="77777777" w:rsidTr="00CF5755">
        <w:tc>
          <w:tcPr>
            <w:tcW w:w="300" w:type="pct"/>
            <w:hideMark/>
          </w:tcPr>
          <w:p w14:paraId="09032C22" w14:textId="77777777" w:rsidR="00CF5755" w:rsidRPr="00CF5755" w:rsidRDefault="00CF5755" w:rsidP="00CF5755">
            <w:pPr>
              <w:spacing w:after="160"/>
              <w:rPr>
                <w:rFonts w:ascii="Verdana" w:hAnsi="Verdana"/>
                <w:sz w:val="22"/>
                <w:szCs w:val="22"/>
              </w:rPr>
            </w:pPr>
            <w:r w:rsidRPr="00CF5755">
              <w:rPr>
                <w:rFonts w:ascii="Verdana" w:hAnsi="Verdana"/>
                <w:b/>
                <w:bCs/>
                <w:sz w:val="22"/>
                <w:szCs w:val="22"/>
              </w:rPr>
              <w:t>No.</w:t>
            </w:r>
          </w:p>
        </w:tc>
        <w:tc>
          <w:tcPr>
            <w:tcW w:w="650" w:type="pct"/>
            <w:hideMark/>
          </w:tcPr>
          <w:p w14:paraId="59C0C295" w14:textId="77777777" w:rsidR="00CF5755" w:rsidRPr="00CF5755" w:rsidRDefault="00CF5755" w:rsidP="00CF5755">
            <w:pPr>
              <w:spacing w:after="160"/>
              <w:rPr>
                <w:rFonts w:ascii="Verdana" w:hAnsi="Verdana"/>
                <w:sz w:val="22"/>
                <w:szCs w:val="22"/>
              </w:rPr>
            </w:pPr>
            <w:r w:rsidRPr="00CF5755">
              <w:rPr>
                <w:rFonts w:ascii="Verdana" w:hAnsi="Verdana"/>
                <w:b/>
                <w:bCs/>
                <w:sz w:val="22"/>
                <w:szCs w:val="22"/>
              </w:rPr>
              <w:t>No. de Resolución</w:t>
            </w:r>
          </w:p>
        </w:tc>
        <w:tc>
          <w:tcPr>
            <w:tcW w:w="800" w:type="pct"/>
            <w:hideMark/>
          </w:tcPr>
          <w:p w14:paraId="52F5AABD" w14:textId="77777777" w:rsidR="00CF5755" w:rsidRPr="00CF5755" w:rsidRDefault="00CF5755" w:rsidP="00CF5755">
            <w:pPr>
              <w:spacing w:after="160"/>
              <w:rPr>
                <w:rFonts w:ascii="Verdana" w:hAnsi="Verdana"/>
                <w:sz w:val="22"/>
                <w:szCs w:val="22"/>
              </w:rPr>
            </w:pPr>
            <w:r w:rsidRPr="00CF5755">
              <w:rPr>
                <w:rFonts w:ascii="Verdana" w:hAnsi="Verdana"/>
                <w:b/>
                <w:bCs/>
                <w:sz w:val="22"/>
                <w:szCs w:val="22"/>
              </w:rPr>
              <w:t>Fecha</w:t>
            </w:r>
          </w:p>
        </w:tc>
        <w:tc>
          <w:tcPr>
            <w:tcW w:w="3250" w:type="pct"/>
            <w:hideMark/>
          </w:tcPr>
          <w:p w14:paraId="35A401FB" w14:textId="77777777" w:rsidR="00CF5755" w:rsidRPr="00CF5755" w:rsidRDefault="00CF5755" w:rsidP="00CF5755">
            <w:pPr>
              <w:spacing w:after="160"/>
              <w:rPr>
                <w:rFonts w:ascii="Verdana" w:hAnsi="Verdana"/>
                <w:sz w:val="22"/>
                <w:szCs w:val="22"/>
              </w:rPr>
            </w:pPr>
            <w:r w:rsidRPr="00CF5755">
              <w:rPr>
                <w:rFonts w:ascii="Verdana" w:hAnsi="Verdana"/>
                <w:b/>
                <w:bCs/>
                <w:sz w:val="22"/>
                <w:szCs w:val="22"/>
              </w:rPr>
              <w:t>Lineamiento Técnico</w:t>
            </w:r>
          </w:p>
        </w:tc>
      </w:tr>
      <w:tr w:rsidR="00CF5755" w:rsidRPr="00CF5755" w14:paraId="75C334FF" w14:textId="77777777" w:rsidTr="00CF5755">
        <w:tc>
          <w:tcPr>
            <w:tcW w:w="300" w:type="pct"/>
            <w:hideMark/>
          </w:tcPr>
          <w:p w14:paraId="6BA2DAF2" w14:textId="77777777" w:rsidR="00CF5755" w:rsidRPr="00CF5755" w:rsidRDefault="00CF5755" w:rsidP="00CF5755">
            <w:pPr>
              <w:spacing w:after="160"/>
              <w:rPr>
                <w:rFonts w:ascii="Verdana" w:hAnsi="Verdana"/>
                <w:sz w:val="22"/>
                <w:szCs w:val="22"/>
              </w:rPr>
            </w:pPr>
            <w:r w:rsidRPr="00CF5755">
              <w:rPr>
                <w:rFonts w:ascii="Verdana" w:hAnsi="Verdana"/>
                <w:sz w:val="22"/>
                <w:szCs w:val="22"/>
              </w:rPr>
              <w:lastRenderedPageBreak/>
              <w:t>1</w:t>
            </w:r>
          </w:p>
        </w:tc>
        <w:tc>
          <w:tcPr>
            <w:tcW w:w="650" w:type="pct"/>
            <w:hideMark/>
          </w:tcPr>
          <w:p w14:paraId="61B658E5" w14:textId="77777777" w:rsidR="00CF5755" w:rsidRPr="00CF5755" w:rsidRDefault="00CF5755" w:rsidP="00CF5755">
            <w:pPr>
              <w:spacing w:after="160"/>
              <w:rPr>
                <w:rFonts w:ascii="Verdana" w:hAnsi="Verdana"/>
                <w:sz w:val="22"/>
                <w:szCs w:val="22"/>
              </w:rPr>
            </w:pPr>
            <w:r w:rsidRPr="00CF5755">
              <w:rPr>
                <w:rFonts w:ascii="Verdana" w:hAnsi="Verdana"/>
                <w:sz w:val="22"/>
                <w:szCs w:val="22"/>
              </w:rPr>
              <w:t>1512</w:t>
            </w:r>
          </w:p>
        </w:tc>
        <w:tc>
          <w:tcPr>
            <w:tcW w:w="800" w:type="pct"/>
            <w:hideMark/>
          </w:tcPr>
          <w:p w14:paraId="2B7D2115" w14:textId="77777777" w:rsidR="00CF5755" w:rsidRPr="00CF5755" w:rsidRDefault="00CF5755" w:rsidP="00CF5755">
            <w:pPr>
              <w:spacing w:after="160"/>
              <w:rPr>
                <w:rFonts w:ascii="Verdana" w:hAnsi="Verdana"/>
                <w:sz w:val="22"/>
                <w:szCs w:val="22"/>
              </w:rPr>
            </w:pPr>
            <w:r w:rsidRPr="00CF5755">
              <w:rPr>
                <w:rFonts w:ascii="Verdana" w:hAnsi="Verdana"/>
                <w:sz w:val="22"/>
                <w:szCs w:val="22"/>
              </w:rPr>
              <w:t>23 de febrero de 2016</w:t>
            </w:r>
          </w:p>
        </w:tc>
        <w:tc>
          <w:tcPr>
            <w:tcW w:w="3250" w:type="pct"/>
            <w:hideMark/>
          </w:tcPr>
          <w:p w14:paraId="7A6AFEF0" w14:textId="77777777" w:rsidR="00CF5755" w:rsidRPr="00CF5755" w:rsidRDefault="00CF5755" w:rsidP="00CF5755">
            <w:pPr>
              <w:spacing w:after="160"/>
              <w:rPr>
                <w:rFonts w:ascii="Verdana" w:hAnsi="Verdana"/>
                <w:sz w:val="22"/>
                <w:szCs w:val="22"/>
              </w:rPr>
            </w:pPr>
            <w:r w:rsidRPr="00CF5755">
              <w:rPr>
                <w:rFonts w:ascii="Verdana" w:hAnsi="Verdana"/>
                <w:sz w:val="22"/>
                <w:szCs w:val="22"/>
              </w:rPr>
              <w:t>Lineamiento Técnico de Medidas Complementarias y/o de Restablecimiento en Administración de Justicia</w:t>
            </w:r>
          </w:p>
        </w:tc>
      </w:tr>
      <w:tr w:rsidR="00CF5755" w:rsidRPr="00CF5755" w14:paraId="3F5EDC73" w14:textId="77777777" w:rsidTr="00CF5755">
        <w:tc>
          <w:tcPr>
            <w:tcW w:w="300" w:type="pct"/>
            <w:hideMark/>
          </w:tcPr>
          <w:p w14:paraId="5CD5058F" w14:textId="77777777" w:rsidR="00CF5755" w:rsidRPr="00CF5755" w:rsidRDefault="00CF5755" w:rsidP="00CF5755">
            <w:pPr>
              <w:spacing w:after="160"/>
              <w:rPr>
                <w:rFonts w:ascii="Verdana" w:hAnsi="Verdana"/>
                <w:sz w:val="22"/>
                <w:szCs w:val="22"/>
              </w:rPr>
            </w:pPr>
            <w:r w:rsidRPr="00CF5755">
              <w:rPr>
                <w:rFonts w:ascii="Verdana" w:hAnsi="Verdana"/>
                <w:sz w:val="22"/>
                <w:szCs w:val="22"/>
              </w:rPr>
              <w:t>2</w:t>
            </w:r>
          </w:p>
        </w:tc>
        <w:tc>
          <w:tcPr>
            <w:tcW w:w="650" w:type="pct"/>
            <w:hideMark/>
          </w:tcPr>
          <w:p w14:paraId="73432094" w14:textId="77777777" w:rsidR="00CF5755" w:rsidRPr="00CF5755" w:rsidRDefault="00CF5755" w:rsidP="00CF5755">
            <w:pPr>
              <w:spacing w:after="160"/>
              <w:rPr>
                <w:rFonts w:ascii="Verdana" w:hAnsi="Verdana"/>
                <w:sz w:val="22"/>
                <w:szCs w:val="22"/>
              </w:rPr>
            </w:pPr>
            <w:r w:rsidRPr="00CF5755">
              <w:rPr>
                <w:rFonts w:ascii="Verdana" w:hAnsi="Verdana"/>
                <w:sz w:val="22"/>
                <w:szCs w:val="22"/>
              </w:rPr>
              <w:t>1513</w:t>
            </w:r>
          </w:p>
        </w:tc>
        <w:tc>
          <w:tcPr>
            <w:tcW w:w="800" w:type="pct"/>
            <w:hideMark/>
          </w:tcPr>
          <w:p w14:paraId="7145C19A" w14:textId="77777777" w:rsidR="00CF5755" w:rsidRPr="00CF5755" w:rsidRDefault="00CF5755" w:rsidP="00CF5755">
            <w:pPr>
              <w:spacing w:after="160"/>
              <w:rPr>
                <w:rFonts w:ascii="Verdana" w:hAnsi="Verdana"/>
                <w:sz w:val="22"/>
                <w:szCs w:val="22"/>
              </w:rPr>
            </w:pPr>
            <w:r w:rsidRPr="00CF5755">
              <w:rPr>
                <w:rFonts w:ascii="Verdana" w:hAnsi="Verdana"/>
                <w:sz w:val="22"/>
                <w:szCs w:val="22"/>
              </w:rPr>
              <w:t>23 de febrero de 2016</w:t>
            </w:r>
          </w:p>
        </w:tc>
        <w:tc>
          <w:tcPr>
            <w:tcW w:w="3250" w:type="pct"/>
            <w:hideMark/>
          </w:tcPr>
          <w:p w14:paraId="1C212A42" w14:textId="77777777" w:rsidR="00CF5755" w:rsidRPr="00CF5755" w:rsidRDefault="00CF5755" w:rsidP="00CF5755">
            <w:pPr>
              <w:spacing w:after="160"/>
              <w:rPr>
                <w:rFonts w:ascii="Verdana" w:hAnsi="Verdana"/>
                <w:sz w:val="22"/>
                <w:szCs w:val="22"/>
              </w:rPr>
            </w:pPr>
            <w:r w:rsidRPr="00CF5755">
              <w:rPr>
                <w:rFonts w:ascii="Verdana" w:hAnsi="Verdana"/>
                <w:sz w:val="22"/>
                <w:szCs w:val="22"/>
              </w:rPr>
              <w:t>Lineamiento Técnico para la Atención de niños, niñas y adolescentes, con derechos inobservados, amenazados o vulnerados en situación de trabajo infantil.</w:t>
            </w:r>
          </w:p>
        </w:tc>
      </w:tr>
      <w:tr w:rsidR="00CF5755" w:rsidRPr="00CF5755" w14:paraId="40AEE9A7" w14:textId="77777777" w:rsidTr="00CF5755">
        <w:tc>
          <w:tcPr>
            <w:tcW w:w="300" w:type="pct"/>
            <w:hideMark/>
          </w:tcPr>
          <w:p w14:paraId="353C03A4" w14:textId="77777777" w:rsidR="00CF5755" w:rsidRPr="00CF5755" w:rsidRDefault="00CF5755" w:rsidP="00CF5755">
            <w:pPr>
              <w:spacing w:after="160"/>
              <w:rPr>
                <w:rFonts w:ascii="Verdana" w:hAnsi="Verdana"/>
                <w:sz w:val="22"/>
                <w:szCs w:val="22"/>
              </w:rPr>
            </w:pPr>
            <w:r w:rsidRPr="00CF5755">
              <w:rPr>
                <w:rFonts w:ascii="Verdana" w:hAnsi="Verdana"/>
                <w:sz w:val="22"/>
                <w:szCs w:val="22"/>
              </w:rPr>
              <w:t>3</w:t>
            </w:r>
          </w:p>
        </w:tc>
        <w:tc>
          <w:tcPr>
            <w:tcW w:w="650" w:type="pct"/>
            <w:hideMark/>
          </w:tcPr>
          <w:p w14:paraId="5A647894" w14:textId="77777777" w:rsidR="00CF5755" w:rsidRPr="00CF5755" w:rsidRDefault="00CF5755" w:rsidP="00CF5755">
            <w:pPr>
              <w:spacing w:after="160"/>
              <w:rPr>
                <w:rFonts w:ascii="Verdana" w:hAnsi="Verdana"/>
                <w:sz w:val="22"/>
                <w:szCs w:val="22"/>
              </w:rPr>
            </w:pPr>
            <w:r w:rsidRPr="00CF5755">
              <w:rPr>
                <w:rFonts w:ascii="Verdana" w:hAnsi="Verdana"/>
                <w:sz w:val="22"/>
                <w:szCs w:val="22"/>
              </w:rPr>
              <w:t>1514</w:t>
            </w:r>
          </w:p>
        </w:tc>
        <w:tc>
          <w:tcPr>
            <w:tcW w:w="800" w:type="pct"/>
            <w:hideMark/>
          </w:tcPr>
          <w:p w14:paraId="5B72A2FA" w14:textId="77777777" w:rsidR="00CF5755" w:rsidRPr="00CF5755" w:rsidRDefault="00CF5755" w:rsidP="00CF5755">
            <w:pPr>
              <w:spacing w:after="160"/>
              <w:rPr>
                <w:rFonts w:ascii="Verdana" w:hAnsi="Verdana"/>
                <w:sz w:val="22"/>
                <w:szCs w:val="22"/>
              </w:rPr>
            </w:pPr>
            <w:r w:rsidRPr="00CF5755">
              <w:rPr>
                <w:rFonts w:ascii="Verdana" w:hAnsi="Verdana"/>
                <w:sz w:val="22"/>
                <w:szCs w:val="22"/>
              </w:rPr>
              <w:t>23 de febrero de 2016</w:t>
            </w:r>
          </w:p>
        </w:tc>
        <w:tc>
          <w:tcPr>
            <w:tcW w:w="3250" w:type="pct"/>
            <w:hideMark/>
          </w:tcPr>
          <w:p w14:paraId="57E32929" w14:textId="77777777" w:rsidR="00CF5755" w:rsidRPr="00CF5755" w:rsidRDefault="00CF5755" w:rsidP="00CF5755">
            <w:pPr>
              <w:spacing w:after="160"/>
              <w:rPr>
                <w:rFonts w:ascii="Verdana" w:hAnsi="Verdana"/>
                <w:sz w:val="22"/>
                <w:szCs w:val="22"/>
              </w:rPr>
            </w:pPr>
            <w:r w:rsidRPr="00CF5755">
              <w:rPr>
                <w:rFonts w:ascii="Verdana" w:hAnsi="Verdana"/>
                <w:sz w:val="22"/>
                <w:szCs w:val="22"/>
              </w:rPr>
              <w:t>Lineamiento Técnico para la Atención de niños, niñas y adolescentes, con derechos inobservados, amenazados o vulnerados, con alta permanencia en calle o en situación de vida en calle.</w:t>
            </w:r>
          </w:p>
        </w:tc>
      </w:tr>
      <w:tr w:rsidR="00CF5755" w:rsidRPr="00CF5755" w14:paraId="0BD97FAA" w14:textId="77777777" w:rsidTr="00CF5755">
        <w:tc>
          <w:tcPr>
            <w:tcW w:w="300" w:type="pct"/>
            <w:hideMark/>
          </w:tcPr>
          <w:p w14:paraId="11468AC1" w14:textId="77777777" w:rsidR="00CF5755" w:rsidRPr="00CF5755" w:rsidRDefault="00CF5755" w:rsidP="00CF5755">
            <w:pPr>
              <w:spacing w:after="160"/>
              <w:rPr>
                <w:rFonts w:ascii="Verdana" w:hAnsi="Verdana"/>
                <w:sz w:val="22"/>
                <w:szCs w:val="22"/>
              </w:rPr>
            </w:pPr>
            <w:r w:rsidRPr="00CF5755">
              <w:rPr>
                <w:rFonts w:ascii="Verdana" w:hAnsi="Verdana"/>
                <w:sz w:val="22"/>
                <w:szCs w:val="22"/>
              </w:rPr>
              <w:t>4</w:t>
            </w:r>
          </w:p>
        </w:tc>
        <w:tc>
          <w:tcPr>
            <w:tcW w:w="650" w:type="pct"/>
            <w:hideMark/>
          </w:tcPr>
          <w:p w14:paraId="5A45D4D8" w14:textId="77777777" w:rsidR="00CF5755" w:rsidRPr="00CF5755" w:rsidRDefault="00CF5755" w:rsidP="00CF5755">
            <w:pPr>
              <w:spacing w:after="160"/>
              <w:rPr>
                <w:rFonts w:ascii="Verdana" w:hAnsi="Verdana"/>
                <w:sz w:val="22"/>
                <w:szCs w:val="22"/>
              </w:rPr>
            </w:pPr>
            <w:r w:rsidRPr="00CF5755">
              <w:rPr>
                <w:rFonts w:ascii="Verdana" w:hAnsi="Verdana"/>
                <w:sz w:val="22"/>
                <w:szCs w:val="22"/>
              </w:rPr>
              <w:t>1515</w:t>
            </w:r>
          </w:p>
        </w:tc>
        <w:tc>
          <w:tcPr>
            <w:tcW w:w="800" w:type="pct"/>
            <w:hideMark/>
          </w:tcPr>
          <w:p w14:paraId="44034E4A" w14:textId="77777777" w:rsidR="00CF5755" w:rsidRPr="00CF5755" w:rsidRDefault="00CF5755" w:rsidP="00CF5755">
            <w:pPr>
              <w:spacing w:after="160"/>
              <w:rPr>
                <w:rFonts w:ascii="Verdana" w:hAnsi="Verdana"/>
                <w:sz w:val="22"/>
                <w:szCs w:val="22"/>
              </w:rPr>
            </w:pPr>
            <w:r w:rsidRPr="00CF5755">
              <w:rPr>
                <w:rFonts w:ascii="Verdana" w:hAnsi="Verdana"/>
                <w:sz w:val="22"/>
                <w:szCs w:val="22"/>
              </w:rPr>
              <w:t>23 de febrero de 2016</w:t>
            </w:r>
          </w:p>
        </w:tc>
        <w:tc>
          <w:tcPr>
            <w:tcW w:w="3250" w:type="pct"/>
            <w:hideMark/>
          </w:tcPr>
          <w:p w14:paraId="4DDF5555" w14:textId="77777777" w:rsidR="00CF5755" w:rsidRPr="00CF5755" w:rsidRDefault="00CF5755" w:rsidP="00CF5755">
            <w:pPr>
              <w:spacing w:after="160"/>
              <w:rPr>
                <w:rFonts w:ascii="Verdana" w:hAnsi="Verdana"/>
                <w:sz w:val="22"/>
                <w:szCs w:val="22"/>
              </w:rPr>
            </w:pPr>
            <w:r w:rsidRPr="00CF5755">
              <w:rPr>
                <w:rFonts w:ascii="Verdana" w:hAnsi="Verdana"/>
                <w:sz w:val="22"/>
                <w:szCs w:val="22"/>
              </w:rPr>
              <w:t>Lineamiento Técnico para la Atención de adolescentes y mujeres mayores de 18 años, gestantes o en periodo de lactancia con sus derechos inobservados, amenazados o vulnerados</w:t>
            </w:r>
          </w:p>
        </w:tc>
      </w:tr>
      <w:tr w:rsidR="00CF5755" w:rsidRPr="00CF5755" w14:paraId="1B029E6F" w14:textId="77777777" w:rsidTr="00CF5755">
        <w:tc>
          <w:tcPr>
            <w:tcW w:w="300" w:type="pct"/>
            <w:hideMark/>
          </w:tcPr>
          <w:p w14:paraId="320351CF" w14:textId="77777777" w:rsidR="00CF5755" w:rsidRPr="00CF5755" w:rsidRDefault="00CF5755" w:rsidP="00CF5755">
            <w:pPr>
              <w:spacing w:after="160"/>
              <w:rPr>
                <w:rFonts w:ascii="Verdana" w:hAnsi="Verdana"/>
                <w:sz w:val="22"/>
                <w:szCs w:val="22"/>
              </w:rPr>
            </w:pPr>
            <w:r w:rsidRPr="00CF5755">
              <w:rPr>
                <w:rFonts w:ascii="Verdana" w:hAnsi="Verdana"/>
                <w:sz w:val="22"/>
                <w:szCs w:val="22"/>
              </w:rPr>
              <w:t>5</w:t>
            </w:r>
          </w:p>
        </w:tc>
        <w:tc>
          <w:tcPr>
            <w:tcW w:w="650" w:type="pct"/>
            <w:hideMark/>
          </w:tcPr>
          <w:p w14:paraId="44663CC1" w14:textId="77777777" w:rsidR="00CF5755" w:rsidRPr="00CF5755" w:rsidRDefault="00CF5755" w:rsidP="00CF5755">
            <w:pPr>
              <w:spacing w:after="160"/>
              <w:rPr>
                <w:rFonts w:ascii="Verdana" w:hAnsi="Verdana"/>
                <w:sz w:val="22"/>
                <w:szCs w:val="22"/>
              </w:rPr>
            </w:pPr>
            <w:r w:rsidRPr="00CF5755">
              <w:rPr>
                <w:rFonts w:ascii="Verdana" w:hAnsi="Verdana"/>
                <w:sz w:val="22"/>
                <w:szCs w:val="22"/>
              </w:rPr>
              <w:t>1516</w:t>
            </w:r>
          </w:p>
        </w:tc>
        <w:tc>
          <w:tcPr>
            <w:tcW w:w="800" w:type="pct"/>
            <w:hideMark/>
          </w:tcPr>
          <w:p w14:paraId="213587B0" w14:textId="77777777" w:rsidR="00CF5755" w:rsidRPr="00CF5755" w:rsidRDefault="00CF5755" w:rsidP="00CF5755">
            <w:pPr>
              <w:spacing w:after="160"/>
              <w:rPr>
                <w:rFonts w:ascii="Verdana" w:hAnsi="Verdana"/>
                <w:sz w:val="22"/>
                <w:szCs w:val="22"/>
              </w:rPr>
            </w:pPr>
            <w:r w:rsidRPr="00CF5755">
              <w:rPr>
                <w:rFonts w:ascii="Verdana" w:hAnsi="Verdana"/>
                <w:sz w:val="22"/>
                <w:szCs w:val="22"/>
              </w:rPr>
              <w:t>23 de febrero de 2016</w:t>
            </w:r>
          </w:p>
        </w:tc>
        <w:tc>
          <w:tcPr>
            <w:tcW w:w="3250" w:type="pct"/>
            <w:hideMark/>
          </w:tcPr>
          <w:p w14:paraId="1DA34108" w14:textId="77777777" w:rsidR="00CF5755" w:rsidRPr="00CF5755" w:rsidRDefault="00CF5755" w:rsidP="00CF5755">
            <w:pPr>
              <w:spacing w:after="160"/>
              <w:rPr>
                <w:rFonts w:ascii="Verdana" w:hAnsi="Verdana"/>
                <w:sz w:val="22"/>
                <w:szCs w:val="22"/>
              </w:rPr>
            </w:pPr>
            <w:r w:rsidRPr="00CF5755">
              <w:rPr>
                <w:rFonts w:ascii="Verdana" w:hAnsi="Verdana"/>
                <w:sz w:val="22"/>
                <w:szCs w:val="22"/>
              </w:rPr>
              <w:t>Lineamiento Técnico para la Atención de niños, niñas y adolescentes, y mayores de 18 años con derechos inobservados, amenazados o vulnerados, con discapacidad.</w:t>
            </w:r>
          </w:p>
        </w:tc>
      </w:tr>
      <w:tr w:rsidR="00CF5755" w:rsidRPr="00CF5755" w14:paraId="7DFBE7F4" w14:textId="77777777" w:rsidTr="00CF5755">
        <w:tc>
          <w:tcPr>
            <w:tcW w:w="300" w:type="pct"/>
            <w:hideMark/>
          </w:tcPr>
          <w:p w14:paraId="4E84C996" w14:textId="77777777" w:rsidR="00CF5755" w:rsidRPr="00CF5755" w:rsidRDefault="00CF5755" w:rsidP="00CF5755">
            <w:pPr>
              <w:spacing w:after="160"/>
              <w:rPr>
                <w:rFonts w:ascii="Verdana" w:hAnsi="Verdana"/>
                <w:sz w:val="22"/>
                <w:szCs w:val="22"/>
              </w:rPr>
            </w:pPr>
            <w:r w:rsidRPr="00CF5755">
              <w:rPr>
                <w:rFonts w:ascii="Verdana" w:hAnsi="Verdana"/>
                <w:sz w:val="22"/>
                <w:szCs w:val="22"/>
              </w:rPr>
              <w:t>6</w:t>
            </w:r>
          </w:p>
        </w:tc>
        <w:tc>
          <w:tcPr>
            <w:tcW w:w="650" w:type="pct"/>
            <w:hideMark/>
          </w:tcPr>
          <w:p w14:paraId="57366159" w14:textId="77777777" w:rsidR="00CF5755" w:rsidRPr="00CF5755" w:rsidRDefault="00CF5755" w:rsidP="00CF5755">
            <w:pPr>
              <w:spacing w:after="160"/>
              <w:rPr>
                <w:rFonts w:ascii="Verdana" w:hAnsi="Verdana"/>
                <w:sz w:val="22"/>
                <w:szCs w:val="22"/>
              </w:rPr>
            </w:pPr>
            <w:r w:rsidRPr="00CF5755">
              <w:rPr>
                <w:rFonts w:ascii="Verdana" w:hAnsi="Verdana"/>
                <w:sz w:val="22"/>
                <w:szCs w:val="22"/>
              </w:rPr>
              <w:t>1517</w:t>
            </w:r>
          </w:p>
        </w:tc>
        <w:tc>
          <w:tcPr>
            <w:tcW w:w="800" w:type="pct"/>
            <w:hideMark/>
          </w:tcPr>
          <w:p w14:paraId="5C4175B6" w14:textId="77777777" w:rsidR="00CF5755" w:rsidRPr="00CF5755" w:rsidRDefault="00CF5755" w:rsidP="00CF5755">
            <w:pPr>
              <w:spacing w:after="160"/>
              <w:rPr>
                <w:rFonts w:ascii="Verdana" w:hAnsi="Verdana"/>
                <w:sz w:val="22"/>
                <w:szCs w:val="22"/>
              </w:rPr>
            </w:pPr>
            <w:r w:rsidRPr="00CF5755">
              <w:rPr>
                <w:rFonts w:ascii="Verdana" w:hAnsi="Verdana"/>
                <w:sz w:val="22"/>
                <w:szCs w:val="22"/>
              </w:rPr>
              <w:t>23 de febrero de 2016</w:t>
            </w:r>
          </w:p>
        </w:tc>
        <w:tc>
          <w:tcPr>
            <w:tcW w:w="3250" w:type="pct"/>
            <w:hideMark/>
          </w:tcPr>
          <w:p w14:paraId="564DB3E9" w14:textId="77777777" w:rsidR="00CF5755" w:rsidRPr="00CF5755" w:rsidRDefault="00CF5755" w:rsidP="00CF5755">
            <w:pPr>
              <w:spacing w:after="160"/>
              <w:rPr>
                <w:rFonts w:ascii="Verdana" w:hAnsi="Verdana"/>
                <w:sz w:val="22"/>
                <w:szCs w:val="22"/>
              </w:rPr>
            </w:pPr>
            <w:r w:rsidRPr="00CF5755">
              <w:rPr>
                <w:rFonts w:ascii="Verdana" w:hAnsi="Verdana"/>
                <w:sz w:val="22"/>
                <w:szCs w:val="22"/>
              </w:rPr>
              <w:t xml:space="preserve">Lineamiento Técnico para el restablecimiento de derechos y contribución a la reparación integral a niños, niñas y adolescentes, víctimas de minas antipersonal, municiones sin explotar y artefactos explosivos improvisados y niños niñas y adolescentes </w:t>
            </w:r>
            <w:proofErr w:type="spellStart"/>
            <w:r w:rsidRPr="00CF5755">
              <w:rPr>
                <w:rFonts w:ascii="Verdana" w:hAnsi="Verdana"/>
                <w:sz w:val="22"/>
                <w:szCs w:val="22"/>
              </w:rPr>
              <w:t>victimas</w:t>
            </w:r>
            <w:proofErr w:type="spellEnd"/>
            <w:r w:rsidRPr="00CF5755">
              <w:rPr>
                <w:rFonts w:ascii="Verdana" w:hAnsi="Verdana"/>
                <w:sz w:val="22"/>
                <w:szCs w:val="22"/>
              </w:rPr>
              <w:t xml:space="preserve"> de acciones bélicas y atentados terroristas en el marco del conflicto armado</w:t>
            </w:r>
          </w:p>
        </w:tc>
      </w:tr>
      <w:tr w:rsidR="00CF5755" w:rsidRPr="00CF5755" w14:paraId="319257BB" w14:textId="77777777" w:rsidTr="00CF5755">
        <w:tc>
          <w:tcPr>
            <w:tcW w:w="300" w:type="pct"/>
            <w:hideMark/>
          </w:tcPr>
          <w:p w14:paraId="43FE7493" w14:textId="77777777" w:rsidR="00CF5755" w:rsidRPr="00CF5755" w:rsidRDefault="00CF5755" w:rsidP="00CF5755">
            <w:pPr>
              <w:spacing w:after="160"/>
              <w:rPr>
                <w:rFonts w:ascii="Verdana" w:hAnsi="Verdana"/>
                <w:sz w:val="22"/>
                <w:szCs w:val="22"/>
              </w:rPr>
            </w:pPr>
            <w:r w:rsidRPr="00CF5755">
              <w:rPr>
                <w:rFonts w:ascii="Verdana" w:hAnsi="Verdana"/>
                <w:sz w:val="22"/>
                <w:szCs w:val="22"/>
              </w:rPr>
              <w:t>7</w:t>
            </w:r>
          </w:p>
        </w:tc>
        <w:tc>
          <w:tcPr>
            <w:tcW w:w="650" w:type="pct"/>
            <w:hideMark/>
          </w:tcPr>
          <w:p w14:paraId="13CB0BD7" w14:textId="77777777" w:rsidR="00CF5755" w:rsidRPr="00CF5755" w:rsidRDefault="00CF5755" w:rsidP="00CF5755">
            <w:pPr>
              <w:spacing w:after="160"/>
              <w:rPr>
                <w:rFonts w:ascii="Verdana" w:hAnsi="Verdana"/>
                <w:sz w:val="22"/>
                <w:szCs w:val="22"/>
              </w:rPr>
            </w:pPr>
            <w:r w:rsidRPr="00CF5755">
              <w:rPr>
                <w:rFonts w:ascii="Verdana" w:hAnsi="Verdana"/>
                <w:sz w:val="22"/>
                <w:szCs w:val="22"/>
              </w:rPr>
              <w:t>1518</w:t>
            </w:r>
          </w:p>
        </w:tc>
        <w:tc>
          <w:tcPr>
            <w:tcW w:w="800" w:type="pct"/>
            <w:hideMark/>
          </w:tcPr>
          <w:p w14:paraId="6F91E1D0" w14:textId="77777777" w:rsidR="00CF5755" w:rsidRPr="00CF5755" w:rsidRDefault="00CF5755" w:rsidP="00CF5755">
            <w:pPr>
              <w:spacing w:after="160"/>
              <w:rPr>
                <w:rFonts w:ascii="Verdana" w:hAnsi="Verdana"/>
                <w:sz w:val="22"/>
                <w:szCs w:val="22"/>
              </w:rPr>
            </w:pPr>
            <w:r w:rsidRPr="00CF5755">
              <w:rPr>
                <w:rFonts w:ascii="Verdana" w:hAnsi="Verdana"/>
                <w:sz w:val="22"/>
                <w:szCs w:val="22"/>
              </w:rPr>
              <w:t>23 de febrero de 2016</w:t>
            </w:r>
          </w:p>
        </w:tc>
        <w:tc>
          <w:tcPr>
            <w:tcW w:w="3250" w:type="pct"/>
            <w:hideMark/>
          </w:tcPr>
          <w:p w14:paraId="4A90D6EE" w14:textId="77777777" w:rsidR="00CF5755" w:rsidRPr="00CF5755" w:rsidRDefault="00CF5755" w:rsidP="00CF5755">
            <w:pPr>
              <w:spacing w:after="160"/>
              <w:rPr>
                <w:rFonts w:ascii="Verdana" w:hAnsi="Verdana"/>
                <w:sz w:val="22"/>
                <w:szCs w:val="22"/>
              </w:rPr>
            </w:pPr>
            <w:r w:rsidRPr="00CF5755">
              <w:rPr>
                <w:rFonts w:ascii="Verdana" w:hAnsi="Verdana"/>
                <w:sz w:val="22"/>
                <w:szCs w:val="22"/>
              </w:rPr>
              <w:t>Lineamiento Técnico para la Atención de niños, niñas y adolescentes, con derechos inobservados, amenazados o vulnerados, con consumo de sustancias psicoactivas.</w:t>
            </w:r>
          </w:p>
        </w:tc>
      </w:tr>
      <w:tr w:rsidR="00CF5755" w:rsidRPr="00CF5755" w14:paraId="2A08A189" w14:textId="77777777" w:rsidTr="00CF5755">
        <w:tc>
          <w:tcPr>
            <w:tcW w:w="300" w:type="pct"/>
            <w:hideMark/>
          </w:tcPr>
          <w:p w14:paraId="563C70A8" w14:textId="77777777" w:rsidR="00CF5755" w:rsidRPr="00CF5755" w:rsidRDefault="00CF5755" w:rsidP="00CF5755">
            <w:pPr>
              <w:spacing w:after="160"/>
              <w:rPr>
                <w:rFonts w:ascii="Verdana" w:hAnsi="Verdana"/>
                <w:sz w:val="22"/>
                <w:szCs w:val="22"/>
              </w:rPr>
            </w:pPr>
            <w:r w:rsidRPr="00CF5755">
              <w:rPr>
                <w:rFonts w:ascii="Verdana" w:hAnsi="Verdana"/>
                <w:sz w:val="22"/>
                <w:szCs w:val="22"/>
              </w:rPr>
              <w:t>8</w:t>
            </w:r>
          </w:p>
        </w:tc>
        <w:tc>
          <w:tcPr>
            <w:tcW w:w="650" w:type="pct"/>
            <w:hideMark/>
          </w:tcPr>
          <w:p w14:paraId="67BAC10F" w14:textId="77777777" w:rsidR="00CF5755" w:rsidRPr="00CF5755" w:rsidRDefault="00CF5755" w:rsidP="00CF5755">
            <w:pPr>
              <w:spacing w:after="160"/>
              <w:rPr>
                <w:rFonts w:ascii="Verdana" w:hAnsi="Verdana"/>
                <w:sz w:val="22"/>
                <w:szCs w:val="22"/>
              </w:rPr>
            </w:pPr>
            <w:r w:rsidRPr="00CF5755">
              <w:rPr>
                <w:rFonts w:ascii="Verdana" w:hAnsi="Verdana"/>
                <w:sz w:val="22"/>
                <w:szCs w:val="22"/>
              </w:rPr>
              <w:t>1519</w:t>
            </w:r>
          </w:p>
        </w:tc>
        <w:tc>
          <w:tcPr>
            <w:tcW w:w="800" w:type="pct"/>
            <w:hideMark/>
          </w:tcPr>
          <w:p w14:paraId="028D4919" w14:textId="77777777" w:rsidR="00CF5755" w:rsidRPr="00CF5755" w:rsidRDefault="00CF5755" w:rsidP="00CF5755">
            <w:pPr>
              <w:spacing w:after="160"/>
              <w:rPr>
                <w:rFonts w:ascii="Verdana" w:hAnsi="Verdana"/>
                <w:sz w:val="22"/>
                <w:szCs w:val="22"/>
              </w:rPr>
            </w:pPr>
            <w:r w:rsidRPr="00CF5755">
              <w:rPr>
                <w:rFonts w:ascii="Verdana" w:hAnsi="Verdana"/>
                <w:sz w:val="22"/>
                <w:szCs w:val="22"/>
              </w:rPr>
              <w:t>23 de febrero de 2016</w:t>
            </w:r>
          </w:p>
        </w:tc>
        <w:tc>
          <w:tcPr>
            <w:tcW w:w="3250" w:type="pct"/>
            <w:hideMark/>
          </w:tcPr>
          <w:p w14:paraId="013A0619" w14:textId="77777777" w:rsidR="00CF5755" w:rsidRPr="00CF5755" w:rsidRDefault="00CF5755" w:rsidP="00CF5755">
            <w:pPr>
              <w:spacing w:after="160"/>
              <w:rPr>
                <w:rFonts w:ascii="Verdana" w:hAnsi="Verdana"/>
                <w:sz w:val="22"/>
                <w:szCs w:val="22"/>
              </w:rPr>
            </w:pPr>
            <w:r w:rsidRPr="00CF5755">
              <w:rPr>
                <w:rFonts w:ascii="Verdana" w:hAnsi="Verdana"/>
                <w:sz w:val="22"/>
                <w:szCs w:val="22"/>
              </w:rPr>
              <w:t>Lineamiento Técnico del modelo para la atención de los niños las niñas y adolescente, con derechos inobservados, amenazados o vulnerados.</w:t>
            </w:r>
          </w:p>
        </w:tc>
      </w:tr>
      <w:tr w:rsidR="00CF5755" w:rsidRPr="00CF5755" w14:paraId="0A3E45C6" w14:textId="77777777" w:rsidTr="00CF5755">
        <w:tc>
          <w:tcPr>
            <w:tcW w:w="300" w:type="pct"/>
            <w:hideMark/>
          </w:tcPr>
          <w:p w14:paraId="2829D4F0" w14:textId="77777777" w:rsidR="00CF5755" w:rsidRPr="00CF5755" w:rsidRDefault="00CF5755" w:rsidP="00CF5755">
            <w:pPr>
              <w:spacing w:after="160"/>
              <w:rPr>
                <w:rFonts w:ascii="Verdana" w:hAnsi="Verdana"/>
                <w:sz w:val="22"/>
                <w:szCs w:val="22"/>
              </w:rPr>
            </w:pPr>
            <w:r w:rsidRPr="00CF5755">
              <w:rPr>
                <w:rFonts w:ascii="Verdana" w:hAnsi="Verdana"/>
                <w:sz w:val="22"/>
                <w:szCs w:val="22"/>
              </w:rPr>
              <w:t>9</w:t>
            </w:r>
          </w:p>
        </w:tc>
        <w:tc>
          <w:tcPr>
            <w:tcW w:w="650" w:type="pct"/>
            <w:hideMark/>
          </w:tcPr>
          <w:p w14:paraId="67DACF84" w14:textId="77777777" w:rsidR="00CF5755" w:rsidRPr="00CF5755" w:rsidRDefault="00CF5755" w:rsidP="00CF5755">
            <w:pPr>
              <w:spacing w:after="160"/>
              <w:rPr>
                <w:rFonts w:ascii="Verdana" w:hAnsi="Verdana"/>
                <w:sz w:val="22"/>
                <w:szCs w:val="22"/>
              </w:rPr>
            </w:pPr>
            <w:r w:rsidRPr="00CF5755">
              <w:rPr>
                <w:rFonts w:ascii="Verdana" w:hAnsi="Verdana"/>
                <w:sz w:val="22"/>
                <w:szCs w:val="22"/>
              </w:rPr>
              <w:t>1520</w:t>
            </w:r>
          </w:p>
        </w:tc>
        <w:tc>
          <w:tcPr>
            <w:tcW w:w="800" w:type="pct"/>
            <w:hideMark/>
          </w:tcPr>
          <w:p w14:paraId="5057F8B8" w14:textId="77777777" w:rsidR="00CF5755" w:rsidRPr="00CF5755" w:rsidRDefault="00CF5755" w:rsidP="00CF5755">
            <w:pPr>
              <w:spacing w:after="160"/>
              <w:rPr>
                <w:rFonts w:ascii="Verdana" w:hAnsi="Verdana"/>
                <w:sz w:val="22"/>
                <w:szCs w:val="22"/>
              </w:rPr>
            </w:pPr>
            <w:r w:rsidRPr="00CF5755">
              <w:rPr>
                <w:rFonts w:ascii="Verdana" w:hAnsi="Verdana"/>
                <w:sz w:val="22"/>
                <w:szCs w:val="22"/>
              </w:rPr>
              <w:t>23 de febrero de 2016</w:t>
            </w:r>
          </w:p>
        </w:tc>
        <w:tc>
          <w:tcPr>
            <w:tcW w:w="3250" w:type="pct"/>
            <w:hideMark/>
          </w:tcPr>
          <w:p w14:paraId="59ED9371" w14:textId="77777777" w:rsidR="00CF5755" w:rsidRPr="00CF5755" w:rsidRDefault="00CF5755" w:rsidP="00CF5755">
            <w:pPr>
              <w:spacing w:after="160"/>
              <w:rPr>
                <w:rFonts w:ascii="Verdana" w:hAnsi="Verdana"/>
                <w:sz w:val="22"/>
                <w:szCs w:val="22"/>
              </w:rPr>
            </w:pPr>
            <w:r w:rsidRPr="00CF5755">
              <w:rPr>
                <w:rFonts w:ascii="Verdana" w:hAnsi="Verdana"/>
                <w:sz w:val="22"/>
                <w:szCs w:val="22"/>
              </w:rPr>
              <w:t>Lineamiento técnico de Modalidades para la Atención de Niños, Niñas y Adolescentes, con derechos inobservados, vulnerados o amenazados</w:t>
            </w:r>
          </w:p>
        </w:tc>
      </w:tr>
      <w:tr w:rsidR="00CF5755" w:rsidRPr="00CF5755" w14:paraId="09B60BC4" w14:textId="77777777" w:rsidTr="00CF5755">
        <w:tc>
          <w:tcPr>
            <w:tcW w:w="300" w:type="pct"/>
            <w:hideMark/>
          </w:tcPr>
          <w:p w14:paraId="120769BD" w14:textId="77777777" w:rsidR="00CF5755" w:rsidRPr="00CF5755" w:rsidRDefault="00CF5755" w:rsidP="00CF5755">
            <w:pPr>
              <w:spacing w:after="160"/>
              <w:rPr>
                <w:rFonts w:ascii="Verdana" w:hAnsi="Verdana"/>
                <w:sz w:val="22"/>
                <w:szCs w:val="22"/>
              </w:rPr>
            </w:pPr>
            <w:r w:rsidRPr="00CF5755">
              <w:rPr>
                <w:rFonts w:ascii="Verdana" w:hAnsi="Verdana"/>
                <w:sz w:val="22"/>
                <w:szCs w:val="22"/>
              </w:rPr>
              <w:lastRenderedPageBreak/>
              <w:t>10</w:t>
            </w:r>
          </w:p>
        </w:tc>
        <w:tc>
          <w:tcPr>
            <w:tcW w:w="650" w:type="pct"/>
            <w:hideMark/>
          </w:tcPr>
          <w:p w14:paraId="417042F7" w14:textId="77777777" w:rsidR="00CF5755" w:rsidRPr="00CF5755" w:rsidRDefault="00CF5755" w:rsidP="00CF5755">
            <w:pPr>
              <w:spacing w:after="160"/>
              <w:rPr>
                <w:rFonts w:ascii="Verdana" w:hAnsi="Verdana"/>
                <w:sz w:val="22"/>
                <w:szCs w:val="22"/>
              </w:rPr>
            </w:pPr>
            <w:r w:rsidRPr="00CF5755">
              <w:rPr>
                <w:rFonts w:ascii="Verdana" w:hAnsi="Verdana"/>
                <w:sz w:val="22"/>
                <w:szCs w:val="22"/>
              </w:rPr>
              <w:t>1521</w:t>
            </w:r>
          </w:p>
        </w:tc>
        <w:tc>
          <w:tcPr>
            <w:tcW w:w="800" w:type="pct"/>
            <w:hideMark/>
          </w:tcPr>
          <w:p w14:paraId="0AC5C644" w14:textId="77777777" w:rsidR="00CF5755" w:rsidRPr="00CF5755" w:rsidRDefault="00CF5755" w:rsidP="00CF5755">
            <w:pPr>
              <w:spacing w:after="160"/>
              <w:rPr>
                <w:rFonts w:ascii="Verdana" w:hAnsi="Verdana"/>
                <w:sz w:val="22"/>
                <w:szCs w:val="22"/>
              </w:rPr>
            </w:pPr>
            <w:r w:rsidRPr="00CF5755">
              <w:rPr>
                <w:rFonts w:ascii="Verdana" w:hAnsi="Verdana"/>
                <w:sz w:val="22"/>
                <w:szCs w:val="22"/>
              </w:rPr>
              <w:t>23 de febrero de 2016</w:t>
            </w:r>
          </w:p>
        </w:tc>
        <w:tc>
          <w:tcPr>
            <w:tcW w:w="3250" w:type="pct"/>
            <w:hideMark/>
          </w:tcPr>
          <w:p w14:paraId="6053CB95" w14:textId="77777777" w:rsidR="00CF5755" w:rsidRPr="00CF5755" w:rsidRDefault="00CF5755" w:rsidP="00CF5755">
            <w:pPr>
              <w:spacing w:after="160"/>
              <w:rPr>
                <w:rFonts w:ascii="Verdana" w:hAnsi="Verdana"/>
                <w:sz w:val="22"/>
                <w:szCs w:val="22"/>
              </w:rPr>
            </w:pPr>
            <w:r w:rsidRPr="00CF5755">
              <w:rPr>
                <w:rFonts w:ascii="Verdana" w:hAnsi="Verdana"/>
                <w:sz w:val="22"/>
                <w:szCs w:val="22"/>
              </w:rPr>
              <w:t>Lineamiento Técnico de Servicio para Medidas y Sanciones del Proceso Judicial - SRPA</w:t>
            </w:r>
          </w:p>
        </w:tc>
      </w:tr>
      <w:tr w:rsidR="00CF5755" w:rsidRPr="00CF5755" w14:paraId="398EC104" w14:textId="77777777" w:rsidTr="00CF5755">
        <w:tc>
          <w:tcPr>
            <w:tcW w:w="300" w:type="pct"/>
            <w:hideMark/>
          </w:tcPr>
          <w:p w14:paraId="27EE229D" w14:textId="77777777" w:rsidR="00CF5755" w:rsidRPr="00CF5755" w:rsidRDefault="00CF5755" w:rsidP="00CF5755">
            <w:pPr>
              <w:spacing w:after="160"/>
              <w:rPr>
                <w:rFonts w:ascii="Verdana" w:hAnsi="Verdana"/>
                <w:sz w:val="22"/>
                <w:szCs w:val="22"/>
              </w:rPr>
            </w:pPr>
            <w:r w:rsidRPr="00CF5755">
              <w:rPr>
                <w:rFonts w:ascii="Verdana" w:hAnsi="Verdana"/>
                <w:sz w:val="22"/>
                <w:szCs w:val="22"/>
              </w:rPr>
              <w:t>11</w:t>
            </w:r>
          </w:p>
        </w:tc>
        <w:tc>
          <w:tcPr>
            <w:tcW w:w="650" w:type="pct"/>
            <w:hideMark/>
          </w:tcPr>
          <w:p w14:paraId="75B2B4A7" w14:textId="77777777" w:rsidR="00CF5755" w:rsidRPr="00CF5755" w:rsidRDefault="00CF5755" w:rsidP="00CF5755">
            <w:pPr>
              <w:spacing w:after="160"/>
              <w:rPr>
                <w:rFonts w:ascii="Verdana" w:hAnsi="Verdana"/>
                <w:sz w:val="22"/>
                <w:szCs w:val="22"/>
              </w:rPr>
            </w:pPr>
            <w:r w:rsidRPr="00CF5755">
              <w:rPr>
                <w:rFonts w:ascii="Verdana" w:hAnsi="Verdana"/>
                <w:sz w:val="22"/>
                <w:szCs w:val="22"/>
              </w:rPr>
              <w:t>1522</w:t>
            </w:r>
          </w:p>
        </w:tc>
        <w:tc>
          <w:tcPr>
            <w:tcW w:w="800" w:type="pct"/>
            <w:hideMark/>
          </w:tcPr>
          <w:p w14:paraId="63C95FC7" w14:textId="77777777" w:rsidR="00CF5755" w:rsidRPr="00CF5755" w:rsidRDefault="00CF5755" w:rsidP="00CF5755">
            <w:pPr>
              <w:spacing w:after="160"/>
              <w:rPr>
                <w:rFonts w:ascii="Verdana" w:hAnsi="Verdana"/>
                <w:sz w:val="22"/>
                <w:szCs w:val="22"/>
              </w:rPr>
            </w:pPr>
            <w:r w:rsidRPr="00CF5755">
              <w:rPr>
                <w:rFonts w:ascii="Verdana" w:hAnsi="Verdana"/>
                <w:sz w:val="22"/>
                <w:szCs w:val="22"/>
              </w:rPr>
              <w:t>23 de febrero de 2016</w:t>
            </w:r>
          </w:p>
        </w:tc>
        <w:tc>
          <w:tcPr>
            <w:tcW w:w="3250" w:type="pct"/>
            <w:hideMark/>
          </w:tcPr>
          <w:p w14:paraId="3F6C51E6" w14:textId="77777777" w:rsidR="00CF5755" w:rsidRPr="00CF5755" w:rsidRDefault="00CF5755" w:rsidP="00CF5755">
            <w:pPr>
              <w:spacing w:after="160"/>
              <w:rPr>
                <w:rFonts w:ascii="Verdana" w:hAnsi="Verdana"/>
                <w:sz w:val="22"/>
                <w:szCs w:val="22"/>
              </w:rPr>
            </w:pPr>
            <w:r w:rsidRPr="00CF5755">
              <w:rPr>
                <w:rFonts w:ascii="Verdana" w:hAnsi="Verdana"/>
                <w:sz w:val="22"/>
                <w:szCs w:val="22"/>
              </w:rPr>
              <w:t>Lineamiento Técnico Modelo de Atención para Adolescentes y Jóvenes en Conflicto con la Ley - SRPA</w:t>
            </w:r>
          </w:p>
        </w:tc>
      </w:tr>
      <w:tr w:rsidR="00CF5755" w:rsidRPr="00CF5755" w14:paraId="6DF58A3B" w14:textId="77777777" w:rsidTr="00CF5755">
        <w:tc>
          <w:tcPr>
            <w:tcW w:w="300" w:type="pct"/>
            <w:hideMark/>
          </w:tcPr>
          <w:p w14:paraId="348F95D6" w14:textId="77777777" w:rsidR="00CF5755" w:rsidRPr="00CF5755" w:rsidRDefault="00CF5755" w:rsidP="00CF5755">
            <w:pPr>
              <w:spacing w:after="160"/>
              <w:rPr>
                <w:rFonts w:ascii="Verdana" w:hAnsi="Verdana"/>
                <w:sz w:val="22"/>
                <w:szCs w:val="22"/>
              </w:rPr>
            </w:pPr>
            <w:r w:rsidRPr="00CF5755">
              <w:rPr>
                <w:rFonts w:ascii="Verdana" w:hAnsi="Verdana"/>
                <w:sz w:val="22"/>
                <w:szCs w:val="22"/>
              </w:rPr>
              <w:t>12</w:t>
            </w:r>
          </w:p>
        </w:tc>
        <w:tc>
          <w:tcPr>
            <w:tcW w:w="700" w:type="pct"/>
            <w:hideMark/>
          </w:tcPr>
          <w:p w14:paraId="0374155A" w14:textId="77777777" w:rsidR="00CF5755" w:rsidRPr="00CF5755" w:rsidRDefault="00CF5755" w:rsidP="00CF5755">
            <w:pPr>
              <w:spacing w:after="160"/>
              <w:rPr>
                <w:rFonts w:ascii="Verdana" w:hAnsi="Verdana"/>
                <w:sz w:val="22"/>
                <w:szCs w:val="22"/>
              </w:rPr>
            </w:pPr>
            <w:r w:rsidRPr="00CF5755">
              <w:rPr>
                <w:rFonts w:ascii="Verdana" w:hAnsi="Verdana"/>
                <w:sz w:val="22"/>
                <w:szCs w:val="22"/>
              </w:rPr>
              <w:t>1523</w:t>
            </w:r>
          </w:p>
        </w:tc>
        <w:tc>
          <w:tcPr>
            <w:tcW w:w="750" w:type="pct"/>
            <w:hideMark/>
          </w:tcPr>
          <w:p w14:paraId="1763D2AC" w14:textId="77777777" w:rsidR="00CF5755" w:rsidRPr="00CF5755" w:rsidRDefault="00CF5755" w:rsidP="00CF5755">
            <w:pPr>
              <w:spacing w:after="160"/>
              <w:rPr>
                <w:rFonts w:ascii="Verdana" w:hAnsi="Verdana"/>
                <w:sz w:val="22"/>
                <w:szCs w:val="22"/>
              </w:rPr>
            </w:pPr>
            <w:r w:rsidRPr="00CF5755">
              <w:rPr>
                <w:rFonts w:ascii="Verdana" w:hAnsi="Verdana"/>
                <w:sz w:val="22"/>
                <w:szCs w:val="22"/>
              </w:rPr>
              <w:t>23 de febrero de 2016</w:t>
            </w:r>
          </w:p>
        </w:tc>
        <w:tc>
          <w:tcPr>
            <w:tcW w:w="3250" w:type="pct"/>
            <w:hideMark/>
          </w:tcPr>
          <w:p w14:paraId="6B95D411" w14:textId="77777777" w:rsidR="00CF5755" w:rsidRPr="00CF5755" w:rsidRDefault="00CF5755" w:rsidP="00CF5755">
            <w:pPr>
              <w:spacing w:after="160"/>
              <w:rPr>
                <w:rFonts w:ascii="Verdana" w:hAnsi="Verdana"/>
                <w:sz w:val="22"/>
                <w:szCs w:val="22"/>
              </w:rPr>
            </w:pPr>
            <w:r w:rsidRPr="00CF5755">
              <w:rPr>
                <w:rFonts w:ascii="Verdana" w:hAnsi="Verdana"/>
                <w:sz w:val="22"/>
                <w:szCs w:val="22"/>
              </w:rPr>
              <w:t>Lineamiento técnico de estrategia de acompañamiento psicosocial para el restablecimiento de derechos y contribución a la reparación integral de niños, niñas y adolescentes víctimas del conflicto armado</w:t>
            </w:r>
          </w:p>
        </w:tc>
      </w:tr>
      <w:tr w:rsidR="00CF5755" w:rsidRPr="00CF5755" w14:paraId="0A19FDF1" w14:textId="77777777" w:rsidTr="00CF5755">
        <w:tc>
          <w:tcPr>
            <w:tcW w:w="300" w:type="pct"/>
            <w:hideMark/>
          </w:tcPr>
          <w:p w14:paraId="7FC4F596" w14:textId="77777777" w:rsidR="00CF5755" w:rsidRPr="00CF5755" w:rsidRDefault="00CF5755" w:rsidP="00CF5755">
            <w:pPr>
              <w:spacing w:after="160"/>
              <w:rPr>
                <w:rFonts w:ascii="Verdana" w:hAnsi="Verdana"/>
                <w:sz w:val="22"/>
                <w:szCs w:val="22"/>
              </w:rPr>
            </w:pPr>
            <w:r w:rsidRPr="00CF5755">
              <w:rPr>
                <w:rFonts w:ascii="Verdana" w:hAnsi="Verdana"/>
                <w:sz w:val="22"/>
                <w:szCs w:val="22"/>
              </w:rPr>
              <w:t>13</w:t>
            </w:r>
          </w:p>
        </w:tc>
        <w:tc>
          <w:tcPr>
            <w:tcW w:w="700" w:type="pct"/>
            <w:hideMark/>
          </w:tcPr>
          <w:p w14:paraId="420E7AF2" w14:textId="77777777" w:rsidR="00CF5755" w:rsidRPr="00CF5755" w:rsidRDefault="00CF5755" w:rsidP="00CF5755">
            <w:pPr>
              <w:spacing w:after="160"/>
              <w:rPr>
                <w:rFonts w:ascii="Verdana" w:hAnsi="Verdana"/>
                <w:sz w:val="22"/>
                <w:szCs w:val="22"/>
              </w:rPr>
            </w:pPr>
            <w:r w:rsidRPr="00CF5755">
              <w:rPr>
                <w:rFonts w:ascii="Verdana" w:hAnsi="Verdana"/>
                <w:sz w:val="22"/>
                <w:szCs w:val="22"/>
              </w:rPr>
              <w:t>1524</w:t>
            </w:r>
          </w:p>
        </w:tc>
        <w:tc>
          <w:tcPr>
            <w:tcW w:w="750" w:type="pct"/>
            <w:hideMark/>
          </w:tcPr>
          <w:p w14:paraId="408F6EB4" w14:textId="77777777" w:rsidR="00CF5755" w:rsidRPr="00CF5755" w:rsidRDefault="00CF5755" w:rsidP="00CF5755">
            <w:pPr>
              <w:spacing w:after="160"/>
              <w:rPr>
                <w:rFonts w:ascii="Verdana" w:hAnsi="Verdana"/>
                <w:sz w:val="22"/>
                <w:szCs w:val="22"/>
              </w:rPr>
            </w:pPr>
            <w:r w:rsidRPr="00CF5755">
              <w:rPr>
                <w:rFonts w:ascii="Verdana" w:hAnsi="Verdana"/>
                <w:sz w:val="22"/>
                <w:szCs w:val="22"/>
              </w:rPr>
              <w:t>23 de febrero de 2016</w:t>
            </w:r>
          </w:p>
        </w:tc>
        <w:tc>
          <w:tcPr>
            <w:tcW w:w="3250" w:type="pct"/>
            <w:hideMark/>
          </w:tcPr>
          <w:p w14:paraId="5996D298" w14:textId="77777777" w:rsidR="00CF5755" w:rsidRPr="00CF5755" w:rsidRDefault="00CF5755" w:rsidP="00CF5755">
            <w:pPr>
              <w:spacing w:after="160"/>
              <w:rPr>
                <w:rFonts w:ascii="Verdana" w:hAnsi="Verdana"/>
                <w:sz w:val="22"/>
                <w:szCs w:val="22"/>
              </w:rPr>
            </w:pPr>
            <w:r w:rsidRPr="00CF5755">
              <w:rPr>
                <w:rFonts w:ascii="Verdana" w:hAnsi="Verdana"/>
                <w:sz w:val="22"/>
                <w:szCs w:val="22"/>
              </w:rPr>
              <w:t xml:space="preserve">Lineamiento técnico para la atención a niños, niñas y adolescentes </w:t>
            </w:r>
            <w:proofErr w:type="spellStart"/>
            <w:r w:rsidRPr="00CF5755">
              <w:rPr>
                <w:rFonts w:ascii="Verdana" w:hAnsi="Verdana"/>
                <w:sz w:val="22"/>
                <w:szCs w:val="22"/>
              </w:rPr>
              <w:t>victimas</w:t>
            </w:r>
            <w:proofErr w:type="spellEnd"/>
            <w:r w:rsidRPr="00CF5755">
              <w:rPr>
                <w:rFonts w:ascii="Verdana" w:hAnsi="Verdana"/>
                <w:sz w:val="22"/>
                <w:szCs w:val="22"/>
              </w:rPr>
              <w:t xml:space="preserve"> del desplazamiento forzado - Unidades Móviles</w:t>
            </w:r>
          </w:p>
        </w:tc>
      </w:tr>
      <w:tr w:rsidR="00CF5755" w:rsidRPr="00CF5755" w14:paraId="17D57264" w14:textId="77777777" w:rsidTr="00CF5755">
        <w:tc>
          <w:tcPr>
            <w:tcW w:w="300" w:type="pct"/>
            <w:hideMark/>
          </w:tcPr>
          <w:p w14:paraId="222FCF88" w14:textId="77777777" w:rsidR="00CF5755" w:rsidRPr="00CF5755" w:rsidRDefault="00CF5755" w:rsidP="00CF5755">
            <w:pPr>
              <w:spacing w:after="160"/>
              <w:rPr>
                <w:rFonts w:ascii="Verdana" w:hAnsi="Verdana"/>
                <w:sz w:val="22"/>
                <w:szCs w:val="22"/>
              </w:rPr>
            </w:pPr>
            <w:r w:rsidRPr="00CF5755">
              <w:rPr>
                <w:rFonts w:ascii="Verdana" w:hAnsi="Verdana"/>
                <w:sz w:val="22"/>
                <w:szCs w:val="22"/>
              </w:rPr>
              <w:t>14</w:t>
            </w:r>
          </w:p>
        </w:tc>
        <w:tc>
          <w:tcPr>
            <w:tcW w:w="700" w:type="pct"/>
            <w:hideMark/>
          </w:tcPr>
          <w:p w14:paraId="1F396B1A" w14:textId="77777777" w:rsidR="00CF5755" w:rsidRPr="00CF5755" w:rsidRDefault="00CF5755" w:rsidP="00CF5755">
            <w:pPr>
              <w:spacing w:after="160"/>
              <w:rPr>
                <w:rFonts w:ascii="Verdana" w:hAnsi="Verdana"/>
                <w:sz w:val="22"/>
                <w:szCs w:val="22"/>
              </w:rPr>
            </w:pPr>
            <w:r w:rsidRPr="00CF5755">
              <w:rPr>
                <w:rFonts w:ascii="Verdana" w:hAnsi="Verdana"/>
                <w:sz w:val="22"/>
                <w:szCs w:val="22"/>
              </w:rPr>
              <w:t>1525</w:t>
            </w:r>
          </w:p>
        </w:tc>
        <w:tc>
          <w:tcPr>
            <w:tcW w:w="750" w:type="pct"/>
            <w:hideMark/>
          </w:tcPr>
          <w:p w14:paraId="78CE7DFD" w14:textId="77777777" w:rsidR="00CF5755" w:rsidRPr="00CF5755" w:rsidRDefault="00CF5755" w:rsidP="00CF5755">
            <w:pPr>
              <w:spacing w:after="160"/>
              <w:rPr>
                <w:rFonts w:ascii="Verdana" w:hAnsi="Verdana"/>
                <w:sz w:val="22"/>
                <w:szCs w:val="22"/>
              </w:rPr>
            </w:pPr>
            <w:r w:rsidRPr="00CF5755">
              <w:rPr>
                <w:rFonts w:ascii="Verdana" w:hAnsi="Verdana"/>
                <w:sz w:val="22"/>
                <w:szCs w:val="22"/>
              </w:rPr>
              <w:t>23 de febrero de 2016</w:t>
            </w:r>
          </w:p>
        </w:tc>
        <w:tc>
          <w:tcPr>
            <w:tcW w:w="3250" w:type="pct"/>
            <w:hideMark/>
          </w:tcPr>
          <w:p w14:paraId="24C43FEF" w14:textId="77777777" w:rsidR="00CF5755" w:rsidRPr="00CF5755" w:rsidRDefault="00CF5755" w:rsidP="00CF5755">
            <w:pPr>
              <w:spacing w:after="160"/>
              <w:rPr>
                <w:rFonts w:ascii="Verdana" w:hAnsi="Verdana"/>
                <w:sz w:val="22"/>
                <w:szCs w:val="22"/>
              </w:rPr>
            </w:pPr>
            <w:r w:rsidRPr="00CF5755">
              <w:rPr>
                <w:rFonts w:ascii="Verdana" w:hAnsi="Verdana"/>
                <w:sz w:val="22"/>
                <w:szCs w:val="22"/>
              </w:rPr>
              <w:t xml:space="preserve">Lineamiento Técnico de las modalidades del programa de atención especializada para el restablecimiento de derechos a niños, niñas y adolescentes </w:t>
            </w:r>
            <w:proofErr w:type="spellStart"/>
            <w:r w:rsidRPr="00CF5755">
              <w:rPr>
                <w:rFonts w:ascii="Verdana" w:hAnsi="Verdana"/>
                <w:sz w:val="22"/>
                <w:szCs w:val="22"/>
              </w:rPr>
              <w:t>victimas</w:t>
            </w:r>
            <w:proofErr w:type="spellEnd"/>
            <w:r w:rsidRPr="00CF5755">
              <w:rPr>
                <w:rFonts w:ascii="Verdana" w:hAnsi="Verdana"/>
                <w:sz w:val="22"/>
                <w:szCs w:val="22"/>
              </w:rPr>
              <w:t xml:space="preserve"> de reclutamiento ilícito, que se han desvinculado de grupos armados organizados al margen de la Ley y contribución al proceso de reparación integral</w:t>
            </w:r>
          </w:p>
        </w:tc>
      </w:tr>
      <w:tr w:rsidR="00CF5755" w:rsidRPr="00CF5755" w14:paraId="32871B35" w14:textId="77777777" w:rsidTr="00CF5755">
        <w:tc>
          <w:tcPr>
            <w:tcW w:w="300" w:type="pct"/>
            <w:hideMark/>
          </w:tcPr>
          <w:p w14:paraId="72923380" w14:textId="77777777" w:rsidR="00CF5755" w:rsidRPr="00CF5755" w:rsidRDefault="00CF5755" w:rsidP="00CF5755">
            <w:pPr>
              <w:spacing w:after="160"/>
              <w:rPr>
                <w:rFonts w:ascii="Verdana" w:hAnsi="Verdana"/>
                <w:sz w:val="22"/>
                <w:szCs w:val="22"/>
              </w:rPr>
            </w:pPr>
            <w:r w:rsidRPr="00CF5755">
              <w:rPr>
                <w:rFonts w:ascii="Verdana" w:hAnsi="Verdana"/>
                <w:sz w:val="22"/>
                <w:szCs w:val="22"/>
              </w:rPr>
              <w:t>15</w:t>
            </w:r>
          </w:p>
        </w:tc>
        <w:tc>
          <w:tcPr>
            <w:tcW w:w="700" w:type="pct"/>
            <w:hideMark/>
          </w:tcPr>
          <w:p w14:paraId="6DCEB926" w14:textId="77777777" w:rsidR="00CF5755" w:rsidRPr="00CF5755" w:rsidRDefault="00CF5755" w:rsidP="00CF5755">
            <w:pPr>
              <w:spacing w:after="160"/>
              <w:rPr>
                <w:rFonts w:ascii="Verdana" w:hAnsi="Verdana"/>
                <w:sz w:val="22"/>
                <w:szCs w:val="22"/>
              </w:rPr>
            </w:pPr>
            <w:r w:rsidRPr="00CF5755">
              <w:rPr>
                <w:rFonts w:ascii="Verdana" w:hAnsi="Verdana"/>
                <w:sz w:val="22"/>
                <w:szCs w:val="22"/>
              </w:rPr>
              <w:t>1526</w:t>
            </w:r>
          </w:p>
        </w:tc>
        <w:tc>
          <w:tcPr>
            <w:tcW w:w="750" w:type="pct"/>
            <w:hideMark/>
          </w:tcPr>
          <w:p w14:paraId="2EA1C631" w14:textId="77777777" w:rsidR="00CF5755" w:rsidRPr="00CF5755" w:rsidRDefault="00CF5755" w:rsidP="00CF5755">
            <w:pPr>
              <w:spacing w:after="160"/>
              <w:rPr>
                <w:rFonts w:ascii="Verdana" w:hAnsi="Verdana"/>
                <w:sz w:val="22"/>
                <w:szCs w:val="22"/>
              </w:rPr>
            </w:pPr>
            <w:r w:rsidRPr="00CF5755">
              <w:rPr>
                <w:rFonts w:ascii="Verdana" w:hAnsi="Verdana"/>
                <w:sz w:val="22"/>
                <w:szCs w:val="22"/>
              </w:rPr>
              <w:t>23 de febrero de 2016</w:t>
            </w:r>
          </w:p>
        </w:tc>
        <w:tc>
          <w:tcPr>
            <w:tcW w:w="3250" w:type="pct"/>
            <w:hideMark/>
          </w:tcPr>
          <w:p w14:paraId="0F3D021F" w14:textId="77777777" w:rsidR="00CF5755" w:rsidRPr="00CF5755" w:rsidRDefault="00CF5755" w:rsidP="00CF5755">
            <w:pPr>
              <w:spacing w:after="160"/>
              <w:rPr>
                <w:rFonts w:ascii="Verdana" w:hAnsi="Verdana"/>
                <w:sz w:val="22"/>
                <w:szCs w:val="22"/>
              </w:rPr>
            </w:pPr>
            <w:r w:rsidRPr="00CF5755">
              <w:rPr>
                <w:rFonts w:ascii="Verdana" w:hAnsi="Verdana"/>
                <w:sz w:val="22"/>
                <w:szCs w:val="22"/>
              </w:rPr>
              <w:t>Lineamiento Técnico administrativo de ruta de actuaciones para el restablecimiento de derechos de niños, las niñas y adolescente, con sus derechos inobservados, amenazados o vulnerados.</w:t>
            </w:r>
          </w:p>
        </w:tc>
      </w:tr>
      <w:tr w:rsidR="00CF5755" w:rsidRPr="00CF5755" w14:paraId="04C4A269" w14:textId="77777777" w:rsidTr="00CF5755">
        <w:tc>
          <w:tcPr>
            <w:tcW w:w="300" w:type="pct"/>
            <w:hideMark/>
          </w:tcPr>
          <w:p w14:paraId="042B7FB9" w14:textId="77777777" w:rsidR="00CF5755" w:rsidRPr="00CF5755" w:rsidRDefault="00CF5755" w:rsidP="00CF5755">
            <w:pPr>
              <w:spacing w:after="160"/>
              <w:rPr>
                <w:rFonts w:ascii="Verdana" w:hAnsi="Verdana"/>
                <w:sz w:val="22"/>
                <w:szCs w:val="22"/>
              </w:rPr>
            </w:pPr>
            <w:r w:rsidRPr="00CF5755">
              <w:rPr>
                <w:rFonts w:ascii="Verdana" w:hAnsi="Verdana"/>
                <w:sz w:val="22"/>
                <w:szCs w:val="22"/>
              </w:rPr>
              <w:t>16</w:t>
            </w:r>
          </w:p>
        </w:tc>
        <w:tc>
          <w:tcPr>
            <w:tcW w:w="700" w:type="pct"/>
            <w:hideMark/>
          </w:tcPr>
          <w:p w14:paraId="13CF89EB" w14:textId="77777777" w:rsidR="00CF5755" w:rsidRPr="00CF5755" w:rsidRDefault="00CF5755" w:rsidP="00CF5755">
            <w:pPr>
              <w:spacing w:after="160"/>
              <w:rPr>
                <w:rFonts w:ascii="Verdana" w:hAnsi="Verdana"/>
                <w:sz w:val="22"/>
                <w:szCs w:val="22"/>
              </w:rPr>
            </w:pPr>
            <w:r w:rsidRPr="00CF5755">
              <w:rPr>
                <w:rFonts w:ascii="Verdana" w:hAnsi="Verdana"/>
                <w:sz w:val="22"/>
                <w:szCs w:val="22"/>
              </w:rPr>
              <w:t>6022</w:t>
            </w:r>
          </w:p>
        </w:tc>
        <w:tc>
          <w:tcPr>
            <w:tcW w:w="750" w:type="pct"/>
            <w:hideMark/>
          </w:tcPr>
          <w:p w14:paraId="1BEAA835" w14:textId="77777777" w:rsidR="00CF5755" w:rsidRPr="00CF5755" w:rsidRDefault="00CF5755" w:rsidP="00CF5755">
            <w:pPr>
              <w:spacing w:after="160"/>
              <w:rPr>
                <w:rFonts w:ascii="Verdana" w:hAnsi="Verdana"/>
                <w:sz w:val="22"/>
                <w:szCs w:val="22"/>
              </w:rPr>
            </w:pPr>
            <w:r w:rsidRPr="00CF5755">
              <w:rPr>
                <w:rFonts w:ascii="Verdana" w:hAnsi="Verdana"/>
                <w:sz w:val="22"/>
                <w:szCs w:val="22"/>
              </w:rPr>
              <w:t>30 diciembre de 2010</w:t>
            </w:r>
          </w:p>
        </w:tc>
        <w:tc>
          <w:tcPr>
            <w:tcW w:w="3250" w:type="pct"/>
            <w:hideMark/>
          </w:tcPr>
          <w:p w14:paraId="1443B6B3" w14:textId="77777777" w:rsidR="00CF5755" w:rsidRPr="00CF5755" w:rsidRDefault="00CF5755" w:rsidP="00CF5755">
            <w:pPr>
              <w:spacing w:after="160"/>
              <w:rPr>
                <w:rFonts w:ascii="Verdana" w:hAnsi="Verdana"/>
                <w:sz w:val="22"/>
                <w:szCs w:val="22"/>
              </w:rPr>
            </w:pPr>
            <w:r w:rsidRPr="00CF5755">
              <w:rPr>
                <w:rFonts w:ascii="Verdana" w:hAnsi="Verdana"/>
                <w:sz w:val="22"/>
                <w:szCs w:val="22"/>
              </w:rPr>
              <w:t>Lineamiento Técnico para el Programa Especializado de Atención a: Niños, niñas, adolescentes Víctimas de Violencia Sexual con sus Derechos Amenazados, Inobservados o vulnerados.</w:t>
            </w:r>
          </w:p>
        </w:tc>
      </w:tr>
    </w:tbl>
    <w:p w14:paraId="55AC63F3" w14:textId="77777777" w:rsidR="00CF5755" w:rsidRDefault="00CF5755" w:rsidP="00182C8A">
      <w:pPr>
        <w:rPr>
          <w:rFonts w:ascii="Verdana" w:hAnsi="Verdana"/>
          <w:sz w:val="22"/>
          <w:szCs w:val="22"/>
        </w:rPr>
      </w:pPr>
    </w:p>
    <w:p w14:paraId="68955608" w14:textId="78285152" w:rsidR="00D10C8D" w:rsidRPr="00CF5755" w:rsidRDefault="00D10C8D" w:rsidP="00CF5755">
      <w:pPr>
        <w:pStyle w:val="Prrafodelista"/>
        <w:numPr>
          <w:ilvl w:val="0"/>
          <w:numId w:val="1"/>
        </w:numPr>
        <w:rPr>
          <w:rFonts w:ascii="Verdana" w:hAnsi="Verdana"/>
          <w:sz w:val="22"/>
          <w:szCs w:val="22"/>
        </w:rPr>
      </w:pPr>
      <w:r w:rsidRPr="00CF5755">
        <w:rPr>
          <w:rFonts w:ascii="Verdana" w:hAnsi="Verdana"/>
          <w:sz w:val="22"/>
          <w:szCs w:val="22"/>
        </w:rPr>
        <w:t>Que se hace necesario actualizar las fichas I-31, I-32, I-33, I-34, I-35, I-36, I-38 e I-39, teniendo en cuenta que se presentaron cambios en los siguientes ítems:</w:t>
      </w:r>
    </w:p>
    <w:p w14:paraId="56125F2E" w14:textId="01677448" w:rsidR="00D10C8D" w:rsidRPr="00B6719B" w:rsidRDefault="00D10C8D" w:rsidP="00B6719B">
      <w:pPr>
        <w:pStyle w:val="Prrafodelista"/>
        <w:numPr>
          <w:ilvl w:val="0"/>
          <w:numId w:val="2"/>
        </w:numPr>
        <w:rPr>
          <w:rFonts w:ascii="Verdana" w:hAnsi="Verdana"/>
          <w:sz w:val="22"/>
          <w:szCs w:val="22"/>
        </w:rPr>
      </w:pPr>
      <w:r w:rsidRPr="00B6719B">
        <w:rPr>
          <w:rFonts w:ascii="Verdana" w:hAnsi="Verdana"/>
          <w:sz w:val="22"/>
          <w:szCs w:val="22"/>
        </w:rPr>
        <w:t xml:space="preserve">Modalidad: Nombres de </w:t>
      </w:r>
      <w:proofErr w:type="gramStart"/>
      <w:r w:rsidRPr="00B6719B">
        <w:rPr>
          <w:rFonts w:ascii="Verdana" w:hAnsi="Verdana"/>
          <w:sz w:val="22"/>
          <w:szCs w:val="22"/>
        </w:rPr>
        <w:t>las mismas</w:t>
      </w:r>
      <w:proofErr w:type="gramEnd"/>
      <w:r w:rsidRPr="00B6719B">
        <w:rPr>
          <w:rFonts w:ascii="Verdana" w:hAnsi="Verdana"/>
          <w:sz w:val="22"/>
          <w:szCs w:val="22"/>
        </w:rPr>
        <w:t xml:space="preserve"> de acuerdo con los nuevos lineamientos técnicos.</w:t>
      </w:r>
    </w:p>
    <w:p w14:paraId="63E0DD9A" w14:textId="2BAC01E5" w:rsidR="00D10C8D" w:rsidRPr="00B6719B" w:rsidRDefault="00D10C8D" w:rsidP="00B6719B">
      <w:pPr>
        <w:pStyle w:val="Prrafodelista"/>
        <w:numPr>
          <w:ilvl w:val="0"/>
          <w:numId w:val="2"/>
        </w:numPr>
        <w:rPr>
          <w:rFonts w:ascii="Verdana" w:hAnsi="Verdana"/>
          <w:sz w:val="22"/>
          <w:szCs w:val="22"/>
        </w:rPr>
      </w:pPr>
      <w:r w:rsidRPr="00B6719B">
        <w:rPr>
          <w:rFonts w:ascii="Verdana" w:hAnsi="Verdana"/>
          <w:sz w:val="22"/>
          <w:szCs w:val="22"/>
        </w:rPr>
        <w:t>Objetivos: Modificaciones al objetivo general y objetivos específicos de acuerdo con lo establecido en los nuevos lineamientos técnicos.</w:t>
      </w:r>
    </w:p>
    <w:p w14:paraId="204475DD" w14:textId="7E073FF3" w:rsidR="00D10C8D" w:rsidRPr="00B6719B" w:rsidRDefault="00D10C8D" w:rsidP="00B6719B">
      <w:pPr>
        <w:pStyle w:val="Prrafodelista"/>
        <w:numPr>
          <w:ilvl w:val="0"/>
          <w:numId w:val="2"/>
        </w:numPr>
        <w:rPr>
          <w:rFonts w:ascii="Verdana" w:hAnsi="Verdana"/>
          <w:sz w:val="22"/>
          <w:szCs w:val="22"/>
        </w:rPr>
      </w:pPr>
      <w:r w:rsidRPr="00B6719B">
        <w:rPr>
          <w:rFonts w:ascii="Verdana" w:hAnsi="Verdana"/>
          <w:sz w:val="22"/>
          <w:szCs w:val="22"/>
        </w:rPr>
        <w:t>Población objetivo: Se precisa sobre la población que se atiende mediante las modalidades de cada uno de los rubros, teniendo en cuenta lo definido en cada lineamiento técnico.</w:t>
      </w:r>
    </w:p>
    <w:p w14:paraId="750C7C74" w14:textId="4A4DADBC" w:rsidR="00D10C8D" w:rsidRPr="00B6719B" w:rsidRDefault="00D10C8D" w:rsidP="00B6719B">
      <w:pPr>
        <w:pStyle w:val="Prrafodelista"/>
        <w:numPr>
          <w:ilvl w:val="0"/>
          <w:numId w:val="2"/>
        </w:numPr>
        <w:rPr>
          <w:rFonts w:ascii="Verdana" w:hAnsi="Verdana"/>
          <w:sz w:val="22"/>
          <w:szCs w:val="22"/>
        </w:rPr>
      </w:pPr>
      <w:r w:rsidRPr="00B6719B">
        <w:rPr>
          <w:rFonts w:ascii="Verdana" w:hAnsi="Verdana"/>
          <w:sz w:val="22"/>
          <w:szCs w:val="22"/>
        </w:rPr>
        <w:t>Parámetros: en esta parte se realizaron ajustes en cuanto a:</w:t>
      </w:r>
    </w:p>
    <w:p w14:paraId="1A147733" w14:textId="008F84CE" w:rsidR="00D10C8D" w:rsidRPr="00B6719B" w:rsidRDefault="00D10C8D" w:rsidP="00B6719B">
      <w:pPr>
        <w:pStyle w:val="Prrafodelista"/>
        <w:numPr>
          <w:ilvl w:val="1"/>
          <w:numId w:val="2"/>
        </w:numPr>
        <w:rPr>
          <w:rFonts w:ascii="Verdana" w:hAnsi="Verdana"/>
          <w:sz w:val="22"/>
          <w:szCs w:val="22"/>
        </w:rPr>
      </w:pPr>
      <w:r w:rsidRPr="00B6719B">
        <w:rPr>
          <w:rFonts w:ascii="Verdana" w:hAnsi="Verdana"/>
          <w:sz w:val="22"/>
          <w:szCs w:val="22"/>
        </w:rPr>
        <w:lastRenderedPageBreak/>
        <w:t>Rotación: la rotación de los beneficiarios está determinada por lo que establece la Autoridad Administrativa en cuanto a la permanencia del niño, niña y/o adolescente en la medida.</w:t>
      </w:r>
    </w:p>
    <w:p w14:paraId="59B1ADE4" w14:textId="1B4719C6" w:rsidR="00D10C8D" w:rsidRPr="00B6719B" w:rsidRDefault="00D10C8D" w:rsidP="00B6719B">
      <w:pPr>
        <w:pStyle w:val="Prrafodelista"/>
        <w:numPr>
          <w:ilvl w:val="1"/>
          <w:numId w:val="2"/>
        </w:numPr>
        <w:rPr>
          <w:rFonts w:ascii="Verdana" w:hAnsi="Verdana"/>
          <w:sz w:val="22"/>
          <w:szCs w:val="22"/>
        </w:rPr>
      </w:pPr>
      <w:r w:rsidRPr="00B6719B">
        <w:rPr>
          <w:rFonts w:ascii="Verdana" w:hAnsi="Verdana"/>
          <w:sz w:val="22"/>
          <w:szCs w:val="22"/>
        </w:rPr>
        <w:t>Costo: con la expedición de los nuevos lineamientos técnicos se realizaron a incrementos a las tarifas establecidas para la vigencia 2016, consecuentes con las exigencias de atención que traen estos nuevos lineamientos, determinadas con estudio de canastas con acompañamiento de la Dirección de Abastecimiento.</w:t>
      </w:r>
    </w:p>
    <w:p w14:paraId="2303EFAC" w14:textId="3F3497C0" w:rsidR="00D10C8D" w:rsidRPr="00B6719B" w:rsidRDefault="00D10C8D" w:rsidP="00B6719B">
      <w:pPr>
        <w:pStyle w:val="Prrafodelista"/>
        <w:numPr>
          <w:ilvl w:val="0"/>
          <w:numId w:val="2"/>
        </w:numPr>
        <w:rPr>
          <w:rFonts w:ascii="Verdana" w:hAnsi="Verdana"/>
          <w:sz w:val="22"/>
          <w:szCs w:val="22"/>
        </w:rPr>
      </w:pPr>
      <w:r w:rsidRPr="00B6719B">
        <w:rPr>
          <w:rFonts w:ascii="Verdana" w:hAnsi="Verdana"/>
          <w:sz w:val="22"/>
          <w:szCs w:val="22"/>
        </w:rPr>
        <w:t>Clasificadores del Gasto: en los lineamientos técnicos del modelo para la atención de los niños, las niñas y adolescente, con derechos inobservados, amenazados o vulnerados, y Modelo de Atención para Adolescentes y Jóvenes en Conflicto con la Ley - SRPA, se establecen los clasificadores del gasto para cada una de las modalidades de protección, por lo que en la modificación solicitada se hace referencia a las resoluciones que aprueban estos lineamientos técnicos y se incluye los anexos 3 y 4 que contiene la tabla de los clasificadores del gasto según el caso.</w:t>
      </w:r>
    </w:p>
    <w:p w14:paraId="1686631C" w14:textId="77777777" w:rsidR="00B6719B" w:rsidRDefault="00D10C8D" w:rsidP="00182C8A">
      <w:pPr>
        <w:pStyle w:val="Prrafodelista"/>
        <w:numPr>
          <w:ilvl w:val="0"/>
          <w:numId w:val="1"/>
        </w:numPr>
        <w:rPr>
          <w:rFonts w:ascii="Verdana" w:hAnsi="Verdana"/>
          <w:sz w:val="22"/>
          <w:szCs w:val="22"/>
        </w:rPr>
      </w:pPr>
      <w:r w:rsidRPr="00B6719B">
        <w:rPr>
          <w:rFonts w:ascii="Verdana" w:hAnsi="Verdana"/>
          <w:sz w:val="22"/>
          <w:szCs w:val="22"/>
        </w:rPr>
        <w:t>Que para la modificación de la ficha existe el análisis de viabilidad técnica expedido por las dependencias responsables de los temas contenidos en ellas.</w:t>
      </w:r>
    </w:p>
    <w:p w14:paraId="78CF3A44" w14:textId="3C97B92F" w:rsidR="00D10C8D" w:rsidRPr="00B6719B" w:rsidRDefault="00D10C8D" w:rsidP="00182C8A">
      <w:pPr>
        <w:pStyle w:val="Prrafodelista"/>
        <w:numPr>
          <w:ilvl w:val="0"/>
          <w:numId w:val="1"/>
        </w:numPr>
        <w:rPr>
          <w:rFonts w:ascii="Verdana" w:hAnsi="Verdana"/>
          <w:sz w:val="22"/>
          <w:szCs w:val="22"/>
        </w:rPr>
      </w:pPr>
      <w:proofErr w:type="gramStart"/>
      <w:r w:rsidRPr="00B6719B">
        <w:rPr>
          <w:rFonts w:ascii="Verdana" w:hAnsi="Verdana"/>
          <w:sz w:val="22"/>
          <w:szCs w:val="22"/>
        </w:rPr>
        <w:t>Que</w:t>
      </w:r>
      <w:proofErr w:type="gramEnd"/>
      <w:r w:rsidRPr="00B6719B">
        <w:rPr>
          <w:rFonts w:ascii="Verdana" w:hAnsi="Verdana"/>
          <w:sz w:val="22"/>
          <w:szCs w:val="22"/>
        </w:rPr>
        <w:t xml:space="preserve"> en mérito de lo expuesto,</w:t>
      </w:r>
    </w:p>
    <w:p w14:paraId="40FB2B3A" w14:textId="6FD6CE65" w:rsidR="00D10C8D" w:rsidRPr="00B6719B" w:rsidRDefault="00D10C8D" w:rsidP="00B6719B">
      <w:pPr>
        <w:jc w:val="center"/>
        <w:rPr>
          <w:rFonts w:ascii="Verdana" w:hAnsi="Verdana"/>
          <w:b/>
          <w:bCs/>
          <w:sz w:val="22"/>
          <w:szCs w:val="22"/>
        </w:rPr>
      </w:pPr>
      <w:r w:rsidRPr="00B6719B">
        <w:rPr>
          <w:rFonts w:ascii="Verdana" w:hAnsi="Verdana"/>
          <w:b/>
          <w:bCs/>
          <w:sz w:val="22"/>
          <w:szCs w:val="22"/>
        </w:rPr>
        <w:t>RESUELVE</w:t>
      </w:r>
      <w:r w:rsidR="00B6719B" w:rsidRPr="00B6719B">
        <w:rPr>
          <w:rFonts w:ascii="Verdana" w:hAnsi="Verdana"/>
          <w:b/>
          <w:bCs/>
          <w:sz w:val="22"/>
          <w:szCs w:val="22"/>
        </w:rPr>
        <w:t>:</w:t>
      </w:r>
    </w:p>
    <w:p w14:paraId="2FB18774" w14:textId="6ADE1E4F" w:rsidR="00D10C8D" w:rsidRPr="00182C8A" w:rsidRDefault="00D10C8D" w:rsidP="00182C8A">
      <w:pPr>
        <w:rPr>
          <w:rFonts w:ascii="Verdana" w:hAnsi="Verdana"/>
          <w:sz w:val="22"/>
          <w:szCs w:val="22"/>
        </w:rPr>
      </w:pPr>
      <w:r w:rsidRPr="00B6719B">
        <w:rPr>
          <w:rFonts w:ascii="Verdana" w:hAnsi="Verdana"/>
          <w:b/>
          <w:bCs/>
          <w:sz w:val="22"/>
          <w:szCs w:val="22"/>
        </w:rPr>
        <w:t xml:space="preserve">ARTÍCULO </w:t>
      </w:r>
      <w:r w:rsidR="00B6719B" w:rsidRPr="00B6719B">
        <w:rPr>
          <w:rFonts w:ascii="Verdana" w:hAnsi="Verdana"/>
          <w:b/>
          <w:bCs/>
          <w:sz w:val="22"/>
          <w:szCs w:val="22"/>
        </w:rPr>
        <w:t>1o</w:t>
      </w:r>
      <w:r w:rsidRPr="00B6719B">
        <w:rPr>
          <w:rFonts w:ascii="Verdana" w:hAnsi="Verdana"/>
          <w:b/>
          <w:bCs/>
          <w:sz w:val="22"/>
          <w:szCs w:val="22"/>
        </w:rPr>
        <w:t>.</w:t>
      </w:r>
      <w:r w:rsidRPr="00182C8A">
        <w:rPr>
          <w:rFonts w:ascii="Verdana" w:hAnsi="Verdana"/>
          <w:sz w:val="22"/>
          <w:szCs w:val="22"/>
        </w:rPr>
        <w:t xml:space="preserve"> Modifíquese las fichas I-31, I-32, I-33, I-34, I-35, I-36 e I-39 de los Lineamientos de Programación y Ejecución de Metas Sociales y Financieras - Vigencia 2016 que hace parte de la Resolución 001 de 2016, correspondiente al identificador presupuestal C320-1504-7-101, C320-1504-7-102, C320-1504-7-103, C320-1504-7-104, C320-1504-7-105, C320-1504-7-106 y C320-1504-7-110, respectivamente y hacen parte del proyecto PROTECCIÓN - ACCIONES PARA PRESERVAR Y RESTITUIR EL EJERCICIO INTEGRAL DE LOS DERECHOS DE LA NIÑEZ Y LA FAMILIA en los ítems Modalidad, objetivo general y objetivos específicos, población objetivo, parámetros -rotación, costo; y clasificadores del gasto, en cumplimiento con los lineamientos técnicos, así:</w:t>
      </w:r>
    </w:p>
    <w:p w14:paraId="48A63419" w14:textId="77777777" w:rsidR="00D10C8D" w:rsidRPr="00182C8A" w:rsidRDefault="00D10C8D" w:rsidP="00182C8A">
      <w:pPr>
        <w:rPr>
          <w:rFonts w:ascii="Verdana" w:hAnsi="Verdana"/>
          <w:sz w:val="22"/>
          <w:szCs w:val="22"/>
        </w:rPr>
      </w:pPr>
    </w:p>
    <w:p w14:paraId="09F0327D" w14:textId="5EE2ED0D" w:rsidR="00D10C8D" w:rsidRPr="00182C8A" w:rsidRDefault="00D10C8D" w:rsidP="00182C8A">
      <w:pPr>
        <w:rPr>
          <w:rFonts w:ascii="Verdana" w:hAnsi="Verdana"/>
          <w:sz w:val="22"/>
          <w:szCs w:val="22"/>
        </w:rPr>
      </w:pPr>
      <w:r w:rsidRPr="006E20AD">
        <w:rPr>
          <w:rFonts w:ascii="Verdana" w:hAnsi="Verdana"/>
          <w:b/>
          <w:bCs/>
          <w:sz w:val="22"/>
          <w:szCs w:val="22"/>
        </w:rPr>
        <w:t xml:space="preserve">ARTÍCULO </w:t>
      </w:r>
      <w:r w:rsidR="006E20AD" w:rsidRPr="006E20AD">
        <w:rPr>
          <w:rFonts w:ascii="Verdana" w:hAnsi="Verdana"/>
          <w:b/>
          <w:bCs/>
          <w:sz w:val="22"/>
          <w:szCs w:val="22"/>
        </w:rPr>
        <w:t>2o</w:t>
      </w:r>
      <w:r w:rsidRPr="006E20AD">
        <w:rPr>
          <w:rFonts w:ascii="Verdana" w:hAnsi="Verdana"/>
          <w:b/>
          <w:bCs/>
          <w:sz w:val="22"/>
          <w:szCs w:val="22"/>
        </w:rPr>
        <w:t>.</w:t>
      </w:r>
      <w:r w:rsidRPr="00182C8A">
        <w:rPr>
          <w:rFonts w:ascii="Verdana" w:hAnsi="Verdana"/>
          <w:sz w:val="22"/>
          <w:szCs w:val="22"/>
        </w:rPr>
        <w:t xml:space="preserve"> La presente Resolución rige a partir de la fecha de su expedición.</w:t>
      </w:r>
    </w:p>
    <w:p w14:paraId="0F133DCA" w14:textId="103E99B0" w:rsidR="00D10C8D" w:rsidRPr="006E20AD" w:rsidRDefault="00D10C8D" w:rsidP="006E20AD">
      <w:pPr>
        <w:jc w:val="center"/>
        <w:rPr>
          <w:rFonts w:ascii="Verdana" w:hAnsi="Verdana"/>
          <w:b/>
          <w:bCs/>
          <w:sz w:val="22"/>
          <w:szCs w:val="22"/>
        </w:rPr>
      </w:pPr>
      <w:r w:rsidRPr="006E20AD">
        <w:rPr>
          <w:rFonts w:ascii="Verdana" w:hAnsi="Verdana"/>
          <w:b/>
          <w:bCs/>
          <w:sz w:val="22"/>
          <w:szCs w:val="22"/>
        </w:rPr>
        <w:t>COMUNÍQUESE Y CÚMPLASE</w:t>
      </w:r>
    </w:p>
    <w:p w14:paraId="70362155" w14:textId="5B097D99" w:rsidR="00D10C8D" w:rsidRPr="00182C8A" w:rsidRDefault="00D10C8D" w:rsidP="006E20AD">
      <w:pPr>
        <w:jc w:val="center"/>
        <w:rPr>
          <w:rFonts w:ascii="Verdana" w:hAnsi="Verdana"/>
          <w:sz w:val="22"/>
          <w:szCs w:val="22"/>
        </w:rPr>
      </w:pPr>
      <w:r w:rsidRPr="00182C8A">
        <w:rPr>
          <w:rFonts w:ascii="Verdana" w:hAnsi="Verdana"/>
          <w:sz w:val="22"/>
          <w:szCs w:val="22"/>
        </w:rPr>
        <w:t xml:space="preserve">Dada en Riohacha, </w:t>
      </w:r>
      <w:r w:rsidR="006E20AD">
        <w:rPr>
          <w:rFonts w:ascii="Verdana" w:hAnsi="Verdana"/>
          <w:sz w:val="22"/>
          <w:szCs w:val="22"/>
        </w:rPr>
        <w:t xml:space="preserve">el 1 día del mes de abril de </w:t>
      </w:r>
      <w:r w:rsidRPr="00182C8A">
        <w:rPr>
          <w:rFonts w:ascii="Verdana" w:hAnsi="Verdana"/>
          <w:sz w:val="22"/>
          <w:szCs w:val="22"/>
        </w:rPr>
        <w:t>2016</w:t>
      </w:r>
    </w:p>
    <w:p w14:paraId="72F07358" w14:textId="76895864" w:rsidR="00D10C8D" w:rsidRPr="006E20AD" w:rsidRDefault="00D10C8D" w:rsidP="006E20AD">
      <w:pPr>
        <w:jc w:val="center"/>
        <w:rPr>
          <w:rFonts w:ascii="Verdana" w:hAnsi="Verdana"/>
          <w:b/>
          <w:bCs/>
          <w:sz w:val="22"/>
          <w:szCs w:val="22"/>
        </w:rPr>
      </w:pPr>
      <w:r w:rsidRPr="006E20AD">
        <w:rPr>
          <w:rFonts w:ascii="Verdana" w:hAnsi="Verdana"/>
          <w:b/>
          <w:bCs/>
          <w:sz w:val="22"/>
          <w:szCs w:val="22"/>
        </w:rPr>
        <w:t>CRISTINA PLAZAS MICHELSEN</w:t>
      </w:r>
    </w:p>
    <w:p w14:paraId="0D85FDC5" w14:textId="381ADE44" w:rsidR="00D10C8D" w:rsidRPr="00182C8A" w:rsidRDefault="006E20AD" w:rsidP="006E20AD">
      <w:pPr>
        <w:jc w:val="center"/>
        <w:rPr>
          <w:rFonts w:ascii="Verdana" w:hAnsi="Verdana"/>
          <w:sz w:val="22"/>
          <w:szCs w:val="22"/>
        </w:rPr>
      </w:pPr>
      <w:r w:rsidRPr="00182C8A">
        <w:rPr>
          <w:rFonts w:ascii="Verdana" w:hAnsi="Verdana"/>
          <w:sz w:val="22"/>
          <w:szCs w:val="22"/>
        </w:rPr>
        <w:t>DIRECTORA GENERAL</w:t>
      </w:r>
    </w:p>
    <w:p w14:paraId="66B558BB" w14:textId="092DB677" w:rsidR="0088588F" w:rsidRPr="00182C8A" w:rsidRDefault="0088588F" w:rsidP="00182C8A">
      <w:pPr>
        <w:rPr>
          <w:rFonts w:ascii="Verdana" w:hAnsi="Verdana"/>
          <w:sz w:val="22"/>
          <w:szCs w:val="22"/>
        </w:rPr>
      </w:pPr>
    </w:p>
    <w:sectPr w:rsidR="0088588F" w:rsidRPr="00182C8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83F93"/>
    <w:multiLevelType w:val="hybridMultilevel"/>
    <w:tmpl w:val="47144C42"/>
    <w:lvl w:ilvl="0" w:tplc="240A000F">
      <w:start w:val="1"/>
      <w:numFmt w:val="decimal"/>
      <w:lvlText w:val="%1."/>
      <w:lvlJc w:val="left"/>
      <w:pPr>
        <w:ind w:left="1080" w:hanging="360"/>
      </w:p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595016D9"/>
    <w:multiLevelType w:val="hybridMultilevel"/>
    <w:tmpl w:val="2EDE67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EC7064E"/>
    <w:multiLevelType w:val="hybridMultilevel"/>
    <w:tmpl w:val="46D485FA"/>
    <w:lvl w:ilvl="0" w:tplc="240A000F">
      <w:start w:val="1"/>
      <w:numFmt w:val="decimal"/>
      <w:lvlText w:val="%1."/>
      <w:lvlJc w:val="left"/>
      <w:pPr>
        <w:ind w:left="720" w:hanging="360"/>
      </w:pPr>
      <w:rPr>
        <w:rFonts w:hint="default"/>
      </w:rPr>
    </w:lvl>
    <w:lvl w:ilvl="1" w:tplc="5A2A99DA">
      <w:start w:val="1"/>
      <w:numFmt w:val="lowerLetter"/>
      <w:lvlText w:val="%2."/>
      <w:lvlJc w:val="left"/>
      <w:pPr>
        <w:ind w:left="1464" w:hanging="384"/>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91431160">
    <w:abstractNumId w:val="1"/>
  </w:num>
  <w:num w:numId="2" w16cid:durableId="720516874">
    <w:abstractNumId w:val="0"/>
  </w:num>
  <w:num w:numId="3" w16cid:durableId="365907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93"/>
    <w:rsid w:val="00015D2A"/>
    <w:rsid w:val="00182C8A"/>
    <w:rsid w:val="00193C93"/>
    <w:rsid w:val="002B0CA0"/>
    <w:rsid w:val="003A1A29"/>
    <w:rsid w:val="00490B89"/>
    <w:rsid w:val="00550F5C"/>
    <w:rsid w:val="006E20AD"/>
    <w:rsid w:val="00711331"/>
    <w:rsid w:val="00766398"/>
    <w:rsid w:val="0088588F"/>
    <w:rsid w:val="00A3589E"/>
    <w:rsid w:val="00AF6A81"/>
    <w:rsid w:val="00B6719B"/>
    <w:rsid w:val="00CF5755"/>
    <w:rsid w:val="00D10C8D"/>
    <w:rsid w:val="00DB3E63"/>
    <w:rsid w:val="00EB5B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0A66"/>
  <w15:chartTrackingRefBased/>
  <w15:docId w15:val="{86BEFEDF-B7CA-4D22-9F8D-5E7CEA9A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93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93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93C9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93C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193C93"/>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193C93"/>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193C93"/>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193C93"/>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193C93"/>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3C9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93C9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93C93"/>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93C93"/>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193C93"/>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193C93"/>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193C93"/>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193C93"/>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193C93"/>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193C9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3C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3C9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93C93"/>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193C93"/>
    <w:pPr>
      <w:spacing w:before="160"/>
      <w:jc w:val="center"/>
    </w:pPr>
    <w:rPr>
      <w:i/>
      <w:iCs/>
      <w:color w:val="404040" w:themeColor="text1" w:themeTint="BF"/>
    </w:rPr>
  </w:style>
  <w:style w:type="character" w:customStyle="1" w:styleId="CitaCar">
    <w:name w:val="Cita Car"/>
    <w:basedOn w:val="Fuentedeprrafopredeter"/>
    <w:link w:val="Cita"/>
    <w:uiPriority w:val="29"/>
    <w:rsid w:val="00193C93"/>
    <w:rPr>
      <w:i/>
      <w:iCs/>
      <w:color w:val="404040" w:themeColor="text1" w:themeTint="BF"/>
    </w:rPr>
  </w:style>
  <w:style w:type="paragraph" w:styleId="Prrafodelista">
    <w:name w:val="List Paragraph"/>
    <w:basedOn w:val="Normal"/>
    <w:uiPriority w:val="34"/>
    <w:qFormat/>
    <w:rsid w:val="00193C93"/>
    <w:pPr>
      <w:ind w:left="720"/>
      <w:contextualSpacing/>
    </w:pPr>
  </w:style>
  <w:style w:type="character" w:styleId="nfasisintenso">
    <w:name w:val="Intense Emphasis"/>
    <w:basedOn w:val="Fuentedeprrafopredeter"/>
    <w:uiPriority w:val="21"/>
    <w:qFormat/>
    <w:rsid w:val="00193C93"/>
    <w:rPr>
      <w:i/>
      <w:iCs/>
      <w:color w:val="0F4761" w:themeColor="accent1" w:themeShade="BF"/>
    </w:rPr>
  </w:style>
  <w:style w:type="paragraph" w:styleId="Citadestacada">
    <w:name w:val="Intense Quote"/>
    <w:basedOn w:val="Normal"/>
    <w:next w:val="Normal"/>
    <w:link w:val="CitadestacadaCar"/>
    <w:uiPriority w:val="30"/>
    <w:qFormat/>
    <w:rsid w:val="00193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93C93"/>
    <w:rPr>
      <w:i/>
      <w:iCs/>
      <w:color w:val="0F4761" w:themeColor="accent1" w:themeShade="BF"/>
    </w:rPr>
  </w:style>
  <w:style w:type="character" w:styleId="Referenciaintensa">
    <w:name w:val="Intense Reference"/>
    <w:basedOn w:val="Fuentedeprrafopredeter"/>
    <w:uiPriority w:val="32"/>
    <w:qFormat/>
    <w:rsid w:val="00193C93"/>
    <w:rPr>
      <w:b/>
      <w:bCs/>
      <w:smallCaps/>
      <w:color w:val="0F4761" w:themeColor="accent1" w:themeShade="BF"/>
      <w:spacing w:val="5"/>
    </w:rPr>
  </w:style>
  <w:style w:type="table" w:styleId="Tablaconcuadrcula">
    <w:name w:val="Table Grid"/>
    <w:basedOn w:val="Tablanormal"/>
    <w:uiPriority w:val="39"/>
    <w:rsid w:val="00CF57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56BC5D-36E6-41E9-BE9E-367523C6C6D3}"/>
</file>

<file path=customXml/itemProps2.xml><?xml version="1.0" encoding="utf-8"?>
<ds:datastoreItem xmlns:ds="http://schemas.openxmlformats.org/officeDocument/2006/customXml" ds:itemID="{63ECCE91-2CBC-4C8B-8B7A-3491A792BF0F}"/>
</file>

<file path=customXml/itemProps3.xml><?xml version="1.0" encoding="utf-8"?>
<ds:datastoreItem xmlns:ds="http://schemas.openxmlformats.org/officeDocument/2006/customXml" ds:itemID="{40A18C9B-0346-4152-9BED-72AA136B937C}"/>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1227</Words>
  <Characters>6751</Characters>
  <Application>Microsoft Office Word</Application>
  <DocSecurity>0</DocSecurity>
  <Lines>56</Lines>
  <Paragraphs>15</Paragraphs>
  <ScaleCrop>false</ScaleCrop>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11</cp:revision>
  <dcterms:created xsi:type="dcterms:W3CDTF">2026-02-20T23:27:00Z</dcterms:created>
  <dcterms:modified xsi:type="dcterms:W3CDTF">2026-02-22T16:59:00Z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