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DB9B5" w14:textId="713A1DE2" w:rsidR="00564A9A" w:rsidRDefault="00564A9A" w:rsidP="00564A9A">
      <w:pPr>
        <w:jc w:val="center"/>
      </w:pPr>
      <w:r w:rsidRPr="00564A9A">
        <w:rPr>
          <w:rFonts w:ascii="Verdana" w:hAnsi="Verdana"/>
          <w:b/>
          <w:bCs/>
          <w:sz w:val="22"/>
          <w:szCs w:val="22"/>
        </w:rPr>
        <w:t>RESOLUCIÓN 2681 DE 2012</w:t>
      </w:r>
    </w:p>
    <w:p w14:paraId="5656E250" w14:textId="77777777" w:rsidR="00391568" w:rsidRPr="00391568" w:rsidRDefault="00391568" w:rsidP="00391568">
      <w:pPr>
        <w:pStyle w:val="Sinespaciado"/>
        <w:rPr>
          <w:rFonts w:ascii="Verdana" w:hAnsi="Verdana"/>
          <w:sz w:val="20"/>
          <w:szCs w:val="20"/>
        </w:rPr>
      </w:pPr>
      <w:r w:rsidRPr="00391568">
        <w:rPr>
          <w:rFonts w:ascii="Verdana" w:hAnsi="Verdana"/>
          <w:sz w:val="20"/>
          <w:szCs w:val="20"/>
        </w:rPr>
        <w:t>Fecha de Expedición: 13 de junio de 2012</w:t>
      </w:r>
    </w:p>
    <w:p w14:paraId="5E34F8C4" w14:textId="77777777" w:rsidR="00391568" w:rsidRPr="00391568" w:rsidRDefault="00391568" w:rsidP="00391568">
      <w:pPr>
        <w:pStyle w:val="Sinespaciado"/>
        <w:rPr>
          <w:rFonts w:ascii="Verdana" w:hAnsi="Verdana"/>
          <w:sz w:val="20"/>
          <w:szCs w:val="20"/>
        </w:rPr>
      </w:pPr>
      <w:r w:rsidRPr="00391568">
        <w:rPr>
          <w:rFonts w:ascii="Verdana" w:hAnsi="Verdana"/>
          <w:sz w:val="20"/>
          <w:szCs w:val="20"/>
        </w:rPr>
        <w:t xml:space="preserve">Fecha de </w:t>
      </w:r>
      <w:proofErr w:type="gramStart"/>
      <w:r w:rsidRPr="00391568">
        <w:rPr>
          <w:rFonts w:ascii="Verdana" w:hAnsi="Verdana"/>
          <w:sz w:val="20"/>
          <w:szCs w:val="20"/>
        </w:rPr>
        <w:t>entrada en vigencia</w:t>
      </w:r>
      <w:proofErr w:type="gramEnd"/>
      <w:r w:rsidRPr="00391568">
        <w:rPr>
          <w:rFonts w:ascii="Verdana" w:hAnsi="Verdana"/>
          <w:sz w:val="20"/>
          <w:szCs w:val="20"/>
        </w:rPr>
        <w:t>: 13 de junio de 2012</w:t>
      </w:r>
    </w:p>
    <w:p w14:paraId="1A400F06" w14:textId="77777777" w:rsidR="00391568" w:rsidRDefault="00391568" w:rsidP="00391568">
      <w:pPr>
        <w:pStyle w:val="Sinespaciado"/>
        <w:rPr>
          <w:rFonts w:ascii="Verdana" w:hAnsi="Verdana"/>
          <w:sz w:val="20"/>
          <w:szCs w:val="20"/>
        </w:rPr>
      </w:pPr>
      <w:r w:rsidRPr="00391568">
        <w:rPr>
          <w:rFonts w:ascii="Verdana" w:hAnsi="Verdana"/>
          <w:sz w:val="20"/>
          <w:szCs w:val="20"/>
        </w:rPr>
        <w:t xml:space="preserve">Estado de la vigencia: Resolución 2111 </w:t>
      </w:r>
      <w:proofErr w:type="gramStart"/>
      <w:r w:rsidRPr="00391568">
        <w:rPr>
          <w:rFonts w:ascii="Verdana" w:hAnsi="Verdana"/>
          <w:sz w:val="20"/>
          <w:szCs w:val="20"/>
        </w:rPr>
        <w:t>de  2011</w:t>
      </w:r>
      <w:proofErr w:type="gramEnd"/>
      <w:r w:rsidRPr="00391568">
        <w:rPr>
          <w:rFonts w:ascii="Verdana" w:hAnsi="Verdana"/>
          <w:sz w:val="20"/>
          <w:szCs w:val="20"/>
        </w:rPr>
        <w:t xml:space="preserve"> derogada, por el artículo 4 de la Resolución 2690 de 2012</w:t>
      </w:r>
      <w:r w:rsidRPr="00391568">
        <w:rPr>
          <w:rFonts w:ascii="Verdana" w:hAnsi="Verdana"/>
          <w:sz w:val="20"/>
          <w:szCs w:val="20"/>
        </w:rPr>
        <w:tab/>
      </w:r>
    </w:p>
    <w:p w14:paraId="10026E7A" w14:textId="77777777" w:rsidR="00391568" w:rsidRDefault="00391568" w:rsidP="00391568">
      <w:pPr>
        <w:pStyle w:val="Sinespaciado"/>
        <w:rPr>
          <w:rFonts w:ascii="Verdana" w:hAnsi="Verdana"/>
          <w:sz w:val="20"/>
          <w:szCs w:val="20"/>
        </w:rPr>
      </w:pPr>
    </w:p>
    <w:p w14:paraId="31387203" w14:textId="268D2648" w:rsidR="00391568" w:rsidRPr="00391568" w:rsidRDefault="00391568" w:rsidP="00391568">
      <w:pPr>
        <w:pStyle w:val="Sinespaciado"/>
        <w:rPr>
          <w:rFonts w:ascii="Verdana" w:hAnsi="Verdana"/>
          <w:sz w:val="20"/>
          <w:szCs w:val="20"/>
        </w:rPr>
      </w:pPr>
      <w:r w:rsidRPr="00391568">
        <w:rPr>
          <w:rFonts w:ascii="Verdana" w:hAnsi="Verdana"/>
          <w:sz w:val="20"/>
          <w:szCs w:val="20"/>
        </w:rPr>
        <w:t>Fecha de publicación en Diario Oficial: N/A</w:t>
      </w:r>
    </w:p>
    <w:p w14:paraId="24850BF1" w14:textId="5D7AABC3" w:rsidR="0088588F" w:rsidRDefault="00391568" w:rsidP="00391568">
      <w:pPr>
        <w:pStyle w:val="Sinespaciado"/>
        <w:rPr>
          <w:rFonts w:ascii="Verdana" w:hAnsi="Verdana"/>
          <w:sz w:val="20"/>
          <w:szCs w:val="20"/>
        </w:rPr>
      </w:pPr>
      <w:r w:rsidRPr="00391568">
        <w:rPr>
          <w:rFonts w:ascii="Verdana" w:hAnsi="Verdana"/>
          <w:sz w:val="20"/>
          <w:szCs w:val="20"/>
        </w:rPr>
        <w:t>Número del Diario Oficial: N/A</w:t>
      </w:r>
    </w:p>
    <w:p w14:paraId="46D24208" w14:textId="77777777" w:rsidR="00391568" w:rsidRPr="00391568" w:rsidRDefault="00391568" w:rsidP="00391568">
      <w:pPr>
        <w:pStyle w:val="Sinespaciado"/>
        <w:rPr>
          <w:rFonts w:ascii="Verdana" w:hAnsi="Verdana"/>
          <w:sz w:val="20"/>
          <w:szCs w:val="20"/>
        </w:rPr>
      </w:pPr>
    </w:p>
    <w:p w14:paraId="42C56CD0" w14:textId="403E28AB" w:rsidR="007A07F0" w:rsidRPr="00564A9A" w:rsidRDefault="007A07F0" w:rsidP="00564A9A">
      <w:pPr>
        <w:jc w:val="center"/>
        <w:rPr>
          <w:rFonts w:ascii="Verdana" w:hAnsi="Verdana"/>
          <w:b/>
          <w:bCs/>
          <w:sz w:val="22"/>
          <w:szCs w:val="22"/>
        </w:rPr>
      </w:pPr>
      <w:r w:rsidRPr="00564A9A">
        <w:rPr>
          <w:rFonts w:ascii="Verdana" w:hAnsi="Verdana"/>
          <w:b/>
          <w:bCs/>
          <w:sz w:val="22"/>
          <w:szCs w:val="22"/>
        </w:rPr>
        <w:t>RESOLUCIÓN 2681 DE 2012</w:t>
      </w:r>
    </w:p>
    <w:p w14:paraId="1526143F" w14:textId="217CD885" w:rsidR="007A07F0" w:rsidRPr="00564A9A" w:rsidRDefault="007A07F0" w:rsidP="00564A9A">
      <w:pPr>
        <w:jc w:val="center"/>
        <w:rPr>
          <w:rFonts w:ascii="Verdana" w:hAnsi="Verdana"/>
          <w:b/>
          <w:bCs/>
          <w:sz w:val="22"/>
          <w:szCs w:val="22"/>
        </w:rPr>
      </w:pPr>
      <w:r w:rsidRPr="00564A9A">
        <w:rPr>
          <w:rFonts w:ascii="Verdana" w:hAnsi="Verdana"/>
          <w:b/>
          <w:bCs/>
          <w:sz w:val="22"/>
          <w:szCs w:val="22"/>
        </w:rPr>
        <w:t>(</w:t>
      </w:r>
      <w:r w:rsidR="00564A9A" w:rsidRPr="00564A9A">
        <w:rPr>
          <w:rFonts w:ascii="Verdana" w:hAnsi="Verdana"/>
          <w:b/>
          <w:bCs/>
          <w:sz w:val="22"/>
          <w:szCs w:val="22"/>
        </w:rPr>
        <w:t xml:space="preserve">13 de </w:t>
      </w:r>
      <w:r w:rsidRPr="00564A9A">
        <w:rPr>
          <w:rFonts w:ascii="Verdana" w:hAnsi="Verdana"/>
          <w:b/>
          <w:bCs/>
          <w:sz w:val="22"/>
          <w:szCs w:val="22"/>
        </w:rPr>
        <w:t>junio)</w:t>
      </w:r>
    </w:p>
    <w:p w14:paraId="70E3782B" w14:textId="77777777" w:rsidR="007A07F0" w:rsidRPr="00564A9A" w:rsidRDefault="007A07F0" w:rsidP="00564A9A">
      <w:pPr>
        <w:jc w:val="center"/>
        <w:rPr>
          <w:rFonts w:ascii="Verdana" w:hAnsi="Verdana"/>
          <w:b/>
          <w:bCs/>
          <w:sz w:val="22"/>
          <w:szCs w:val="22"/>
        </w:rPr>
      </w:pPr>
      <w:r w:rsidRPr="00564A9A">
        <w:rPr>
          <w:rFonts w:ascii="Verdana" w:hAnsi="Verdana"/>
          <w:b/>
          <w:bCs/>
          <w:sz w:val="22"/>
          <w:szCs w:val="22"/>
        </w:rPr>
        <w:t>INSTITUTO COLOMBIANO DE BIENESTAR FAMILIAR – ICBF</w:t>
      </w:r>
    </w:p>
    <w:p w14:paraId="1C535491" w14:textId="4A66FDB6" w:rsidR="007A07F0" w:rsidRPr="007A07F0" w:rsidRDefault="00564A9A" w:rsidP="00564A9A">
      <w:pPr>
        <w:jc w:val="center"/>
        <w:rPr>
          <w:rFonts w:ascii="Verdana" w:hAnsi="Verdana"/>
          <w:sz w:val="22"/>
          <w:szCs w:val="22"/>
        </w:rPr>
      </w:pPr>
      <w:r>
        <w:rPr>
          <w:rFonts w:ascii="Verdana" w:hAnsi="Verdana"/>
          <w:sz w:val="22"/>
          <w:szCs w:val="22"/>
        </w:rPr>
        <w:t>“</w:t>
      </w:r>
      <w:r w:rsidR="007A07F0" w:rsidRPr="007A07F0">
        <w:rPr>
          <w:rFonts w:ascii="Verdana" w:hAnsi="Verdana"/>
          <w:sz w:val="22"/>
          <w:szCs w:val="22"/>
        </w:rPr>
        <w:t>Por la cual se modifica el Artículo 4 de la Resolución 2111 del 3 de junio de 2011</w:t>
      </w:r>
      <w:r>
        <w:rPr>
          <w:rFonts w:ascii="Verdana" w:hAnsi="Verdana"/>
          <w:sz w:val="22"/>
          <w:szCs w:val="22"/>
        </w:rPr>
        <w:t>”</w:t>
      </w:r>
    </w:p>
    <w:p w14:paraId="039E39B8" w14:textId="2F49D378" w:rsidR="007A07F0" w:rsidRPr="00564A9A" w:rsidRDefault="007A07F0" w:rsidP="00564A9A">
      <w:pPr>
        <w:jc w:val="center"/>
        <w:rPr>
          <w:rFonts w:ascii="Verdana" w:hAnsi="Verdana"/>
          <w:b/>
          <w:bCs/>
          <w:sz w:val="22"/>
          <w:szCs w:val="22"/>
        </w:rPr>
      </w:pPr>
      <w:r w:rsidRPr="00564A9A">
        <w:rPr>
          <w:rFonts w:ascii="Verdana" w:hAnsi="Verdana"/>
          <w:b/>
          <w:bCs/>
          <w:sz w:val="22"/>
          <w:szCs w:val="22"/>
        </w:rPr>
        <w:t>EL DIRECTOR GENERAL DEL INSTITUTO COLOMBIANO DE BIENESTAR FAMILIAR CECILIA DE LA FUENTE DE LLERAS</w:t>
      </w:r>
    </w:p>
    <w:p w14:paraId="2317B753" w14:textId="373DB9D8" w:rsidR="007A07F0" w:rsidRPr="007A07F0" w:rsidRDefault="007A07F0" w:rsidP="00564A9A">
      <w:pPr>
        <w:jc w:val="center"/>
        <w:rPr>
          <w:rFonts w:ascii="Verdana" w:hAnsi="Verdana"/>
          <w:sz w:val="22"/>
          <w:szCs w:val="22"/>
        </w:rPr>
      </w:pPr>
      <w:r w:rsidRPr="007A07F0">
        <w:rPr>
          <w:rFonts w:ascii="Verdana" w:hAnsi="Verdana"/>
          <w:sz w:val="22"/>
          <w:szCs w:val="22"/>
        </w:rPr>
        <w:t>En uso de sus facultades legales, estatutarias en especial las conferidas en el Artículo 211 de la Constitución Política, el Artículo 12 de la Ley 80 de 1993, el Artículo 21 de la Ley 1150 de 2007, el Artículo 9 de la Ley 489 de 1998, el Artículo 8.1.11 del Decreto 734 de 2012 y</w:t>
      </w:r>
    </w:p>
    <w:p w14:paraId="5FE0A213" w14:textId="77777777" w:rsidR="007A07F0" w:rsidRPr="00564A9A" w:rsidRDefault="007A07F0" w:rsidP="00564A9A">
      <w:pPr>
        <w:jc w:val="center"/>
        <w:rPr>
          <w:rFonts w:ascii="Verdana" w:hAnsi="Verdana"/>
          <w:b/>
          <w:bCs/>
          <w:sz w:val="22"/>
          <w:szCs w:val="22"/>
        </w:rPr>
      </w:pPr>
      <w:r w:rsidRPr="00564A9A">
        <w:rPr>
          <w:rFonts w:ascii="Verdana" w:hAnsi="Verdana"/>
          <w:b/>
          <w:bCs/>
          <w:sz w:val="22"/>
          <w:szCs w:val="22"/>
        </w:rPr>
        <w:t>CONSIDERANDO:</w:t>
      </w:r>
    </w:p>
    <w:p w14:paraId="4213FD41" w14:textId="77777777" w:rsidR="007A07F0" w:rsidRPr="00564A9A" w:rsidRDefault="007A07F0" w:rsidP="00564A9A">
      <w:pPr>
        <w:pStyle w:val="Prrafodelista"/>
        <w:numPr>
          <w:ilvl w:val="0"/>
          <w:numId w:val="3"/>
        </w:numPr>
        <w:rPr>
          <w:rFonts w:ascii="Verdana" w:hAnsi="Verdana"/>
          <w:sz w:val="22"/>
          <w:szCs w:val="22"/>
        </w:rPr>
      </w:pPr>
      <w:r w:rsidRPr="00564A9A">
        <w:rPr>
          <w:rFonts w:ascii="Verdana" w:hAnsi="Verdana"/>
          <w:sz w:val="22"/>
          <w:szCs w:val="22"/>
        </w:rPr>
        <w:t>Que el Artículo 209 de la Constitución Política establece que la función administrativa debe estar al servicio de los intereses generales y se desarrolla con fundamento en los principios de igualdad, moralidad, eficacia, economía, celeridad, imparcialidad y publicidad, mediante la descentralización, delegación y desconcentración de funciones.</w:t>
      </w:r>
    </w:p>
    <w:p w14:paraId="499B11C0" w14:textId="7F7C2D77" w:rsidR="007A07F0" w:rsidRPr="00564A9A" w:rsidRDefault="007A07F0" w:rsidP="00564A9A">
      <w:pPr>
        <w:pStyle w:val="Prrafodelista"/>
        <w:numPr>
          <w:ilvl w:val="0"/>
          <w:numId w:val="3"/>
        </w:numPr>
        <w:rPr>
          <w:rFonts w:ascii="Verdana" w:hAnsi="Verdana"/>
          <w:sz w:val="22"/>
          <w:szCs w:val="22"/>
        </w:rPr>
      </w:pPr>
      <w:r w:rsidRPr="00564A9A">
        <w:rPr>
          <w:rFonts w:ascii="Verdana" w:hAnsi="Verdana"/>
          <w:sz w:val="22"/>
          <w:szCs w:val="22"/>
        </w:rPr>
        <w:t>Que el artículo 12 de la Ley 80 de 1993 dispone que los jefes y los representantes legales de las entidades podrán delegar total o parcialmente la competencia para celebrar contratos y desconcentrar las actividades de los procesos de selección en los servidores públicos que desempeñen cargos del nivel directivo o sus equivalentes.</w:t>
      </w:r>
    </w:p>
    <w:p w14:paraId="1EA1F214" w14:textId="6042BD30" w:rsidR="007A07F0" w:rsidRPr="00564A9A" w:rsidRDefault="007A07F0" w:rsidP="00564A9A">
      <w:pPr>
        <w:pStyle w:val="Prrafodelista"/>
        <w:numPr>
          <w:ilvl w:val="0"/>
          <w:numId w:val="3"/>
        </w:numPr>
        <w:rPr>
          <w:rFonts w:ascii="Verdana" w:hAnsi="Verdana"/>
          <w:sz w:val="22"/>
          <w:szCs w:val="22"/>
        </w:rPr>
      </w:pPr>
      <w:r w:rsidRPr="00564A9A">
        <w:rPr>
          <w:rFonts w:ascii="Verdana" w:hAnsi="Verdana"/>
          <w:sz w:val="22"/>
          <w:szCs w:val="22"/>
        </w:rPr>
        <w:t>Que el Artículo 8.1.11 del Decreto 732 de 2012 establece que las entidades estatales sometidas al Estatuto General de Contratación de la Administración Pública deberán contar con un manual de contratación, en el que se señalen las funciones internas en materia contractual, las tareas que deban acometerse por virtud de la delegación o desconcentración de funciones, así como las que se derivan de la vigilancia y control de la ejecución contractual.</w:t>
      </w:r>
    </w:p>
    <w:p w14:paraId="71251F28" w14:textId="7CCF162F" w:rsidR="007A07F0" w:rsidRPr="00564A9A" w:rsidRDefault="007A07F0" w:rsidP="00564A9A">
      <w:pPr>
        <w:pStyle w:val="Prrafodelista"/>
        <w:numPr>
          <w:ilvl w:val="0"/>
          <w:numId w:val="3"/>
        </w:numPr>
        <w:rPr>
          <w:rFonts w:ascii="Verdana" w:hAnsi="Verdana"/>
          <w:sz w:val="22"/>
          <w:szCs w:val="22"/>
        </w:rPr>
      </w:pPr>
      <w:r w:rsidRPr="00564A9A">
        <w:rPr>
          <w:rFonts w:ascii="Verdana" w:hAnsi="Verdana"/>
          <w:sz w:val="22"/>
          <w:szCs w:val="22"/>
        </w:rPr>
        <w:t>Que se hace necesario revocar el numeral 2 del Artículo 4 de la Resolución No. 2111 del 3 de junio de 2011, según el cual se faculta a la Dirección Administrativa la delegación de la ordenación del gasto y el ejercicio de la facultad de adelantar procesos de selección, adjudicar, celebrar, adicional, modificar, suspender, resolver, terminar, liquidar convenios y contratos a nombre del Instituto con personas públicas o privadas.</w:t>
      </w:r>
    </w:p>
    <w:p w14:paraId="1E8FC04B" w14:textId="34E3D17A" w:rsidR="007A07F0" w:rsidRPr="00564A9A" w:rsidRDefault="007A07F0" w:rsidP="00564A9A">
      <w:pPr>
        <w:pStyle w:val="Prrafodelista"/>
        <w:numPr>
          <w:ilvl w:val="0"/>
          <w:numId w:val="3"/>
        </w:numPr>
        <w:rPr>
          <w:rFonts w:ascii="Verdana" w:hAnsi="Verdana"/>
          <w:sz w:val="22"/>
          <w:szCs w:val="22"/>
        </w:rPr>
      </w:pPr>
      <w:r w:rsidRPr="00564A9A">
        <w:rPr>
          <w:rFonts w:ascii="Verdana" w:hAnsi="Verdana"/>
          <w:sz w:val="22"/>
          <w:szCs w:val="22"/>
        </w:rPr>
        <w:lastRenderedPageBreak/>
        <w:t>Que la ordenación del Gasto a que hace referencia el numeral 2 del Artículo 4 de la Resolución No. 2111 del 3 de junio de 2011 deberá ser asumida por la Secretaría General mientras entra a regir el nuevo Manual de Contratación del Instituto Colombiano de Bienestar Familiar.</w:t>
      </w:r>
    </w:p>
    <w:p w14:paraId="60B693C4" w14:textId="24164084" w:rsidR="007A07F0" w:rsidRPr="00564A9A" w:rsidRDefault="007A07F0" w:rsidP="00564A9A">
      <w:pPr>
        <w:pStyle w:val="Prrafodelista"/>
        <w:numPr>
          <w:ilvl w:val="0"/>
          <w:numId w:val="3"/>
        </w:numPr>
        <w:rPr>
          <w:rFonts w:ascii="Verdana" w:hAnsi="Verdana"/>
          <w:sz w:val="22"/>
          <w:szCs w:val="22"/>
        </w:rPr>
      </w:pPr>
      <w:proofErr w:type="gramStart"/>
      <w:r w:rsidRPr="00564A9A">
        <w:rPr>
          <w:rFonts w:ascii="Verdana" w:hAnsi="Verdana"/>
          <w:sz w:val="22"/>
          <w:szCs w:val="22"/>
        </w:rPr>
        <w:t>Que</w:t>
      </w:r>
      <w:proofErr w:type="gramEnd"/>
      <w:r w:rsidRPr="00564A9A">
        <w:rPr>
          <w:rFonts w:ascii="Verdana" w:hAnsi="Verdana"/>
          <w:sz w:val="22"/>
          <w:szCs w:val="22"/>
        </w:rPr>
        <w:t xml:space="preserve"> en mérito de lo expuesto,</w:t>
      </w:r>
    </w:p>
    <w:p w14:paraId="2531725E" w14:textId="32E75F09" w:rsidR="007A07F0" w:rsidRPr="00564A9A" w:rsidRDefault="007A07F0" w:rsidP="00564A9A">
      <w:pPr>
        <w:jc w:val="center"/>
        <w:rPr>
          <w:rFonts w:ascii="Verdana" w:hAnsi="Verdana"/>
          <w:b/>
          <w:bCs/>
          <w:sz w:val="22"/>
          <w:szCs w:val="22"/>
        </w:rPr>
      </w:pPr>
      <w:r w:rsidRPr="00564A9A">
        <w:rPr>
          <w:rFonts w:ascii="Verdana" w:hAnsi="Verdana"/>
          <w:b/>
          <w:bCs/>
          <w:sz w:val="22"/>
          <w:szCs w:val="22"/>
        </w:rPr>
        <w:t>RESUELVE:</w:t>
      </w:r>
    </w:p>
    <w:p w14:paraId="340DCC21" w14:textId="4854FB63" w:rsidR="007A07F0" w:rsidRPr="007A07F0" w:rsidRDefault="007A07F0" w:rsidP="007A07F0">
      <w:pPr>
        <w:rPr>
          <w:rFonts w:ascii="Verdana" w:hAnsi="Verdana"/>
          <w:sz w:val="22"/>
          <w:szCs w:val="22"/>
        </w:rPr>
      </w:pPr>
      <w:r w:rsidRPr="00564A9A">
        <w:rPr>
          <w:rFonts w:ascii="Verdana" w:hAnsi="Verdana"/>
          <w:b/>
          <w:bCs/>
          <w:sz w:val="22"/>
          <w:szCs w:val="22"/>
        </w:rPr>
        <w:t xml:space="preserve">ARTÍCULO </w:t>
      </w:r>
      <w:r w:rsidR="00564A9A" w:rsidRPr="00564A9A">
        <w:rPr>
          <w:rFonts w:ascii="Verdana" w:hAnsi="Verdana"/>
          <w:b/>
          <w:bCs/>
          <w:sz w:val="22"/>
          <w:szCs w:val="22"/>
        </w:rPr>
        <w:t>1o</w:t>
      </w:r>
      <w:r w:rsidRPr="00564A9A">
        <w:rPr>
          <w:rFonts w:ascii="Verdana" w:hAnsi="Verdana"/>
          <w:b/>
          <w:bCs/>
          <w:sz w:val="22"/>
          <w:szCs w:val="22"/>
        </w:rPr>
        <w:t>.</w:t>
      </w:r>
      <w:r w:rsidRPr="007A07F0">
        <w:rPr>
          <w:rFonts w:ascii="Verdana" w:hAnsi="Verdana"/>
          <w:sz w:val="22"/>
          <w:szCs w:val="22"/>
        </w:rPr>
        <w:t xml:space="preserve"> Revocar el numeral 2 del Artículo 4 de la Resolución No. 2111 del 3 de junio de 2011.</w:t>
      </w:r>
    </w:p>
    <w:p w14:paraId="105CE2E3" w14:textId="7F3CE039" w:rsidR="007A07F0" w:rsidRPr="007A07F0" w:rsidRDefault="007A07F0" w:rsidP="007A07F0">
      <w:pPr>
        <w:rPr>
          <w:rFonts w:ascii="Verdana" w:hAnsi="Verdana"/>
          <w:sz w:val="22"/>
          <w:szCs w:val="22"/>
        </w:rPr>
      </w:pPr>
      <w:r w:rsidRPr="00564A9A">
        <w:rPr>
          <w:rFonts w:ascii="Verdana" w:hAnsi="Verdana"/>
          <w:b/>
          <w:bCs/>
          <w:sz w:val="22"/>
          <w:szCs w:val="22"/>
        </w:rPr>
        <w:t xml:space="preserve">ARTÍCULO </w:t>
      </w:r>
      <w:r w:rsidR="00564A9A" w:rsidRPr="00564A9A">
        <w:rPr>
          <w:rFonts w:ascii="Verdana" w:hAnsi="Verdana"/>
          <w:b/>
          <w:bCs/>
          <w:sz w:val="22"/>
          <w:szCs w:val="22"/>
        </w:rPr>
        <w:t>2o</w:t>
      </w:r>
      <w:r w:rsidRPr="00564A9A">
        <w:rPr>
          <w:rFonts w:ascii="Verdana" w:hAnsi="Verdana"/>
          <w:b/>
          <w:bCs/>
          <w:sz w:val="22"/>
          <w:szCs w:val="22"/>
        </w:rPr>
        <w:t>.</w:t>
      </w:r>
      <w:r w:rsidRPr="007A07F0">
        <w:rPr>
          <w:rFonts w:ascii="Verdana" w:hAnsi="Verdana"/>
          <w:sz w:val="22"/>
          <w:szCs w:val="22"/>
        </w:rPr>
        <w:t xml:space="preserve"> Delegar en la Secretaría General además de las facultades otorgadas en el numeral 1 del Artículo 4 de la Resolución No. 2111 del 3 de junio de 2011, las siguientes:</w:t>
      </w:r>
    </w:p>
    <w:p w14:paraId="672AB55B" w14:textId="5C9A764A" w:rsidR="007A07F0" w:rsidRPr="00564A9A" w:rsidRDefault="007A07F0" w:rsidP="00564A9A">
      <w:pPr>
        <w:pStyle w:val="Prrafodelista"/>
        <w:numPr>
          <w:ilvl w:val="0"/>
          <w:numId w:val="1"/>
        </w:numPr>
        <w:rPr>
          <w:rFonts w:ascii="Verdana" w:hAnsi="Verdana"/>
          <w:sz w:val="22"/>
          <w:szCs w:val="22"/>
        </w:rPr>
      </w:pPr>
      <w:r w:rsidRPr="00564A9A">
        <w:rPr>
          <w:rFonts w:ascii="Verdana" w:hAnsi="Verdana"/>
          <w:sz w:val="22"/>
          <w:szCs w:val="22"/>
        </w:rPr>
        <w:t>Adelantar procesos de selección y celebrar contratos o convenios cuya cuantía sea de 0 a 1000 SMLMV, sin perjuicio de las delegaciones otorgadas a las Direcciones Regionales.</w:t>
      </w:r>
    </w:p>
    <w:p w14:paraId="795EC42F" w14:textId="4BDE1A58" w:rsidR="007A07F0" w:rsidRPr="00564A9A" w:rsidRDefault="007A07F0" w:rsidP="00564A9A">
      <w:pPr>
        <w:pStyle w:val="Prrafodelista"/>
        <w:numPr>
          <w:ilvl w:val="0"/>
          <w:numId w:val="1"/>
        </w:numPr>
        <w:rPr>
          <w:rFonts w:ascii="Verdana" w:hAnsi="Verdana"/>
          <w:sz w:val="22"/>
          <w:szCs w:val="22"/>
        </w:rPr>
      </w:pPr>
      <w:r w:rsidRPr="00564A9A">
        <w:rPr>
          <w:rFonts w:ascii="Verdana" w:hAnsi="Verdana"/>
          <w:sz w:val="22"/>
          <w:szCs w:val="22"/>
        </w:rPr>
        <w:t>Celebrar contratos o convenios de comodato, donación, cesión, servidumbres y venta de bienes muebles e inmuebles hasta por un valor de 10.000 SMLMV.</w:t>
      </w:r>
    </w:p>
    <w:p w14:paraId="67AD6917" w14:textId="1FDF65A1" w:rsidR="007A07F0" w:rsidRPr="00564A9A" w:rsidRDefault="007A07F0" w:rsidP="00564A9A">
      <w:pPr>
        <w:pStyle w:val="Prrafodelista"/>
        <w:numPr>
          <w:ilvl w:val="0"/>
          <w:numId w:val="1"/>
        </w:numPr>
        <w:rPr>
          <w:rFonts w:ascii="Verdana" w:hAnsi="Verdana"/>
          <w:sz w:val="22"/>
          <w:szCs w:val="22"/>
        </w:rPr>
      </w:pPr>
      <w:r w:rsidRPr="00564A9A">
        <w:rPr>
          <w:rFonts w:ascii="Verdana" w:hAnsi="Verdana"/>
          <w:sz w:val="22"/>
          <w:szCs w:val="22"/>
        </w:rPr>
        <w:t xml:space="preserve">Otorgar poderes a los </w:t>
      </w:r>
      <w:proofErr w:type="gramStart"/>
      <w:r w:rsidRPr="00564A9A">
        <w:rPr>
          <w:rFonts w:ascii="Verdana" w:hAnsi="Verdana"/>
          <w:sz w:val="22"/>
          <w:szCs w:val="22"/>
        </w:rPr>
        <w:t>Directores Regionales</w:t>
      </w:r>
      <w:proofErr w:type="gramEnd"/>
      <w:r w:rsidRPr="00564A9A">
        <w:rPr>
          <w:rFonts w:ascii="Verdana" w:hAnsi="Verdana"/>
          <w:sz w:val="22"/>
          <w:szCs w:val="22"/>
        </w:rPr>
        <w:t xml:space="preserve"> para la suscripción de contratos de promesa de compraventa de inmuebles, escrituras públicas de compra, venta y donación de bienes inmuebles y venta de bienes muebles, hasta por un valor de 10.000 SMLMV.</w:t>
      </w:r>
    </w:p>
    <w:p w14:paraId="253E3FED" w14:textId="7DAD4924" w:rsidR="007A07F0" w:rsidRPr="00564A9A" w:rsidRDefault="007A07F0" w:rsidP="00564A9A">
      <w:pPr>
        <w:pStyle w:val="Prrafodelista"/>
        <w:numPr>
          <w:ilvl w:val="0"/>
          <w:numId w:val="1"/>
        </w:numPr>
        <w:rPr>
          <w:rFonts w:ascii="Verdana" w:hAnsi="Verdana"/>
          <w:sz w:val="22"/>
          <w:szCs w:val="22"/>
        </w:rPr>
      </w:pPr>
      <w:r w:rsidRPr="00564A9A">
        <w:rPr>
          <w:rFonts w:ascii="Verdana" w:hAnsi="Verdana"/>
          <w:sz w:val="22"/>
          <w:szCs w:val="22"/>
        </w:rPr>
        <w:t>Aplicar las fórmulas de reajuste en los contratos que celebre como ordenador del gasto o estén bajo su supervisión o interventoría.</w:t>
      </w:r>
    </w:p>
    <w:p w14:paraId="59752815" w14:textId="1821D28B" w:rsidR="007A07F0" w:rsidRPr="00564A9A" w:rsidRDefault="007A07F0" w:rsidP="00564A9A">
      <w:pPr>
        <w:pStyle w:val="Prrafodelista"/>
        <w:numPr>
          <w:ilvl w:val="0"/>
          <w:numId w:val="1"/>
        </w:numPr>
        <w:rPr>
          <w:rFonts w:ascii="Verdana" w:hAnsi="Verdana"/>
          <w:sz w:val="22"/>
          <w:szCs w:val="22"/>
        </w:rPr>
      </w:pPr>
      <w:r w:rsidRPr="00564A9A">
        <w:rPr>
          <w:rFonts w:ascii="Verdana" w:hAnsi="Verdana"/>
          <w:sz w:val="22"/>
          <w:szCs w:val="22"/>
        </w:rPr>
        <w:t>Otorgar poderes a los funcionarios del ICBF para recibir donaciones de entidades públicas.</w:t>
      </w:r>
    </w:p>
    <w:p w14:paraId="64388DA9" w14:textId="4B3D5C74" w:rsidR="007A07F0" w:rsidRPr="007A07F0" w:rsidRDefault="007A07F0" w:rsidP="007A07F0">
      <w:pPr>
        <w:rPr>
          <w:rFonts w:ascii="Verdana" w:hAnsi="Verdana"/>
          <w:sz w:val="22"/>
          <w:szCs w:val="22"/>
        </w:rPr>
      </w:pPr>
      <w:r w:rsidRPr="00564A9A">
        <w:rPr>
          <w:rFonts w:ascii="Verdana" w:hAnsi="Verdana"/>
          <w:b/>
          <w:bCs/>
          <w:sz w:val="22"/>
          <w:szCs w:val="22"/>
        </w:rPr>
        <w:t xml:space="preserve">ARTÍCULO </w:t>
      </w:r>
      <w:r w:rsidR="00564A9A" w:rsidRPr="00564A9A">
        <w:rPr>
          <w:rFonts w:ascii="Verdana" w:hAnsi="Verdana"/>
          <w:b/>
          <w:bCs/>
          <w:sz w:val="22"/>
          <w:szCs w:val="22"/>
        </w:rPr>
        <w:t>3o</w:t>
      </w:r>
      <w:r w:rsidRPr="00564A9A">
        <w:rPr>
          <w:rFonts w:ascii="Verdana" w:hAnsi="Verdana"/>
          <w:b/>
          <w:bCs/>
          <w:sz w:val="22"/>
          <w:szCs w:val="22"/>
        </w:rPr>
        <w:t>.</w:t>
      </w:r>
      <w:r w:rsidRPr="007A07F0">
        <w:rPr>
          <w:rFonts w:ascii="Verdana" w:hAnsi="Verdana"/>
          <w:sz w:val="22"/>
          <w:szCs w:val="22"/>
        </w:rPr>
        <w:t xml:space="preserve"> La presente resolución rige a partir del 14 de junio de 2012.</w:t>
      </w:r>
    </w:p>
    <w:p w14:paraId="472A5192" w14:textId="17B33B21" w:rsidR="007A07F0" w:rsidRPr="00564A9A" w:rsidRDefault="007A07F0" w:rsidP="00564A9A">
      <w:pPr>
        <w:jc w:val="center"/>
        <w:rPr>
          <w:rFonts w:ascii="Verdana" w:hAnsi="Verdana"/>
          <w:b/>
          <w:bCs/>
          <w:sz w:val="22"/>
          <w:szCs w:val="22"/>
        </w:rPr>
      </w:pPr>
      <w:r w:rsidRPr="00564A9A">
        <w:rPr>
          <w:rFonts w:ascii="Verdana" w:hAnsi="Verdana"/>
          <w:b/>
          <w:bCs/>
          <w:sz w:val="22"/>
          <w:szCs w:val="22"/>
        </w:rPr>
        <w:t>COMUNÍQUESE Y CÚMPLASE</w:t>
      </w:r>
      <w:r w:rsidR="00564A9A" w:rsidRPr="00564A9A">
        <w:rPr>
          <w:rFonts w:ascii="Verdana" w:hAnsi="Verdana"/>
          <w:b/>
          <w:bCs/>
          <w:sz w:val="22"/>
          <w:szCs w:val="22"/>
        </w:rPr>
        <w:t>,</w:t>
      </w:r>
    </w:p>
    <w:p w14:paraId="2C09ED6E" w14:textId="5A830005" w:rsidR="007A07F0" w:rsidRPr="007A07F0" w:rsidRDefault="007A07F0" w:rsidP="00564A9A">
      <w:pPr>
        <w:jc w:val="center"/>
        <w:rPr>
          <w:rFonts w:ascii="Verdana" w:hAnsi="Verdana"/>
          <w:sz w:val="22"/>
          <w:szCs w:val="22"/>
        </w:rPr>
      </w:pPr>
      <w:r w:rsidRPr="007A07F0">
        <w:rPr>
          <w:rFonts w:ascii="Verdana" w:hAnsi="Verdana"/>
          <w:sz w:val="22"/>
          <w:szCs w:val="22"/>
        </w:rPr>
        <w:t>Dada en Bogotá, D.C. a los 13</w:t>
      </w:r>
      <w:r w:rsidR="00564A9A">
        <w:rPr>
          <w:rFonts w:ascii="Verdana" w:hAnsi="Verdana"/>
          <w:sz w:val="22"/>
          <w:szCs w:val="22"/>
        </w:rPr>
        <w:t xml:space="preserve"> días del mes de junio de </w:t>
      </w:r>
      <w:r w:rsidRPr="007A07F0">
        <w:rPr>
          <w:rFonts w:ascii="Verdana" w:hAnsi="Verdana"/>
          <w:sz w:val="22"/>
          <w:szCs w:val="22"/>
        </w:rPr>
        <w:t>2012</w:t>
      </w:r>
    </w:p>
    <w:p w14:paraId="0589B5F3" w14:textId="64681982" w:rsidR="007A07F0" w:rsidRPr="00564A9A" w:rsidRDefault="007A07F0" w:rsidP="00564A9A">
      <w:pPr>
        <w:jc w:val="center"/>
        <w:rPr>
          <w:rFonts w:ascii="Verdana" w:hAnsi="Verdana"/>
          <w:b/>
          <w:bCs/>
          <w:sz w:val="22"/>
          <w:szCs w:val="22"/>
        </w:rPr>
      </w:pPr>
      <w:r w:rsidRPr="00564A9A">
        <w:rPr>
          <w:rFonts w:ascii="Verdana" w:hAnsi="Verdana"/>
          <w:b/>
          <w:bCs/>
          <w:sz w:val="22"/>
          <w:szCs w:val="22"/>
        </w:rPr>
        <w:t>DIEGO ANDRÉS MOLANO APONTE</w:t>
      </w:r>
    </w:p>
    <w:p w14:paraId="0F15D251" w14:textId="1A2119E7" w:rsidR="007A07F0" w:rsidRPr="00564A9A" w:rsidRDefault="00564A9A" w:rsidP="00564A9A">
      <w:pPr>
        <w:jc w:val="center"/>
        <w:rPr>
          <w:rFonts w:ascii="Verdana" w:hAnsi="Verdana"/>
          <w:sz w:val="22"/>
          <w:szCs w:val="22"/>
        </w:rPr>
      </w:pPr>
      <w:r w:rsidRPr="00564A9A">
        <w:rPr>
          <w:rFonts w:ascii="Verdana" w:hAnsi="Verdana"/>
          <w:sz w:val="22"/>
          <w:szCs w:val="22"/>
        </w:rPr>
        <w:t>DIRECTOR GENERAL</w:t>
      </w:r>
    </w:p>
    <w:p w14:paraId="17D67510" w14:textId="77777777" w:rsidR="007A07F0" w:rsidRPr="007A07F0" w:rsidRDefault="007A07F0" w:rsidP="007A07F0">
      <w:pPr>
        <w:rPr>
          <w:rFonts w:ascii="Verdana" w:hAnsi="Verdana"/>
          <w:sz w:val="22"/>
          <w:szCs w:val="22"/>
        </w:rPr>
      </w:pPr>
    </w:p>
    <w:sectPr w:rsidR="007A07F0" w:rsidRPr="007A07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41DF4"/>
    <w:multiLevelType w:val="hybridMultilevel"/>
    <w:tmpl w:val="A5AE8D7E"/>
    <w:lvl w:ilvl="0" w:tplc="55367ABA">
      <w:start w:val="1"/>
      <w:numFmt w:val="lowerLetter"/>
      <w:lvlText w:val="%1."/>
      <w:lvlJc w:val="left"/>
      <w:pPr>
        <w:ind w:left="756" w:hanging="396"/>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8B87D5C"/>
    <w:multiLevelType w:val="hybridMultilevel"/>
    <w:tmpl w:val="214A5C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C47021D"/>
    <w:multiLevelType w:val="hybridMultilevel"/>
    <w:tmpl w:val="908E22D2"/>
    <w:lvl w:ilvl="0" w:tplc="55367ABA">
      <w:start w:val="1"/>
      <w:numFmt w:val="lowerLetter"/>
      <w:lvlText w:val="%1."/>
      <w:lvlJc w:val="left"/>
      <w:pPr>
        <w:ind w:left="756" w:hanging="396"/>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39262921">
    <w:abstractNumId w:val="1"/>
  </w:num>
  <w:num w:numId="2" w16cid:durableId="2050376589">
    <w:abstractNumId w:val="2"/>
  </w:num>
  <w:num w:numId="3" w16cid:durableId="1740248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A76"/>
    <w:rsid w:val="00015D2A"/>
    <w:rsid w:val="00275A76"/>
    <w:rsid w:val="003728FC"/>
    <w:rsid w:val="00391568"/>
    <w:rsid w:val="004639CE"/>
    <w:rsid w:val="00490B89"/>
    <w:rsid w:val="00550F5C"/>
    <w:rsid w:val="00564A9A"/>
    <w:rsid w:val="007A07F0"/>
    <w:rsid w:val="0088588F"/>
    <w:rsid w:val="00B56745"/>
    <w:rsid w:val="00EC57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43832"/>
  <w15:chartTrackingRefBased/>
  <w15:docId w15:val="{57A4A6DE-5022-4A3E-B5CF-E855EE4F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8FC"/>
  </w:style>
  <w:style w:type="paragraph" w:styleId="Ttulo1">
    <w:name w:val="heading 1"/>
    <w:basedOn w:val="Normal"/>
    <w:next w:val="Normal"/>
    <w:link w:val="Ttulo1Car"/>
    <w:uiPriority w:val="9"/>
    <w:qFormat/>
    <w:rsid w:val="00275A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75A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75A7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75A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75A76"/>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75A7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75A76"/>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75A76"/>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75A76"/>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5A7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75A7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75A76"/>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75A76"/>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275A76"/>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275A76"/>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275A76"/>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275A76"/>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275A76"/>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275A7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75A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75A7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75A76"/>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75A76"/>
    <w:pPr>
      <w:spacing w:before="160"/>
      <w:jc w:val="center"/>
    </w:pPr>
    <w:rPr>
      <w:i/>
      <w:iCs/>
      <w:color w:val="404040" w:themeColor="text1" w:themeTint="BF"/>
    </w:rPr>
  </w:style>
  <w:style w:type="character" w:customStyle="1" w:styleId="CitaCar">
    <w:name w:val="Cita Car"/>
    <w:basedOn w:val="Fuentedeprrafopredeter"/>
    <w:link w:val="Cita"/>
    <w:uiPriority w:val="29"/>
    <w:rsid w:val="00275A76"/>
    <w:rPr>
      <w:i/>
      <w:iCs/>
      <w:color w:val="404040" w:themeColor="text1" w:themeTint="BF"/>
    </w:rPr>
  </w:style>
  <w:style w:type="paragraph" w:styleId="Prrafodelista">
    <w:name w:val="List Paragraph"/>
    <w:basedOn w:val="Normal"/>
    <w:uiPriority w:val="34"/>
    <w:qFormat/>
    <w:rsid w:val="00275A76"/>
    <w:pPr>
      <w:ind w:left="720"/>
      <w:contextualSpacing/>
    </w:pPr>
  </w:style>
  <w:style w:type="character" w:styleId="nfasisintenso">
    <w:name w:val="Intense Emphasis"/>
    <w:basedOn w:val="Fuentedeprrafopredeter"/>
    <w:uiPriority w:val="21"/>
    <w:qFormat/>
    <w:rsid w:val="00275A76"/>
    <w:rPr>
      <w:i/>
      <w:iCs/>
      <w:color w:val="0F4761" w:themeColor="accent1" w:themeShade="BF"/>
    </w:rPr>
  </w:style>
  <w:style w:type="paragraph" w:styleId="Citadestacada">
    <w:name w:val="Intense Quote"/>
    <w:basedOn w:val="Normal"/>
    <w:next w:val="Normal"/>
    <w:link w:val="CitadestacadaCar"/>
    <w:uiPriority w:val="30"/>
    <w:qFormat/>
    <w:rsid w:val="00275A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75A76"/>
    <w:rPr>
      <w:i/>
      <w:iCs/>
      <w:color w:val="0F4761" w:themeColor="accent1" w:themeShade="BF"/>
    </w:rPr>
  </w:style>
  <w:style w:type="character" w:styleId="Referenciaintensa">
    <w:name w:val="Intense Reference"/>
    <w:basedOn w:val="Fuentedeprrafopredeter"/>
    <w:uiPriority w:val="32"/>
    <w:qFormat/>
    <w:rsid w:val="00275A76"/>
    <w:rPr>
      <w:b/>
      <w:bCs/>
      <w:smallCaps/>
      <w:color w:val="0F4761" w:themeColor="accent1" w:themeShade="BF"/>
      <w:spacing w:val="5"/>
    </w:rPr>
  </w:style>
  <w:style w:type="table" w:styleId="Tablaconcuadrcula">
    <w:name w:val="Table Grid"/>
    <w:basedOn w:val="Tablanormal"/>
    <w:uiPriority w:val="39"/>
    <w:rsid w:val="003728F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9156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610C77-6FFC-408D-BEB2-069F0A1783AC}"/>
</file>

<file path=customXml/itemProps2.xml><?xml version="1.0" encoding="utf-8"?>
<ds:datastoreItem xmlns:ds="http://schemas.openxmlformats.org/officeDocument/2006/customXml" ds:itemID="{E253D9A2-CDB5-41F6-A207-3A58C383DC0E}"/>
</file>

<file path=customXml/itemProps3.xml><?xml version="1.0" encoding="utf-8"?>
<ds:datastoreItem xmlns:ds="http://schemas.openxmlformats.org/officeDocument/2006/customXml" ds:itemID="{5F0190A0-A3DA-4040-945A-6570A3E65A78}"/>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3371</Characters>
  <Application>Microsoft Office Word</Application>
  <DocSecurity>0</DocSecurity>
  <Lines>74</Lines>
  <Paragraphs>32</Paragraphs>
  <ScaleCrop>false</ScaleCrop>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2026-01-21T15:19:00Z</dcterms:created>
  <dcterms:modified xsi:type="dcterms:W3CDTF">2026-01-21T15:19:00Z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