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F9F" w14:textId="155BDF6D" w:rsidR="005353EB" w:rsidRPr="005353EB" w:rsidRDefault="005353EB" w:rsidP="005353EB">
      <w:pPr>
        <w:jc w:val="center"/>
        <w:rPr>
          <w:rFonts w:ascii="Verdana" w:hAnsi="Verdana"/>
          <w:b/>
          <w:bCs/>
          <w:sz w:val="22"/>
          <w:szCs w:val="22"/>
        </w:rPr>
      </w:pPr>
      <w:r w:rsidRPr="00E51DE7">
        <w:rPr>
          <w:rFonts w:ascii="Verdana" w:hAnsi="Verdana"/>
          <w:b/>
          <w:bCs/>
          <w:sz w:val="22"/>
          <w:szCs w:val="22"/>
        </w:rPr>
        <w:t>RESOLUCIÓN 2575 DE 2016</w:t>
      </w:r>
    </w:p>
    <w:p w14:paraId="44FC0F46" w14:textId="13ED8252" w:rsidR="00E75D92" w:rsidRPr="00FA7AEA" w:rsidRDefault="00E75D92" w:rsidP="00E75D92">
      <w:pPr>
        <w:rPr>
          <w:rFonts w:ascii="Verdana" w:hAnsi="Verdana"/>
          <w:sz w:val="20"/>
          <w:szCs w:val="20"/>
        </w:rPr>
      </w:pPr>
      <w:r w:rsidRPr="00FA7AEA">
        <w:rPr>
          <w:rFonts w:ascii="Verdana" w:hAnsi="Verdana"/>
          <w:sz w:val="20"/>
          <w:szCs w:val="20"/>
        </w:rPr>
        <w:t>Fecha de Expedición: </w:t>
      </w:r>
      <w:r>
        <w:rPr>
          <w:rFonts w:ascii="Verdana" w:hAnsi="Verdana"/>
          <w:sz w:val="20"/>
          <w:szCs w:val="20"/>
        </w:rPr>
        <w:t xml:space="preserve">30 </w:t>
      </w:r>
      <w:r w:rsidRPr="00FA7AEA">
        <w:rPr>
          <w:rFonts w:ascii="Verdana" w:hAnsi="Verdana"/>
          <w:sz w:val="20"/>
          <w:szCs w:val="20"/>
        </w:rPr>
        <w:t>de marzo de 2016 </w:t>
      </w:r>
    </w:p>
    <w:p w14:paraId="14E2CCAB" w14:textId="77777777" w:rsidR="00E75D92" w:rsidRPr="00FA7AEA" w:rsidRDefault="00E75D92" w:rsidP="00E75D92">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proofErr w:type="gramStart"/>
      <w:r>
        <w:rPr>
          <w:rFonts w:ascii="Verdana" w:hAnsi="Verdana"/>
          <w:sz w:val="20"/>
          <w:szCs w:val="20"/>
        </w:rPr>
        <w:t>30  de</w:t>
      </w:r>
      <w:proofErr w:type="gramEnd"/>
      <w:r>
        <w:rPr>
          <w:rFonts w:ascii="Verdana" w:hAnsi="Verdana"/>
          <w:sz w:val="20"/>
          <w:szCs w:val="20"/>
        </w:rPr>
        <w:t xml:space="preserve"> marzo</w:t>
      </w:r>
      <w:r w:rsidRPr="00FA7AEA">
        <w:rPr>
          <w:rFonts w:ascii="Verdana" w:hAnsi="Verdana"/>
          <w:sz w:val="20"/>
          <w:szCs w:val="20"/>
        </w:rPr>
        <w:t xml:space="preserve"> de 2016</w:t>
      </w:r>
    </w:p>
    <w:p w14:paraId="5BD28699" w14:textId="77777777" w:rsidR="00E75D92" w:rsidRPr="00FA7AEA" w:rsidRDefault="00E75D92" w:rsidP="00E75D92">
      <w:pPr>
        <w:rPr>
          <w:rFonts w:ascii="Verdana" w:hAnsi="Verdana"/>
          <w:sz w:val="20"/>
          <w:szCs w:val="20"/>
        </w:rPr>
      </w:pPr>
      <w:r w:rsidRPr="00FA7AEA">
        <w:rPr>
          <w:rFonts w:ascii="Verdana" w:hAnsi="Verdana"/>
          <w:sz w:val="20"/>
          <w:szCs w:val="20"/>
        </w:rPr>
        <w:t>Estado de la vigencia: </w:t>
      </w:r>
      <w:r>
        <w:rPr>
          <w:rFonts w:ascii="Verdana" w:hAnsi="Verdana"/>
          <w:sz w:val="20"/>
          <w:szCs w:val="20"/>
        </w:rPr>
        <w:t>vigente</w:t>
      </w:r>
    </w:p>
    <w:p w14:paraId="36828A8D" w14:textId="77777777" w:rsidR="00E75D92" w:rsidRPr="00FA7AEA" w:rsidRDefault="00E75D92" w:rsidP="00E75D92">
      <w:pPr>
        <w:rPr>
          <w:rFonts w:ascii="Verdana" w:hAnsi="Verdana"/>
          <w:sz w:val="20"/>
          <w:szCs w:val="20"/>
        </w:rPr>
      </w:pPr>
      <w:r w:rsidRPr="00FA7AEA">
        <w:rPr>
          <w:rFonts w:ascii="Verdana" w:hAnsi="Verdana"/>
          <w:sz w:val="20"/>
          <w:szCs w:val="20"/>
        </w:rPr>
        <w:t> </w:t>
      </w:r>
    </w:p>
    <w:p w14:paraId="490A1D70" w14:textId="77777777" w:rsidR="00E75D92" w:rsidRPr="00FA7AEA" w:rsidRDefault="00E75D92" w:rsidP="00E75D92">
      <w:pPr>
        <w:rPr>
          <w:rFonts w:ascii="Verdana" w:hAnsi="Verdana"/>
          <w:sz w:val="20"/>
          <w:szCs w:val="20"/>
        </w:rPr>
      </w:pPr>
      <w:r w:rsidRPr="00FA7AEA">
        <w:rPr>
          <w:rFonts w:ascii="Verdana" w:hAnsi="Verdana"/>
          <w:sz w:val="20"/>
          <w:szCs w:val="20"/>
        </w:rPr>
        <w:t xml:space="preserve">Fecha de publicación en Diario Oficial: </w:t>
      </w:r>
      <w:r>
        <w:rPr>
          <w:rFonts w:ascii="Verdana" w:hAnsi="Verdana"/>
          <w:sz w:val="20"/>
          <w:szCs w:val="20"/>
        </w:rPr>
        <w:t>N/A</w:t>
      </w:r>
    </w:p>
    <w:p w14:paraId="74B7A9DA" w14:textId="5B336C1A" w:rsidR="00E75D92" w:rsidRPr="005353EB" w:rsidRDefault="00E75D92" w:rsidP="004B2FAB">
      <w:pPr>
        <w:rPr>
          <w:rFonts w:ascii="Verdana" w:hAnsi="Verdana"/>
          <w:sz w:val="20"/>
          <w:szCs w:val="20"/>
        </w:rPr>
      </w:pPr>
      <w:r w:rsidRPr="00FA7AEA">
        <w:rPr>
          <w:rFonts w:ascii="Verdana" w:hAnsi="Verdana"/>
          <w:sz w:val="20"/>
          <w:szCs w:val="20"/>
        </w:rPr>
        <w:t>Número del Diario Oficial: N</w:t>
      </w:r>
      <w:r>
        <w:rPr>
          <w:rFonts w:ascii="Verdana" w:hAnsi="Verdana"/>
          <w:sz w:val="20"/>
          <w:szCs w:val="20"/>
        </w:rPr>
        <w:t>/A</w:t>
      </w:r>
    </w:p>
    <w:p w14:paraId="6C72AF6D" w14:textId="1ECFF6D7" w:rsidR="00834EBA" w:rsidRPr="00E51DE7" w:rsidRDefault="00834EBA" w:rsidP="005353EB">
      <w:pPr>
        <w:jc w:val="center"/>
        <w:rPr>
          <w:rFonts w:ascii="Verdana" w:hAnsi="Verdana"/>
          <w:b/>
          <w:bCs/>
          <w:sz w:val="22"/>
          <w:szCs w:val="22"/>
        </w:rPr>
      </w:pPr>
      <w:r w:rsidRPr="00E51DE7">
        <w:rPr>
          <w:rFonts w:ascii="Verdana" w:hAnsi="Verdana"/>
          <w:b/>
          <w:bCs/>
          <w:sz w:val="22"/>
          <w:szCs w:val="22"/>
        </w:rPr>
        <w:t>RESOLUCIÓN 2575 DE 2016</w:t>
      </w:r>
    </w:p>
    <w:p w14:paraId="7A57B4F5" w14:textId="0006C965" w:rsidR="00834EBA" w:rsidRPr="00E51DE7" w:rsidRDefault="00834EBA" w:rsidP="005353EB">
      <w:pPr>
        <w:jc w:val="center"/>
        <w:rPr>
          <w:rFonts w:ascii="Verdana" w:hAnsi="Verdana"/>
          <w:b/>
          <w:bCs/>
          <w:sz w:val="22"/>
          <w:szCs w:val="22"/>
        </w:rPr>
      </w:pPr>
      <w:r w:rsidRPr="00E51DE7">
        <w:rPr>
          <w:rFonts w:ascii="Verdana" w:hAnsi="Verdana"/>
          <w:b/>
          <w:bCs/>
          <w:sz w:val="22"/>
          <w:szCs w:val="22"/>
        </w:rPr>
        <w:t>(</w:t>
      </w:r>
      <w:r w:rsidR="00E51DE7" w:rsidRPr="00E51DE7">
        <w:rPr>
          <w:rFonts w:ascii="Verdana" w:hAnsi="Verdana"/>
          <w:b/>
          <w:bCs/>
          <w:sz w:val="22"/>
          <w:szCs w:val="22"/>
        </w:rPr>
        <w:t xml:space="preserve">30 de </w:t>
      </w:r>
      <w:r w:rsidRPr="00E51DE7">
        <w:rPr>
          <w:rFonts w:ascii="Verdana" w:hAnsi="Verdana"/>
          <w:b/>
          <w:bCs/>
          <w:sz w:val="22"/>
          <w:szCs w:val="22"/>
        </w:rPr>
        <w:t>marzo)</w:t>
      </w:r>
    </w:p>
    <w:p w14:paraId="75B5CD1A" w14:textId="0F45DCEF" w:rsidR="00834EBA" w:rsidRPr="00E51DE7" w:rsidRDefault="00834EBA" w:rsidP="005353EB">
      <w:pPr>
        <w:jc w:val="center"/>
        <w:rPr>
          <w:rFonts w:ascii="Verdana" w:hAnsi="Verdana"/>
          <w:b/>
          <w:bCs/>
          <w:sz w:val="22"/>
          <w:szCs w:val="22"/>
        </w:rPr>
      </w:pPr>
      <w:r w:rsidRPr="00E51DE7">
        <w:rPr>
          <w:rFonts w:ascii="Verdana" w:hAnsi="Verdana"/>
          <w:b/>
          <w:bCs/>
          <w:sz w:val="22"/>
          <w:szCs w:val="22"/>
        </w:rPr>
        <w:t>INSTITUTO COLOMBIANO DE BIENESTAR FAMILIAR – ICBF</w:t>
      </w:r>
    </w:p>
    <w:p w14:paraId="083B8531" w14:textId="443749A5" w:rsidR="00834EBA" w:rsidRPr="004B2FAB" w:rsidRDefault="00834EBA" w:rsidP="005353EB">
      <w:pPr>
        <w:jc w:val="center"/>
        <w:rPr>
          <w:rFonts w:ascii="Verdana" w:hAnsi="Verdana"/>
          <w:sz w:val="22"/>
          <w:szCs w:val="22"/>
        </w:rPr>
      </w:pPr>
      <w:r w:rsidRPr="004B2FAB">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0F15F426" w14:textId="1A4B7C85" w:rsidR="00834EBA" w:rsidRPr="00E51DE7" w:rsidRDefault="00834EBA" w:rsidP="005353EB">
      <w:pPr>
        <w:jc w:val="center"/>
        <w:rPr>
          <w:rFonts w:ascii="Verdana" w:hAnsi="Verdana"/>
          <w:b/>
          <w:bCs/>
          <w:sz w:val="22"/>
          <w:szCs w:val="22"/>
        </w:rPr>
      </w:pPr>
      <w:r w:rsidRPr="00E51DE7">
        <w:rPr>
          <w:rFonts w:ascii="Verdana" w:hAnsi="Verdana"/>
          <w:b/>
          <w:bCs/>
          <w:sz w:val="22"/>
          <w:szCs w:val="22"/>
        </w:rPr>
        <w:t>LA DIRECTORA GENERAL DEL INSTITUTO COLOMBIANO DE BIENESTAR FAMILIAR CECILIA DE LA FUENTE DE LLERAS</w:t>
      </w:r>
    </w:p>
    <w:p w14:paraId="44B7A5BE" w14:textId="17B4E043" w:rsidR="00834EBA" w:rsidRPr="004B2FAB" w:rsidRDefault="00834EBA" w:rsidP="005353EB">
      <w:pPr>
        <w:jc w:val="center"/>
        <w:rPr>
          <w:rFonts w:ascii="Verdana" w:hAnsi="Verdana"/>
          <w:sz w:val="22"/>
          <w:szCs w:val="22"/>
        </w:rPr>
      </w:pPr>
      <w:r w:rsidRPr="004B2FAB">
        <w:rPr>
          <w:rFonts w:ascii="Verdana" w:hAnsi="Verdana"/>
          <w:sz w:val="22"/>
          <w:szCs w:val="22"/>
        </w:rPr>
        <w:t>En uso de sus facultades legales y estatutarias y en especial las conferidas en el artículo 78 de la Ley 489 de 1998, y</w:t>
      </w:r>
    </w:p>
    <w:p w14:paraId="545E468F" w14:textId="77777777" w:rsidR="00834EBA" w:rsidRPr="00E51DE7" w:rsidRDefault="00834EBA" w:rsidP="005353EB">
      <w:pPr>
        <w:jc w:val="center"/>
        <w:rPr>
          <w:rFonts w:ascii="Verdana" w:hAnsi="Verdana"/>
          <w:b/>
          <w:bCs/>
          <w:sz w:val="22"/>
          <w:szCs w:val="22"/>
        </w:rPr>
      </w:pPr>
      <w:r w:rsidRPr="00E51DE7">
        <w:rPr>
          <w:rFonts w:ascii="Verdana" w:hAnsi="Verdana"/>
          <w:b/>
          <w:bCs/>
          <w:sz w:val="22"/>
          <w:szCs w:val="22"/>
        </w:rPr>
        <w:t>CONSIDERANDO:</w:t>
      </w:r>
    </w:p>
    <w:p w14:paraId="3A6FD69F"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Que el Congreso de Colombia, mediante la Ley 1769 del 24 de noviembre de 2015, decretó el Presupuesto de Rentas y Recursos de Capital y la Ley de Apropiaciones para la Vigencia Fiscal del 1 de enero al 31 de diciembre de 2016.</w:t>
      </w:r>
    </w:p>
    <w:p w14:paraId="72844682"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243D144D"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 xml:space="preserve">Que el Ministerio de Hacienda y Crédito Público, mediante registro en SIIF Nación No. 58416 del 19 de febrero de 2016, realizó un bloqueo de tipo aplazamiento en los Proyectos: C-320-1504-1 Aplicación de la Promoción y Fomento para la Construcción de una Cultura de los Derechos de la Niñez y Familia, por valor de UN MIL CINCUENTA MILLONES DE PESOS ($1.050.000.000) M/CTE, con recurso 16 - Fondos Especiales; C-410-300-6 Estudios Sociales Operativos y Administrativos para mejorar la Gestión Institucional, por valor de UN MIL CINCUENTA MILLONES DE PESOS ($1.050.000.000) M/CTE, con recurso 27 - Rentas Parafiscales y C-520-1500-1 Asistencia al Modelo de Intervención Social del ICBF a Nivel Nacional, por valor de DIECISIETE MIL DOSCIENTOS VEINTICINCO MILLONES SEISCIENTOS SETENTA Y NUEVE MIL SETECIENTOS </w:t>
      </w:r>
      <w:r w:rsidRPr="00E51DE7">
        <w:rPr>
          <w:rFonts w:ascii="Verdana" w:hAnsi="Verdana"/>
          <w:sz w:val="22"/>
          <w:szCs w:val="22"/>
        </w:rPr>
        <w:lastRenderedPageBreak/>
        <w:t>CUARENTA Y DOS PESOS ($17.225.679.742) M/CTE, con recurso 27 - Rentas Parafiscales.</w:t>
      </w:r>
    </w:p>
    <w:p w14:paraId="4C414BD8"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Que el Ministerio de Hacienda y Crédito Público realizó desbloqueos de tipo aplazamiento así mediante registro en SIIF Nación No. 14816 del 24 de febrero de 2016, en el Proyecto C-520-1500-1 Asistencia al Modelo de Intervención Social del ICBF a Nivel Nacional, por valor de DIECISIETE MIL DOSCIENTOS VEINTICINCO MILLONES SEISCIENTOS SETENTA Y NUEVE MIL SETECIENTOS CUARENTA Y DOS PESOS ($17.225.679.742) M/CTE, con recurso 27 - Rentas Parafiscales y a través de registro en SIIF Nación No. 24116 del 26 de febrero de 2016, en el Proyecto C-320-1504-1 Aplicación de la Promoción y Fomento para la Construcción de una Cultura de los Derechos de la Niñez y Familia, por valor de UN MIL CINCUENTA MILLONES DE PESOS ($1.050.000.000) M/CTE, con recurso 16 - Fondos Especiales y en el Proyecto C-410-300-6 Estudios Sociales Operativos y Administrativos para mejorar la Gestión Institucional, por valor de UN MIL CINCUENTA MILLONES DE PESOS ($1.050.000.000) M/CTE, con recurso 27 - Rentas Parafiscales.</w:t>
      </w:r>
    </w:p>
    <w:p w14:paraId="1B00F1A8"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Que el Director de Planeación y Control de Gestión, mediante memorando No. 1-2016-029859-0101 del 22 de marzo de 2016, solicita las siguientes desagregaciones: UN MIL CINCUENTA MILLONES DE PESOS ($1.050.000.000) M/CTE, con recurso 27 - Rentas Parafiscales, que se encuentran en el Proyecto C-410-300-6 Estudios Sociales Operativos y Administrativos para mejorar la Gestión Institucional al Subproyecto C-410-300-6-0-101 Investigación y Evaluación; CIENTO OCHENTA Y UN MILLONES QUINIENTOS NOVENTA Y UN MIL DOSCIENTOS VEINTIUN PESOS ($181.591.221) M/CTE, con recurso 27 - Rentas Parafiscales, que se encuentran en el Proyecto C-520-1500-1 Asistencia al Modelo de Intervención Social del ICBF a Nivel Nacional al Subproyecto C-520-1500-1-0-701 Mejoramiento a la Gestión Institucional y TRESCIENTOS CINCUENTA MILLONES DE PESOS ($350.000.000) M/CTE, con recurso 27 - Rentas Parafiscales, que se encuentran en el Proyecto C-520- 1500-1 Asistencia al Modelo de Intervención Social del ICBF a Nivel Nacional al Subproyecto C-520- 1500-1-0-705 Soporte a la Gestión Transversal.</w:t>
      </w:r>
    </w:p>
    <w:p w14:paraId="7AB6DBDC" w14:textId="77777777" w:rsidR="00E51DE7" w:rsidRDefault="00834EBA" w:rsidP="004B2FAB">
      <w:pPr>
        <w:pStyle w:val="Prrafodelista"/>
        <w:numPr>
          <w:ilvl w:val="0"/>
          <w:numId w:val="1"/>
        </w:numPr>
        <w:rPr>
          <w:rFonts w:ascii="Verdana" w:hAnsi="Verdana"/>
          <w:sz w:val="22"/>
          <w:szCs w:val="22"/>
        </w:rPr>
      </w:pPr>
      <w:r w:rsidRPr="00E51DE7">
        <w:rPr>
          <w:rFonts w:ascii="Verdana" w:hAnsi="Verdana"/>
          <w:sz w:val="22"/>
          <w:szCs w:val="22"/>
        </w:rPr>
        <w:t>Que la Jefe de la Oficina Asesora de Comunicaciones, mediante memorando No. 1-2016-030521-0101 del 28 de marzo de 2016, solicita la desagregación de la suma de UN MIL CINCUENTA MILLONES DE PESOS ($1.050.000.000) M/CTE, con recurso 16 - Fondos Especiales, que se encuentran en el Proyecto C-320-1504-1 Aplicación de la Promoción y Fomento para la Construcción de una Cultura de los Derechos de la Niñez y Familia al Subproyecto C-320-1504-1-0-101 Promoción y Fomento de una Cultura de Garantía y Restitución de una Cultura de Derechos de la Niñez y la Familia.</w:t>
      </w:r>
    </w:p>
    <w:p w14:paraId="58D220E0" w14:textId="1A5CF1D9" w:rsidR="00834EBA" w:rsidRPr="00E51DE7" w:rsidRDefault="00834EBA" w:rsidP="004B2FAB">
      <w:pPr>
        <w:pStyle w:val="Prrafodelista"/>
        <w:numPr>
          <w:ilvl w:val="0"/>
          <w:numId w:val="1"/>
        </w:numPr>
        <w:rPr>
          <w:rFonts w:ascii="Verdana" w:hAnsi="Verdana"/>
          <w:sz w:val="22"/>
          <w:szCs w:val="22"/>
        </w:rPr>
      </w:pPr>
      <w:proofErr w:type="gramStart"/>
      <w:r w:rsidRPr="00E51DE7">
        <w:rPr>
          <w:rFonts w:ascii="Verdana" w:hAnsi="Verdana"/>
          <w:sz w:val="22"/>
          <w:szCs w:val="22"/>
        </w:rPr>
        <w:t>Que</w:t>
      </w:r>
      <w:proofErr w:type="gramEnd"/>
      <w:r w:rsidRPr="00E51DE7">
        <w:rPr>
          <w:rFonts w:ascii="Verdana" w:hAnsi="Verdana"/>
          <w:sz w:val="22"/>
          <w:szCs w:val="22"/>
        </w:rPr>
        <w:t xml:space="preserve"> en mérito de lo expuesto,</w:t>
      </w:r>
    </w:p>
    <w:p w14:paraId="6C243F61" w14:textId="7FB19E2E" w:rsidR="00834EBA" w:rsidRPr="00E51DE7" w:rsidRDefault="00834EBA" w:rsidP="00E51DE7">
      <w:pPr>
        <w:jc w:val="center"/>
        <w:rPr>
          <w:rFonts w:ascii="Verdana" w:hAnsi="Verdana"/>
          <w:b/>
          <w:bCs/>
          <w:sz w:val="22"/>
          <w:szCs w:val="22"/>
        </w:rPr>
      </w:pPr>
      <w:r w:rsidRPr="00E51DE7">
        <w:rPr>
          <w:rFonts w:ascii="Verdana" w:hAnsi="Verdana"/>
          <w:b/>
          <w:bCs/>
          <w:sz w:val="22"/>
          <w:szCs w:val="22"/>
        </w:rPr>
        <w:t>RESUELVE:</w:t>
      </w:r>
    </w:p>
    <w:p w14:paraId="36AC39F4" w14:textId="7259097C" w:rsidR="00834EBA" w:rsidRPr="004B2FAB" w:rsidRDefault="00834EBA" w:rsidP="004B2FAB">
      <w:pPr>
        <w:rPr>
          <w:rFonts w:ascii="Verdana" w:hAnsi="Verdana"/>
          <w:sz w:val="22"/>
          <w:szCs w:val="22"/>
        </w:rPr>
      </w:pPr>
      <w:r w:rsidRPr="00E51DE7">
        <w:rPr>
          <w:rFonts w:ascii="Verdana" w:hAnsi="Verdana"/>
          <w:b/>
          <w:bCs/>
          <w:sz w:val="22"/>
          <w:szCs w:val="22"/>
        </w:rPr>
        <w:t xml:space="preserve">ARTÍCULO </w:t>
      </w:r>
      <w:r w:rsidR="00E51DE7" w:rsidRPr="00E51DE7">
        <w:rPr>
          <w:rFonts w:ascii="Verdana" w:hAnsi="Verdana"/>
          <w:b/>
          <w:bCs/>
          <w:sz w:val="22"/>
          <w:szCs w:val="22"/>
        </w:rPr>
        <w:t>1o</w:t>
      </w:r>
      <w:r w:rsidRPr="00E51DE7">
        <w:rPr>
          <w:rFonts w:ascii="Verdana" w:hAnsi="Verdana"/>
          <w:b/>
          <w:bCs/>
          <w:sz w:val="22"/>
          <w:szCs w:val="22"/>
        </w:rPr>
        <w:t>.</w:t>
      </w:r>
      <w:r w:rsidRPr="004B2FAB">
        <w:rPr>
          <w:rFonts w:ascii="Verdana" w:hAnsi="Verdana"/>
          <w:sz w:val="22"/>
          <w:szCs w:val="22"/>
        </w:rPr>
        <w:t xml:space="preserve"> Desagregar como Presupuesto de Gastos de Inversión para la Vigencia 2016, la suma de DOS MIL SEISCIENTOS TREINTA Y UN MILLONES </w:t>
      </w:r>
      <w:r w:rsidRPr="004B2FAB">
        <w:rPr>
          <w:rFonts w:ascii="Verdana" w:hAnsi="Verdana"/>
          <w:sz w:val="22"/>
          <w:szCs w:val="22"/>
        </w:rPr>
        <w:lastRenderedPageBreak/>
        <w:t>QUINIENTOS NOVENTA Y UN MIL DOSCIENTOS VEINTIUN PESOS ($2.631.591.221) M/CTE, de conformidad con el siguiente detalle:</w:t>
      </w:r>
    </w:p>
    <w:tbl>
      <w:tblPr>
        <w:tblStyle w:val="Tablaconcuadrcula"/>
        <w:tblW w:w="4950" w:type="pct"/>
        <w:tblLook w:val="04A0" w:firstRow="1" w:lastRow="0" w:firstColumn="1" w:lastColumn="0" w:noHBand="0" w:noVBand="1"/>
      </w:tblPr>
      <w:tblGrid>
        <w:gridCol w:w="626"/>
        <w:gridCol w:w="753"/>
        <w:gridCol w:w="764"/>
        <w:gridCol w:w="764"/>
        <w:gridCol w:w="736"/>
        <w:gridCol w:w="884"/>
        <w:gridCol w:w="441"/>
        <w:gridCol w:w="1928"/>
        <w:gridCol w:w="1932"/>
      </w:tblGrid>
      <w:tr w:rsidR="005353EB" w:rsidRPr="005353EB" w14:paraId="3F07BB67" w14:textId="77777777" w:rsidTr="005353EB">
        <w:tc>
          <w:tcPr>
            <w:tcW w:w="300" w:type="pct"/>
            <w:hideMark/>
          </w:tcPr>
          <w:p w14:paraId="1D0F83B1"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PRG</w:t>
            </w:r>
          </w:p>
        </w:tc>
        <w:tc>
          <w:tcPr>
            <w:tcW w:w="350" w:type="pct"/>
            <w:hideMark/>
          </w:tcPr>
          <w:p w14:paraId="773BD798"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SPRG</w:t>
            </w:r>
          </w:p>
        </w:tc>
        <w:tc>
          <w:tcPr>
            <w:tcW w:w="350" w:type="pct"/>
            <w:hideMark/>
          </w:tcPr>
          <w:p w14:paraId="4DCAC832"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PROY</w:t>
            </w:r>
          </w:p>
        </w:tc>
        <w:tc>
          <w:tcPr>
            <w:tcW w:w="400" w:type="pct"/>
            <w:hideMark/>
          </w:tcPr>
          <w:p w14:paraId="776F083E"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PROY</w:t>
            </w:r>
            <w:r w:rsidRPr="005353EB">
              <w:rPr>
                <w:rFonts w:ascii="Verdana" w:hAnsi="Verdana"/>
                <w:b/>
                <w:bCs/>
                <w:sz w:val="22"/>
                <w:szCs w:val="22"/>
              </w:rPr>
              <w:br/>
              <w:t>0</w:t>
            </w:r>
          </w:p>
        </w:tc>
        <w:tc>
          <w:tcPr>
            <w:tcW w:w="350" w:type="pct"/>
            <w:hideMark/>
          </w:tcPr>
          <w:p w14:paraId="799C29CE"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SBPY</w:t>
            </w:r>
          </w:p>
        </w:tc>
        <w:tc>
          <w:tcPr>
            <w:tcW w:w="450" w:type="pct"/>
            <w:hideMark/>
          </w:tcPr>
          <w:p w14:paraId="76FCCAA1"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RECUR</w:t>
            </w:r>
            <w:r w:rsidRPr="005353EB">
              <w:rPr>
                <w:rFonts w:ascii="Verdana" w:hAnsi="Verdana"/>
                <w:b/>
                <w:bCs/>
                <w:sz w:val="22"/>
                <w:szCs w:val="22"/>
              </w:rPr>
              <w:br/>
              <w:t>SO</w:t>
            </w:r>
          </w:p>
        </w:tc>
        <w:tc>
          <w:tcPr>
            <w:tcW w:w="1800" w:type="pct"/>
            <w:gridSpan w:val="2"/>
            <w:hideMark/>
          </w:tcPr>
          <w:p w14:paraId="5AF679FF"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CONCEPTO</w:t>
            </w:r>
          </w:p>
        </w:tc>
        <w:tc>
          <w:tcPr>
            <w:tcW w:w="950" w:type="pct"/>
            <w:hideMark/>
          </w:tcPr>
          <w:p w14:paraId="3CB3210D" w14:textId="77777777" w:rsidR="005353EB" w:rsidRPr="005353EB" w:rsidRDefault="005353EB" w:rsidP="005353EB">
            <w:pPr>
              <w:spacing w:after="160"/>
              <w:rPr>
                <w:rFonts w:ascii="Verdana" w:hAnsi="Verdana"/>
                <w:sz w:val="22"/>
                <w:szCs w:val="22"/>
              </w:rPr>
            </w:pPr>
            <w:r w:rsidRPr="005353EB">
              <w:rPr>
                <w:rFonts w:ascii="Verdana" w:hAnsi="Verdana"/>
                <w:b/>
                <w:bCs/>
                <w:sz w:val="22"/>
                <w:szCs w:val="22"/>
              </w:rPr>
              <w:t>APROBACIÓN</w:t>
            </w:r>
          </w:p>
        </w:tc>
      </w:tr>
      <w:tr w:rsidR="005353EB" w:rsidRPr="005353EB" w14:paraId="40D8DA1E" w14:textId="77777777" w:rsidTr="005353EB">
        <w:tc>
          <w:tcPr>
            <w:tcW w:w="650" w:type="pct"/>
            <w:gridSpan w:val="2"/>
            <w:hideMark/>
          </w:tcPr>
          <w:p w14:paraId="26AD236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5B34F19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1925751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4D09CC8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INVERSIÓN</w:t>
            </w:r>
          </w:p>
        </w:tc>
        <w:tc>
          <w:tcPr>
            <w:tcW w:w="950" w:type="pct"/>
            <w:hideMark/>
          </w:tcPr>
          <w:p w14:paraId="0BF7EA01" w14:textId="77777777" w:rsidR="005353EB" w:rsidRPr="005353EB" w:rsidRDefault="005353EB" w:rsidP="005353EB">
            <w:pPr>
              <w:spacing w:after="160"/>
              <w:rPr>
                <w:rFonts w:ascii="Verdana" w:hAnsi="Verdana"/>
                <w:sz w:val="22"/>
                <w:szCs w:val="22"/>
              </w:rPr>
            </w:pPr>
            <w:r w:rsidRPr="005353EB">
              <w:rPr>
                <w:rFonts w:ascii="Verdana" w:hAnsi="Verdana"/>
                <w:sz w:val="22"/>
                <w:szCs w:val="22"/>
              </w:rPr>
              <w:t>$2.631.591.221,00</w:t>
            </w:r>
          </w:p>
        </w:tc>
      </w:tr>
      <w:tr w:rsidR="005353EB" w:rsidRPr="005353EB" w14:paraId="3560D206" w14:textId="77777777" w:rsidTr="005353EB">
        <w:tc>
          <w:tcPr>
            <w:tcW w:w="300" w:type="pct"/>
            <w:hideMark/>
          </w:tcPr>
          <w:p w14:paraId="5A347BC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320</w:t>
            </w:r>
          </w:p>
        </w:tc>
        <w:tc>
          <w:tcPr>
            <w:tcW w:w="750" w:type="pct"/>
            <w:gridSpan w:val="2"/>
            <w:hideMark/>
          </w:tcPr>
          <w:p w14:paraId="2A7C603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750" w:type="pct"/>
            <w:gridSpan w:val="2"/>
            <w:hideMark/>
          </w:tcPr>
          <w:p w14:paraId="00834A2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47BFF0B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550" w:type="pct"/>
            <w:hideMark/>
          </w:tcPr>
          <w:p w14:paraId="29835C3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PROTECCION Y BIENESTAR SOCIAL DEL RECURSO HUMANO</w:t>
            </w:r>
          </w:p>
        </w:tc>
        <w:tc>
          <w:tcPr>
            <w:tcW w:w="950" w:type="pct"/>
            <w:hideMark/>
          </w:tcPr>
          <w:p w14:paraId="2F74F82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28517846" w14:textId="77777777" w:rsidTr="005353EB">
        <w:tc>
          <w:tcPr>
            <w:tcW w:w="300" w:type="pct"/>
            <w:hideMark/>
          </w:tcPr>
          <w:p w14:paraId="5E66128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320</w:t>
            </w:r>
          </w:p>
        </w:tc>
        <w:tc>
          <w:tcPr>
            <w:tcW w:w="350" w:type="pct"/>
            <w:hideMark/>
          </w:tcPr>
          <w:p w14:paraId="0CE2E4C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1504</w:t>
            </w:r>
          </w:p>
        </w:tc>
        <w:tc>
          <w:tcPr>
            <w:tcW w:w="800" w:type="pct"/>
            <w:gridSpan w:val="2"/>
            <w:hideMark/>
          </w:tcPr>
          <w:p w14:paraId="776E435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5C1A0CD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6E6A67F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ATENCION DE LA FAMILIA, PRIMERA INFANCIA, NINEZ, ADOLESCENCIA Y JUVENTUD</w:t>
            </w:r>
          </w:p>
        </w:tc>
        <w:tc>
          <w:tcPr>
            <w:tcW w:w="950" w:type="pct"/>
            <w:hideMark/>
          </w:tcPr>
          <w:p w14:paraId="032472B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$ 1.050 000.000,00</w:t>
            </w:r>
          </w:p>
        </w:tc>
      </w:tr>
      <w:tr w:rsidR="005353EB" w:rsidRPr="005353EB" w14:paraId="61BD770A" w14:textId="77777777" w:rsidTr="005353EB">
        <w:tc>
          <w:tcPr>
            <w:tcW w:w="300" w:type="pct"/>
            <w:hideMark/>
          </w:tcPr>
          <w:p w14:paraId="587FEC3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320</w:t>
            </w:r>
          </w:p>
        </w:tc>
        <w:tc>
          <w:tcPr>
            <w:tcW w:w="350" w:type="pct"/>
            <w:hideMark/>
          </w:tcPr>
          <w:p w14:paraId="3E95380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1504</w:t>
            </w:r>
          </w:p>
        </w:tc>
        <w:tc>
          <w:tcPr>
            <w:tcW w:w="350" w:type="pct"/>
            <w:hideMark/>
          </w:tcPr>
          <w:p w14:paraId="7D93DDD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750" w:type="pct"/>
            <w:gridSpan w:val="2"/>
            <w:hideMark/>
          </w:tcPr>
          <w:p w14:paraId="2CB1F41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41ED194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550" w:type="pct"/>
            <w:hideMark/>
          </w:tcPr>
          <w:p w14:paraId="3FF072B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APLICACION DE LA PROMOCION Y FOMENTO PARA LA CONSTRUCCION DE UNA CULTURA DE LOS DERECHOS DE LA NINEZ Y FAMILIA</w:t>
            </w:r>
          </w:p>
        </w:tc>
        <w:tc>
          <w:tcPr>
            <w:tcW w:w="950" w:type="pct"/>
            <w:hideMark/>
          </w:tcPr>
          <w:p w14:paraId="066EBFB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$ 1 050.000 000.00</w:t>
            </w:r>
          </w:p>
        </w:tc>
      </w:tr>
      <w:tr w:rsidR="005353EB" w:rsidRPr="005353EB" w14:paraId="63D3F62B" w14:textId="77777777" w:rsidTr="005353EB">
        <w:tc>
          <w:tcPr>
            <w:tcW w:w="300" w:type="pct"/>
            <w:hideMark/>
          </w:tcPr>
          <w:p w14:paraId="3C8CB73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320</w:t>
            </w:r>
          </w:p>
        </w:tc>
        <w:tc>
          <w:tcPr>
            <w:tcW w:w="350" w:type="pct"/>
            <w:hideMark/>
          </w:tcPr>
          <w:p w14:paraId="7D5E7B9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1504</w:t>
            </w:r>
          </w:p>
        </w:tc>
        <w:tc>
          <w:tcPr>
            <w:tcW w:w="350" w:type="pct"/>
            <w:hideMark/>
          </w:tcPr>
          <w:p w14:paraId="2CB96226"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400" w:type="pct"/>
            <w:hideMark/>
          </w:tcPr>
          <w:p w14:paraId="5EF7081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800" w:type="pct"/>
            <w:gridSpan w:val="2"/>
            <w:hideMark/>
          </w:tcPr>
          <w:p w14:paraId="45FF6F91"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7367F38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APLICACION DE LA PROMOCION Y FOMENTO PARA LA CONSTRUCCION DE UNA CULTURA DE LOS DERECHOS DE LA NINEZ Y LA FAMILÍA</w:t>
            </w:r>
          </w:p>
        </w:tc>
        <w:tc>
          <w:tcPr>
            <w:tcW w:w="950" w:type="pct"/>
            <w:hideMark/>
          </w:tcPr>
          <w:p w14:paraId="75F56FE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618D26F0" w14:textId="77777777" w:rsidTr="005353EB">
        <w:tc>
          <w:tcPr>
            <w:tcW w:w="300" w:type="pct"/>
            <w:hideMark/>
          </w:tcPr>
          <w:p w14:paraId="5597C17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320</w:t>
            </w:r>
          </w:p>
        </w:tc>
        <w:tc>
          <w:tcPr>
            <w:tcW w:w="350" w:type="pct"/>
            <w:hideMark/>
          </w:tcPr>
          <w:p w14:paraId="39E4BC2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1504</w:t>
            </w:r>
          </w:p>
        </w:tc>
        <w:tc>
          <w:tcPr>
            <w:tcW w:w="350" w:type="pct"/>
            <w:hideMark/>
          </w:tcPr>
          <w:p w14:paraId="1713158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400" w:type="pct"/>
            <w:hideMark/>
          </w:tcPr>
          <w:p w14:paraId="522DFBC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350" w:type="pct"/>
            <w:hideMark/>
          </w:tcPr>
          <w:p w14:paraId="4921581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101</w:t>
            </w:r>
          </w:p>
        </w:tc>
        <w:tc>
          <w:tcPr>
            <w:tcW w:w="650" w:type="pct"/>
            <w:gridSpan w:val="2"/>
            <w:hideMark/>
          </w:tcPr>
          <w:p w14:paraId="1F3E214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550" w:type="pct"/>
            <w:hideMark/>
          </w:tcPr>
          <w:p w14:paraId="2D90A63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xml:space="preserve">PROMOCION Y FOMENTO DE UNA CULTURA DE GARANTIA Y RESTITUCION DE UNA </w:t>
            </w:r>
            <w:r w:rsidRPr="005353EB">
              <w:rPr>
                <w:rFonts w:ascii="Verdana" w:hAnsi="Verdana"/>
                <w:sz w:val="22"/>
                <w:szCs w:val="22"/>
              </w:rPr>
              <w:lastRenderedPageBreak/>
              <w:t>CULTURA DE DERECHOS DE LA NINEZ Y LA FAMILIA</w:t>
            </w:r>
          </w:p>
        </w:tc>
        <w:tc>
          <w:tcPr>
            <w:tcW w:w="950" w:type="pct"/>
            <w:hideMark/>
          </w:tcPr>
          <w:p w14:paraId="2144A57B" w14:textId="77777777" w:rsidR="005353EB" w:rsidRPr="005353EB" w:rsidRDefault="005353EB" w:rsidP="005353EB">
            <w:pPr>
              <w:spacing w:after="160"/>
              <w:rPr>
                <w:rFonts w:ascii="Verdana" w:hAnsi="Verdana"/>
                <w:sz w:val="22"/>
                <w:szCs w:val="22"/>
              </w:rPr>
            </w:pPr>
            <w:r w:rsidRPr="005353EB">
              <w:rPr>
                <w:rFonts w:ascii="Verdana" w:hAnsi="Verdana"/>
                <w:sz w:val="22"/>
                <w:szCs w:val="22"/>
              </w:rPr>
              <w:lastRenderedPageBreak/>
              <w:t>$ 1.050.000.000,00</w:t>
            </w:r>
          </w:p>
        </w:tc>
      </w:tr>
      <w:tr w:rsidR="005353EB" w:rsidRPr="005353EB" w14:paraId="632AB03A" w14:textId="77777777" w:rsidTr="005353EB">
        <w:tc>
          <w:tcPr>
            <w:tcW w:w="650" w:type="pct"/>
            <w:gridSpan w:val="2"/>
            <w:hideMark/>
          </w:tcPr>
          <w:p w14:paraId="7F1BBB6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65F2103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1264590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16</w:t>
            </w:r>
          </w:p>
        </w:tc>
        <w:tc>
          <w:tcPr>
            <w:tcW w:w="1800" w:type="pct"/>
            <w:gridSpan w:val="2"/>
            <w:hideMark/>
          </w:tcPr>
          <w:p w14:paraId="2EB76B7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FONDOS ESPECIALES</w:t>
            </w:r>
          </w:p>
        </w:tc>
        <w:tc>
          <w:tcPr>
            <w:tcW w:w="950" w:type="pct"/>
            <w:hideMark/>
          </w:tcPr>
          <w:p w14:paraId="4DA2372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16760844" w14:textId="77777777" w:rsidTr="005353EB">
        <w:tc>
          <w:tcPr>
            <w:tcW w:w="650" w:type="pct"/>
            <w:gridSpan w:val="2"/>
            <w:hideMark/>
          </w:tcPr>
          <w:p w14:paraId="77B791D6"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5862A6B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5BA3A55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200" w:type="pct"/>
            <w:hideMark/>
          </w:tcPr>
          <w:p w14:paraId="300B883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00</w:t>
            </w:r>
          </w:p>
        </w:tc>
        <w:tc>
          <w:tcPr>
            <w:tcW w:w="1550" w:type="pct"/>
            <w:hideMark/>
          </w:tcPr>
          <w:p w14:paraId="4574D4D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ICBF INSTITUTO COLOMBIANO DE BIENESTAR FAMILIAR</w:t>
            </w:r>
          </w:p>
        </w:tc>
        <w:tc>
          <w:tcPr>
            <w:tcW w:w="950" w:type="pct"/>
            <w:hideMark/>
          </w:tcPr>
          <w:p w14:paraId="2E15D41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549BB954" w14:textId="77777777" w:rsidTr="005353EB">
        <w:tc>
          <w:tcPr>
            <w:tcW w:w="300" w:type="pct"/>
            <w:hideMark/>
          </w:tcPr>
          <w:p w14:paraId="4927DBF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410</w:t>
            </w:r>
          </w:p>
        </w:tc>
        <w:tc>
          <w:tcPr>
            <w:tcW w:w="750" w:type="pct"/>
            <w:gridSpan w:val="2"/>
            <w:hideMark/>
          </w:tcPr>
          <w:p w14:paraId="192F571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750" w:type="pct"/>
            <w:gridSpan w:val="2"/>
            <w:hideMark/>
          </w:tcPr>
          <w:p w14:paraId="482D19E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0548434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550" w:type="pct"/>
            <w:hideMark/>
          </w:tcPr>
          <w:p w14:paraId="404A051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INVESTIGACION BASICA, APLICADA Y ESTUDIOS</w:t>
            </w:r>
          </w:p>
        </w:tc>
        <w:tc>
          <w:tcPr>
            <w:tcW w:w="950" w:type="pct"/>
            <w:hideMark/>
          </w:tcPr>
          <w:p w14:paraId="72B2E8D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$ 1.050 000.000,00</w:t>
            </w:r>
          </w:p>
        </w:tc>
      </w:tr>
      <w:tr w:rsidR="005353EB" w:rsidRPr="005353EB" w14:paraId="44A4CE1B" w14:textId="77777777" w:rsidTr="005353EB">
        <w:tc>
          <w:tcPr>
            <w:tcW w:w="300" w:type="pct"/>
            <w:hideMark/>
          </w:tcPr>
          <w:p w14:paraId="7521A5F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410</w:t>
            </w:r>
          </w:p>
        </w:tc>
        <w:tc>
          <w:tcPr>
            <w:tcW w:w="350" w:type="pct"/>
            <w:hideMark/>
          </w:tcPr>
          <w:p w14:paraId="26E864B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300</w:t>
            </w:r>
          </w:p>
        </w:tc>
        <w:tc>
          <w:tcPr>
            <w:tcW w:w="800" w:type="pct"/>
            <w:gridSpan w:val="2"/>
            <w:hideMark/>
          </w:tcPr>
          <w:p w14:paraId="3C6BDF9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116DCFB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3CC779B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INTERSUBSECTORIAL SALUD</w:t>
            </w:r>
          </w:p>
        </w:tc>
        <w:tc>
          <w:tcPr>
            <w:tcW w:w="950" w:type="pct"/>
            <w:hideMark/>
          </w:tcPr>
          <w:p w14:paraId="4B9595E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3AAAC7D5" w14:textId="77777777" w:rsidTr="005353EB">
        <w:tc>
          <w:tcPr>
            <w:tcW w:w="300" w:type="pct"/>
            <w:hideMark/>
          </w:tcPr>
          <w:p w14:paraId="0183C01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410</w:t>
            </w:r>
          </w:p>
        </w:tc>
        <w:tc>
          <w:tcPr>
            <w:tcW w:w="350" w:type="pct"/>
            <w:hideMark/>
          </w:tcPr>
          <w:p w14:paraId="366C395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300</w:t>
            </w:r>
          </w:p>
        </w:tc>
        <w:tc>
          <w:tcPr>
            <w:tcW w:w="350" w:type="pct"/>
            <w:hideMark/>
          </w:tcPr>
          <w:p w14:paraId="70E0D7C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6</w:t>
            </w:r>
          </w:p>
        </w:tc>
        <w:tc>
          <w:tcPr>
            <w:tcW w:w="750" w:type="pct"/>
            <w:gridSpan w:val="2"/>
            <w:hideMark/>
          </w:tcPr>
          <w:p w14:paraId="7CC21D4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3DE9BA3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550" w:type="pct"/>
            <w:hideMark/>
          </w:tcPr>
          <w:p w14:paraId="4A994A8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ESTUDIOS SOCIALES OPERATIVOS Y ADMINISTRATIVOS PARA MEJORAR LA GESTION INSTITUCIONAL</w:t>
            </w:r>
          </w:p>
        </w:tc>
        <w:tc>
          <w:tcPr>
            <w:tcW w:w="950" w:type="pct"/>
            <w:hideMark/>
          </w:tcPr>
          <w:p w14:paraId="75CC5376"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$ 1.050 000.000,00</w:t>
            </w:r>
          </w:p>
        </w:tc>
      </w:tr>
      <w:tr w:rsidR="005353EB" w:rsidRPr="005353EB" w14:paraId="4879B514" w14:textId="77777777" w:rsidTr="005353EB">
        <w:tc>
          <w:tcPr>
            <w:tcW w:w="300" w:type="pct"/>
            <w:hideMark/>
          </w:tcPr>
          <w:p w14:paraId="44C11AD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410</w:t>
            </w:r>
          </w:p>
        </w:tc>
        <w:tc>
          <w:tcPr>
            <w:tcW w:w="350" w:type="pct"/>
            <w:hideMark/>
          </w:tcPr>
          <w:p w14:paraId="3F3033A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300</w:t>
            </w:r>
          </w:p>
        </w:tc>
        <w:tc>
          <w:tcPr>
            <w:tcW w:w="350" w:type="pct"/>
            <w:hideMark/>
          </w:tcPr>
          <w:p w14:paraId="373A5D51" w14:textId="77777777" w:rsidR="005353EB" w:rsidRPr="005353EB" w:rsidRDefault="005353EB" w:rsidP="005353EB">
            <w:pPr>
              <w:spacing w:after="160"/>
              <w:rPr>
                <w:rFonts w:ascii="Verdana" w:hAnsi="Verdana"/>
                <w:sz w:val="22"/>
                <w:szCs w:val="22"/>
              </w:rPr>
            </w:pPr>
            <w:r w:rsidRPr="005353EB">
              <w:rPr>
                <w:rFonts w:ascii="Verdana" w:hAnsi="Verdana"/>
                <w:sz w:val="22"/>
                <w:szCs w:val="22"/>
              </w:rPr>
              <w:t>6</w:t>
            </w:r>
          </w:p>
        </w:tc>
        <w:tc>
          <w:tcPr>
            <w:tcW w:w="400" w:type="pct"/>
            <w:hideMark/>
          </w:tcPr>
          <w:p w14:paraId="551AC97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800" w:type="pct"/>
            <w:gridSpan w:val="2"/>
            <w:hideMark/>
          </w:tcPr>
          <w:p w14:paraId="7FB08AC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32CA359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ESTUDIOS SOCIALES OPERATIVOS Y ADMINISTRATIVOS PARA MEJORAR LA GESTION</w:t>
            </w:r>
          </w:p>
        </w:tc>
        <w:tc>
          <w:tcPr>
            <w:tcW w:w="950" w:type="pct"/>
            <w:hideMark/>
          </w:tcPr>
          <w:p w14:paraId="1275B3A6"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$ 1.050 000.000,00</w:t>
            </w:r>
          </w:p>
        </w:tc>
      </w:tr>
      <w:tr w:rsidR="005353EB" w:rsidRPr="005353EB" w14:paraId="709BD65A" w14:textId="77777777" w:rsidTr="005353EB">
        <w:tc>
          <w:tcPr>
            <w:tcW w:w="300" w:type="pct"/>
            <w:hideMark/>
          </w:tcPr>
          <w:p w14:paraId="0024AEF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410</w:t>
            </w:r>
          </w:p>
        </w:tc>
        <w:tc>
          <w:tcPr>
            <w:tcW w:w="350" w:type="pct"/>
            <w:hideMark/>
          </w:tcPr>
          <w:p w14:paraId="1A57EB8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300</w:t>
            </w:r>
          </w:p>
        </w:tc>
        <w:tc>
          <w:tcPr>
            <w:tcW w:w="400" w:type="pct"/>
            <w:hideMark/>
          </w:tcPr>
          <w:p w14:paraId="39F378A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6</w:t>
            </w:r>
          </w:p>
        </w:tc>
        <w:tc>
          <w:tcPr>
            <w:tcW w:w="400" w:type="pct"/>
            <w:hideMark/>
          </w:tcPr>
          <w:p w14:paraId="4C697CD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350" w:type="pct"/>
            <w:hideMark/>
          </w:tcPr>
          <w:p w14:paraId="05E80B8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101</w:t>
            </w:r>
          </w:p>
        </w:tc>
        <w:tc>
          <w:tcPr>
            <w:tcW w:w="650" w:type="pct"/>
            <w:gridSpan w:val="2"/>
            <w:hideMark/>
          </w:tcPr>
          <w:p w14:paraId="320FA47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600" w:type="pct"/>
            <w:hideMark/>
          </w:tcPr>
          <w:p w14:paraId="1D265D2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INVESTIGACION Y EVALUACION</w:t>
            </w:r>
          </w:p>
        </w:tc>
        <w:tc>
          <w:tcPr>
            <w:tcW w:w="950" w:type="pct"/>
            <w:hideMark/>
          </w:tcPr>
          <w:p w14:paraId="63D1544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08ECDB17" w14:textId="77777777" w:rsidTr="005353EB">
        <w:tc>
          <w:tcPr>
            <w:tcW w:w="650" w:type="pct"/>
            <w:gridSpan w:val="2"/>
            <w:hideMark/>
          </w:tcPr>
          <w:p w14:paraId="257B265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007BBEB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2651234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27</w:t>
            </w:r>
          </w:p>
        </w:tc>
        <w:tc>
          <w:tcPr>
            <w:tcW w:w="1800" w:type="pct"/>
            <w:gridSpan w:val="2"/>
            <w:hideMark/>
          </w:tcPr>
          <w:p w14:paraId="11C3A46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RENTAS PARAFISCALES</w:t>
            </w:r>
          </w:p>
        </w:tc>
        <w:tc>
          <w:tcPr>
            <w:tcW w:w="950" w:type="pct"/>
            <w:hideMark/>
          </w:tcPr>
          <w:p w14:paraId="1987C71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3FABA1F6" w14:textId="77777777" w:rsidTr="005353EB">
        <w:tc>
          <w:tcPr>
            <w:tcW w:w="650" w:type="pct"/>
            <w:gridSpan w:val="2"/>
            <w:hideMark/>
          </w:tcPr>
          <w:p w14:paraId="019DBF83" w14:textId="77777777" w:rsidR="005353EB" w:rsidRPr="005353EB" w:rsidRDefault="005353EB" w:rsidP="005353EB">
            <w:pPr>
              <w:spacing w:after="160"/>
              <w:rPr>
                <w:rFonts w:ascii="Verdana" w:hAnsi="Verdana"/>
                <w:sz w:val="22"/>
                <w:szCs w:val="22"/>
              </w:rPr>
            </w:pPr>
            <w:r w:rsidRPr="005353EB">
              <w:rPr>
                <w:rFonts w:ascii="Verdana" w:hAnsi="Verdana"/>
                <w:sz w:val="22"/>
                <w:szCs w:val="22"/>
              </w:rPr>
              <w:lastRenderedPageBreak/>
              <w:t> </w:t>
            </w:r>
          </w:p>
        </w:tc>
        <w:tc>
          <w:tcPr>
            <w:tcW w:w="800" w:type="pct"/>
            <w:gridSpan w:val="2"/>
            <w:hideMark/>
          </w:tcPr>
          <w:p w14:paraId="1BC8BEA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7F45BA8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200" w:type="pct"/>
            <w:hideMark/>
          </w:tcPr>
          <w:p w14:paraId="3111DC2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01</w:t>
            </w:r>
          </w:p>
        </w:tc>
        <w:tc>
          <w:tcPr>
            <w:tcW w:w="1600" w:type="pct"/>
            <w:hideMark/>
          </w:tcPr>
          <w:p w14:paraId="1537C1F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SEDE NACIONAL</w:t>
            </w:r>
          </w:p>
        </w:tc>
        <w:tc>
          <w:tcPr>
            <w:tcW w:w="950" w:type="pct"/>
            <w:hideMark/>
          </w:tcPr>
          <w:p w14:paraId="1719465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$ 1.050.000.000,00</w:t>
            </w:r>
          </w:p>
        </w:tc>
      </w:tr>
      <w:tr w:rsidR="005353EB" w:rsidRPr="005353EB" w14:paraId="0B84DC11" w14:textId="77777777" w:rsidTr="005353EB">
        <w:tc>
          <w:tcPr>
            <w:tcW w:w="300" w:type="pct"/>
            <w:hideMark/>
          </w:tcPr>
          <w:p w14:paraId="367142F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750" w:type="pct"/>
            <w:gridSpan w:val="2"/>
            <w:hideMark/>
          </w:tcPr>
          <w:p w14:paraId="3222ED7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750" w:type="pct"/>
            <w:gridSpan w:val="2"/>
            <w:hideMark/>
          </w:tcPr>
          <w:p w14:paraId="00FC27F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6495609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600" w:type="pct"/>
            <w:hideMark/>
          </w:tcPr>
          <w:p w14:paraId="51A6FCA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ADMINISTRACION ATENCION CONTROL Y ORGANIZACION INSTITUCIONAL PARA LA ADMINISTRACION DEL ESTADO</w:t>
            </w:r>
          </w:p>
        </w:tc>
        <w:tc>
          <w:tcPr>
            <w:tcW w:w="950" w:type="pct"/>
            <w:hideMark/>
          </w:tcPr>
          <w:p w14:paraId="0E37BE1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$ 531.591.221,00</w:t>
            </w:r>
          </w:p>
        </w:tc>
      </w:tr>
      <w:tr w:rsidR="005353EB" w:rsidRPr="005353EB" w14:paraId="34A97A36" w14:textId="77777777" w:rsidTr="005353EB">
        <w:tc>
          <w:tcPr>
            <w:tcW w:w="300" w:type="pct"/>
            <w:hideMark/>
          </w:tcPr>
          <w:p w14:paraId="02FB2BE1"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350" w:type="pct"/>
            <w:hideMark/>
          </w:tcPr>
          <w:p w14:paraId="78CF16F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1500</w:t>
            </w:r>
          </w:p>
        </w:tc>
        <w:tc>
          <w:tcPr>
            <w:tcW w:w="800" w:type="pct"/>
            <w:gridSpan w:val="2"/>
            <w:hideMark/>
          </w:tcPr>
          <w:p w14:paraId="3BB05BA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77B9958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25AB015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INTERSUBSECTORIAL DESARROLLO SOCIAL</w:t>
            </w:r>
          </w:p>
        </w:tc>
        <w:tc>
          <w:tcPr>
            <w:tcW w:w="950" w:type="pct"/>
            <w:hideMark/>
          </w:tcPr>
          <w:p w14:paraId="2C5E31C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$ 531.591.221,00</w:t>
            </w:r>
          </w:p>
        </w:tc>
      </w:tr>
      <w:tr w:rsidR="005353EB" w:rsidRPr="005353EB" w14:paraId="72117728" w14:textId="77777777" w:rsidTr="005353EB">
        <w:tc>
          <w:tcPr>
            <w:tcW w:w="300" w:type="pct"/>
            <w:hideMark/>
          </w:tcPr>
          <w:p w14:paraId="64C2434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350" w:type="pct"/>
            <w:hideMark/>
          </w:tcPr>
          <w:p w14:paraId="0B9CF17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1500</w:t>
            </w:r>
          </w:p>
        </w:tc>
        <w:tc>
          <w:tcPr>
            <w:tcW w:w="400" w:type="pct"/>
            <w:hideMark/>
          </w:tcPr>
          <w:p w14:paraId="1EE710F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750" w:type="pct"/>
            <w:gridSpan w:val="2"/>
            <w:hideMark/>
          </w:tcPr>
          <w:p w14:paraId="2182547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650" w:type="pct"/>
            <w:gridSpan w:val="2"/>
            <w:hideMark/>
          </w:tcPr>
          <w:p w14:paraId="1FEFC57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600" w:type="pct"/>
            <w:hideMark/>
          </w:tcPr>
          <w:p w14:paraId="4C77CE8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ASISTENCIA AL MODELO DE INTERVENCION SOCIAL DEL ICBF A NIVEL NACIONAL</w:t>
            </w:r>
          </w:p>
        </w:tc>
        <w:tc>
          <w:tcPr>
            <w:tcW w:w="950" w:type="pct"/>
            <w:hideMark/>
          </w:tcPr>
          <w:p w14:paraId="2B3A2E5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$ 531.591.221,00</w:t>
            </w:r>
          </w:p>
        </w:tc>
      </w:tr>
      <w:tr w:rsidR="005353EB" w:rsidRPr="005353EB" w14:paraId="6ABAA940" w14:textId="77777777" w:rsidTr="005353EB">
        <w:tc>
          <w:tcPr>
            <w:tcW w:w="300" w:type="pct"/>
            <w:hideMark/>
          </w:tcPr>
          <w:p w14:paraId="23151D6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350" w:type="pct"/>
            <w:hideMark/>
          </w:tcPr>
          <w:p w14:paraId="7C1623E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1500</w:t>
            </w:r>
          </w:p>
        </w:tc>
        <w:tc>
          <w:tcPr>
            <w:tcW w:w="400" w:type="pct"/>
            <w:hideMark/>
          </w:tcPr>
          <w:p w14:paraId="786D32AE"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400" w:type="pct"/>
            <w:hideMark/>
          </w:tcPr>
          <w:p w14:paraId="103E398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800" w:type="pct"/>
            <w:gridSpan w:val="2"/>
            <w:hideMark/>
          </w:tcPr>
          <w:p w14:paraId="3E3163F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800" w:type="pct"/>
            <w:gridSpan w:val="2"/>
            <w:hideMark/>
          </w:tcPr>
          <w:p w14:paraId="07D564A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ASISTENCIA AL MODELO DE INTERVENCION SOCIAL DEL ICBF A NIVEL NACIONAL</w:t>
            </w:r>
          </w:p>
        </w:tc>
        <w:tc>
          <w:tcPr>
            <w:tcW w:w="950" w:type="pct"/>
            <w:hideMark/>
          </w:tcPr>
          <w:p w14:paraId="20835E05"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$ 531.591.221,00</w:t>
            </w:r>
          </w:p>
        </w:tc>
      </w:tr>
      <w:tr w:rsidR="005353EB" w:rsidRPr="005353EB" w14:paraId="7605DA34" w14:textId="77777777" w:rsidTr="005353EB">
        <w:tc>
          <w:tcPr>
            <w:tcW w:w="300" w:type="pct"/>
            <w:hideMark/>
          </w:tcPr>
          <w:p w14:paraId="15FBE86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350" w:type="pct"/>
            <w:hideMark/>
          </w:tcPr>
          <w:p w14:paraId="7C0E627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1500</w:t>
            </w:r>
          </w:p>
        </w:tc>
        <w:tc>
          <w:tcPr>
            <w:tcW w:w="400" w:type="pct"/>
            <w:hideMark/>
          </w:tcPr>
          <w:p w14:paraId="4EE48D41"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400" w:type="pct"/>
            <w:hideMark/>
          </w:tcPr>
          <w:p w14:paraId="310BD39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350" w:type="pct"/>
            <w:hideMark/>
          </w:tcPr>
          <w:p w14:paraId="2DC17E6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701</w:t>
            </w:r>
          </w:p>
        </w:tc>
        <w:tc>
          <w:tcPr>
            <w:tcW w:w="650" w:type="pct"/>
            <w:gridSpan w:val="2"/>
            <w:hideMark/>
          </w:tcPr>
          <w:p w14:paraId="731A3B5B"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600" w:type="pct"/>
            <w:hideMark/>
          </w:tcPr>
          <w:p w14:paraId="5064166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MEJORAMIENTO A LA GESTION INSTITUCIONAL</w:t>
            </w:r>
          </w:p>
        </w:tc>
        <w:tc>
          <w:tcPr>
            <w:tcW w:w="950" w:type="pct"/>
            <w:hideMark/>
          </w:tcPr>
          <w:p w14:paraId="2ABB7F0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$ 181.591.221,00</w:t>
            </w:r>
          </w:p>
        </w:tc>
      </w:tr>
      <w:tr w:rsidR="005353EB" w:rsidRPr="005353EB" w14:paraId="3B6358A8" w14:textId="77777777" w:rsidTr="005353EB">
        <w:tc>
          <w:tcPr>
            <w:tcW w:w="650" w:type="pct"/>
            <w:gridSpan w:val="2"/>
            <w:hideMark/>
          </w:tcPr>
          <w:p w14:paraId="5990FDD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2A67122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4F30FF7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27</w:t>
            </w:r>
          </w:p>
        </w:tc>
        <w:tc>
          <w:tcPr>
            <w:tcW w:w="1800" w:type="pct"/>
            <w:gridSpan w:val="2"/>
            <w:hideMark/>
          </w:tcPr>
          <w:p w14:paraId="25C678F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RENTAS PARAFISCALES</w:t>
            </w:r>
          </w:p>
        </w:tc>
        <w:tc>
          <w:tcPr>
            <w:tcW w:w="950" w:type="pct"/>
            <w:hideMark/>
          </w:tcPr>
          <w:p w14:paraId="4A1C512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$ 181.591.221,00</w:t>
            </w:r>
          </w:p>
        </w:tc>
      </w:tr>
      <w:tr w:rsidR="005353EB" w:rsidRPr="005353EB" w14:paraId="3880BE0D" w14:textId="77777777" w:rsidTr="005353EB">
        <w:tc>
          <w:tcPr>
            <w:tcW w:w="650" w:type="pct"/>
            <w:gridSpan w:val="2"/>
            <w:hideMark/>
          </w:tcPr>
          <w:p w14:paraId="6D4D040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3EA0D9C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3BCED77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200" w:type="pct"/>
            <w:hideMark/>
          </w:tcPr>
          <w:p w14:paraId="092DEBD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01</w:t>
            </w:r>
          </w:p>
        </w:tc>
        <w:tc>
          <w:tcPr>
            <w:tcW w:w="1600" w:type="pct"/>
            <w:hideMark/>
          </w:tcPr>
          <w:p w14:paraId="41BC921C" w14:textId="77777777" w:rsidR="005353EB" w:rsidRPr="005353EB" w:rsidRDefault="005353EB" w:rsidP="005353EB">
            <w:pPr>
              <w:spacing w:after="160"/>
              <w:rPr>
                <w:rFonts w:ascii="Verdana" w:hAnsi="Verdana"/>
                <w:sz w:val="22"/>
                <w:szCs w:val="22"/>
              </w:rPr>
            </w:pPr>
            <w:r w:rsidRPr="005353EB">
              <w:rPr>
                <w:rFonts w:ascii="Verdana" w:hAnsi="Verdana"/>
                <w:sz w:val="22"/>
                <w:szCs w:val="22"/>
              </w:rPr>
              <w:t>SEDE NACIONAL</w:t>
            </w:r>
          </w:p>
        </w:tc>
        <w:tc>
          <w:tcPr>
            <w:tcW w:w="950" w:type="pct"/>
            <w:hideMark/>
          </w:tcPr>
          <w:p w14:paraId="7A3E063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$ 181.591.221,00</w:t>
            </w:r>
          </w:p>
        </w:tc>
      </w:tr>
      <w:tr w:rsidR="005353EB" w:rsidRPr="005353EB" w14:paraId="4B616838" w14:textId="77777777" w:rsidTr="005353EB">
        <w:tc>
          <w:tcPr>
            <w:tcW w:w="300" w:type="pct"/>
            <w:hideMark/>
          </w:tcPr>
          <w:p w14:paraId="3E07C56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520</w:t>
            </w:r>
          </w:p>
        </w:tc>
        <w:tc>
          <w:tcPr>
            <w:tcW w:w="350" w:type="pct"/>
            <w:hideMark/>
          </w:tcPr>
          <w:p w14:paraId="4B2BC6B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1500</w:t>
            </w:r>
          </w:p>
        </w:tc>
        <w:tc>
          <w:tcPr>
            <w:tcW w:w="400" w:type="pct"/>
            <w:hideMark/>
          </w:tcPr>
          <w:p w14:paraId="6974632D" w14:textId="77777777" w:rsidR="005353EB" w:rsidRPr="005353EB" w:rsidRDefault="005353EB" w:rsidP="005353EB">
            <w:pPr>
              <w:spacing w:after="160"/>
              <w:rPr>
                <w:rFonts w:ascii="Verdana" w:hAnsi="Verdana"/>
                <w:sz w:val="22"/>
                <w:szCs w:val="22"/>
              </w:rPr>
            </w:pPr>
            <w:r w:rsidRPr="005353EB">
              <w:rPr>
                <w:rFonts w:ascii="Verdana" w:hAnsi="Verdana"/>
                <w:sz w:val="22"/>
                <w:szCs w:val="22"/>
              </w:rPr>
              <w:t>1</w:t>
            </w:r>
          </w:p>
        </w:tc>
        <w:tc>
          <w:tcPr>
            <w:tcW w:w="400" w:type="pct"/>
            <w:hideMark/>
          </w:tcPr>
          <w:p w14:paraId="310DB4B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w:t>
            </w:r>
          </w:p>
        </w:tc>
        <w:tc>
          <w:tcPr>
            <w:tcW w:w="350" w:type="pct"/>
            <w:hideMark/>
          </w:tcPr>
          <w:p w14:paraId="75DB1550" w14:textId="77777777" w:rsidR="005353EB" w:rsidRPr="005353EB" w:rsidRDefault="005353EB" w:rsidP="005353EB">
            <w:pPr>
              <w:spacing w:after="160"/>
              <w:rPr>
                <w:rFonts w:ascii="Verdana" w:hAnsi="Verdana"/>
                <w:sz w:val="22"/>
                <w:szCs w:val="22"/>
              </w:rPr>
            </w:pPr>
            <w:r w:rsidRPr="005353EB">
              <w:rPr>
                <w:rFonts w:ascii="Verdana" w:hAnsi="Verdana"/>
                <w:sz w:val="22"/>
                <w:szCs w:val="22"/>
              </w:rPr>
              <w:t>705</w:t>
            </w:r>
          </w:p>
        </w:tc>
        <w:tc>
          <w:tcPr>
            <w:tcW w:w="650" w:type="pct"/>
            <w:gridSpan w:val="2"/>
            <w:hideMark/>
          </w:tcPr>
          <w:p w14:paraId="70CDA4C8"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1600" w:type="pct"/>
            <w:hideMark/>
          </w:tcPr>
          <w:p w14:paraId="1C377D4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SOPORTE A LA GESTION TRANSVERSAL</w:t>
            </w:r>
          </w:p>
        </w:tc>
        <w:tc>
          <w:tcPr>
            <w:tcW w:w="950" w:type="pct"/>
            <w:hideMark/>
          </w:tcPr>
          <w:p w14:paraId="17CDC09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$ 350.000.000,00</w:t>
            </w:r>
          </w:p>
        </w:tc>
      </w:tr>
      <w:tr w:rsidR="005353EB" w:rsidRPr="005353EB" w14:paraId="27E4F1C3" w14:textId="77777777" w:rsidTr="005353EB">
        <w:tc>
          <w:tcPr>
            <w:tcW w:w="650" w:type="pct"/>
            <w:gridSpan w:val="2"/>
            <w:hideMark/>
          </w:tcPr>
          <w:p w14:paraId="72E81B9C" w14:textId="77777777" w:rsidR="005353EB" w:rsidRPr="005353EB" w:rsidRDefault="005353EB" w:rsidP="005353EB">
            <w:pPr>
              <w:spacing w:after="160"/>
              <w:rPr>
                <w:rFonts w:ascii="Verdana" w:hAnsi="Verdana"/>
                <w:sz w:val="22"/>
                <w:szCs w:val="22"/>
              </w:rPr>
            </w:pPr>
            <w:r w:rsidRPr="005353EB">
              <w:rPr>
                <w:rFonts w:ascii="Verdana" w:hAnsi="Verdana"/>
                <w:sz w:val="22"/>
                <w:szCs w:val="22"/>
              </w:rPr>
              <w:lastRenderedPageBreak/>
              <w:t> </w:t>
            </w:r>
          </w:p>
        </w:tc>
        <w:tc>
          <w:tcPr>
            <w:tcW w:w="800" w:type="pct"/>
            <w:gridSpan w:val="2"/>
            <w:hideMark/>
          </w:tcPr>
          <w:p w14:paraId="4D7825C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154D678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27</w:t>
            </w:r>
          </w:p>
        </w:tc>
        <w:tc>
          <w:tcPr>
            <w:tcW w:w="1800" w:type="pct"/>
            <w:gridSpan w:val="2"/>
            <w:hideMark/>
          </w:tcPr>
          <w:p w14:paraId="5588AC82" w14:textId="77777777" w:rsidR="005353EB" w:rsidRPr="005353EB" w:rsidRDefault="005353EB" w:rsidP="005353EB">
            <w:pPr>
              <w:spacing w:after="160"/>
              <w:rPr>
                <w:rFonts w:ascii="Verdana" w:hAnsi="Verdana"/>
                <w:sz w:val="22"/>
                <w:szCs w:val="22"/>
              </w:rPr>
            </w:pPr>
            <w:r w:rsidRPr="005353EB">
              <w:rPr>
                <w:rFonts w:ascii="Verdana" w:hAnsi="Verdana"/>
                <w:sz w:val="22"/>
                <w:szCs w:val="22"/>
              </w:rPr>
              <w:t>RENTAS PARAFISCALES</w:t>
            </w:r>
          </w:p>
        </w:tc>
        <w:tc>
          <w:tcPr>
            <w:tcW w:w="950" w:type="pct"/>
            <w:hideMark/>
          </w:tcPr>
          <w:p w14:paraId="774EDF99"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$ 350.000.000,00</w:t>
            </w:r>
          </w:p>
        </w:tc>
      </w:tr>
      <w:tr w:rsidR="005353EB" w:rsidRPr="005353EB" w14:paraId="2B549CC4" w14:textId="77777777" w:rsidTr="005353EB">
        <w:tc>
          <w:tcPr>
            <w:tcW w:w="650" w:type="pct"/>
            <w:gridSpan w:val="2"/>
            <w:hideMark/>
          </w:tcPr>
          <w:p w14:paraId="151B7F03"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5AE46044"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800" w:type="pct"/>
            <w:gridSpan w:val="2"/>
            <w:hideMark/>
          </w:tcPr>
          <w:p w14:paraId="064E0A2A"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w:t>
            </w:r>
          </w:p>
        </w:tc>
        <w:tc>
          <w:tcPr>
            <w:tcW w:w="200" w:type="pct"/>
            <w:hideMark/>
          </w:tcPr>
          <w:p w14:paraId="7AE8B197" w14:textId="77777777" w:rsidR="005353EB" w:rsidRPr="005353EB" w:rsidRDefault="005353EB" w:rsidP="005353EB">
            <w:pPr>
              <w:spacing w:after="160"/>
              <w:rPr>
                <w:rFonts w:ascii="Verdana" w:hAnsi="Verdana"/>
                <w:sz w:val="22"/>
                <w:szCs w:val="22"/>
              </w:rPr>
            </w:pPr>
            <w:r w:rsidRPr="005353EB">
              <w:rPr>
                <w:rFonts w:ascii="Verdana" w:hAnsi="Verdana"/>
                <w:sz w:val="22"/>
                <w:szCs w:val="22"/>
              </w:rPr>
              <w:t>01</w:t>
            </w:r>
          </w:p>
        </w:tc>
        <w:tc>
          <w:tcPr>
            <w:tcW w:w="1600" w:type="pct"/>
            <w:hideMark/>
          </w:tcPr>
          <w:p w14:paraId="4BF1E0DF" w14:textId="77777777" w:rsidR="005353EB" w:rsidRPr="005353EB" w:rsidRDefault="005353EB" w:rsidP="005353EB">
            <w:pPr>
              <w:spacing w:after="160"/>
              <w:rPr>
                <w:rFonts w:ascii="Verdana" w:hAnsi="Verdana"/>
                <w:sz w:val="22"/>
                <w:szCs w:val="22"/>
              </w:rPr>
            </w:pPr>
            <w:r w:rsidRPr="005353EB">
              <w:rPr>
                <w:rFonts w:ascii="Verdana" w:hAnsi="Verdana"/>
                <w:sz w:val="22"/>
                <w:szCs w:val="22"/>
              </w:rPr>
              <w:t>SEDE NACIONAL</w:t>
            </w:r>
          </w:p>
        </w:tc>
        <w:tc>
          <w:tcPr>
            <w:tcW w:w="950" w:type="pct"/>
            <w:hideMark/>
          </w:tcPr>
          <w:p w14:paraId="194C9DF6" w14:textId="77777777" w:rsidR="005353EB" w:rsidRPr="005353EB" w:rsidRDefault="005353EB" w:rsidP="005353EB">
            <w:pPr>
              <w:spacing w:after="160"/>
              <w:rPr>
                <w:rFonts w:ascii="Verdana" w:hAnsi="Verdana"/>
                <w:sz w:val="22"/>
                <w:szCs w:val="22"/>
              </w:rPr>
            </w:pPr>
            <w:r w:rsidRPr="005353EB">
              <w:rPr>
                <w:rFonts w:ascii="Verdana" w:hAnsi="Verdana"/>
                <w:sz w:val="22"/>
                <w:szCs w:val="22"/>
              </w:rPr>
              <w:t>$ 350.000.000,00</w:t>
            </w:r>
          </w:p>
        </w:tc>
      </w:tr>
    </w:tbl>
    <w:p w14:paraId="532717FD" w14:textId="77777777" w:rsidR="005353EB" w:rsidRDefault="005353EB" w:rsidP="004B2FAB">
      <w:pPr>
        <w:rPr>
          <w:rFonts w:ascii="Verdana" w:hAnsi="Verdana"/>
          <w:sz w:val="22"/>
          <w:szCs w:val="22"/>
        </w:rPr>
      </w:pPr>
    </w:p>
    <w:p w14:paraId="3C72233E" w14:textId="0D0A60B8" w:rsidR="00834EBA" w:rsidRPr="004B2FAB" w:rsidRDefault="00834EBA" w:rsidP="004B2FAB">
      <w:pPr>
        <w:rPr>
          <w:rFonts w:ascii="Verdana" w:hAnsi="Verdana"/>
          <w:sz w:val="22"/>
          <w:szCs w:val="22"/>
        </w:rPr>
      </w:pPr>
      <w:r w:rsidRPr="005353EB">
        <w:rPr>
          <w:rFonts w:ascii="Verdana" w:hAnsi="Verdana"/>
          <w:b/>
          <w:bCs/>
          <w:sz w:val="22"/>
          <w:szCs w:val="22"/>
        </w:rPr>
        <w:t xml:space="preserve">ARTÍCULO </w:t>
      </w:r>
      <w:r w:rsidR="005353EB" w:rsidRPr="005353EB">
        <w:rPr>
          <w:rFonts w:ascii="Verdana" w:hAnsi="Verdana"/>
          <w:b/>
          <w:bCs/>
          <w:sz w:val="22"/>
          <w:szCs w:val="22"/>
        </w:rPr>
        <w:t>2o</w:t>
      </w:r>
      <w:r w:rsidRPr="005353EB">
        <w:rPr>
          <w:rFonts w:ascii="Verdana" w:hAnsi="Verdana"/>
          <w:b/>
          <w:bCs/>
          <w:sz w:val="22"/>
          <w:szCs w:val="22"/>
        </w:rPr>
        <w:t>.</w:t>
      </w:r>
      <w:r w:rsidRPr="004B2FAB">
        <w:rPr>
          <w:rFonts w:ascii="Verdana" w:hAnsi="Verdana"/>
          <w:sz w:val="22"/>
          <w:szCs w:val="22"/>
        </w:rPr>
        <w:t xml:space="preserve"> La presente resolución rige a partir de la fecha de su expedición.</w:t>
      </w:r>
    </w:p>
    <w:p w14:paraId="13B2BC49" w14:textId="56E63960" w:rsidR="00834EBA" w:rsidRPr="005353EB" w:rsidRDefault="00834EBA" w:rsidP="005353EB">
      <w:pPr>
        <w:jc w:val="center"/>
        <w:rPr>
          <w:rFonts w:ascii="Verdana" w:hAnsi="Verdana"/>
          <w:b/>
          <w:bCs/>
          <w:sz w:val="22"/>
          <w:szCs w:val="22"/>
        </w:rPr>
      </w:pPr>
      <w:r w:rsidRPr="005353EB">
        <w:rPr>
          <w:rFonts w:ascii="Verdana" w:hAnsi="Verdana"/>
          <w:b/>
          <w:bCs/>
          <w:sz w:val="22"/>
          <w:szCs w:val="22"/>
        </w:rPr>
        <w:t>COMUNIQUESE Y CÚMPLASE</w:t>
      </w:r>
      <w:r w:rsidR="005353EB">
        <w:rPr>
          <w:rFonts w:ascii="Verdana" w:hAnsi="Verdana"/>
          <w:b/>
          <w:bCs/>
          <w:sz w:val="22"/>
          <w:szCs w:val="22"/>
        </w:rPr>
        <w:t>,</w:t>
      </w:r>
    </w:p>
    <w:p w14:paraId="2670230E" w14:textId="7824358C" w:rsidR="00834EBA" w:rsidRPr="004B2FAB" w:rsidRDefault="00834EBA" w:rsidP="005353EB">
      <w:pPr>
        <w:jc w:val="center"/>
        <w:rPr>
          <w:rFonts w:ascii="Verdana" w:hAnsi="Verdana"/>
          <w:sz w:val="22"/>
          <w:szCs w:val="22"/>
        </w:rPr>
      </w:pPr>
      <w:r w:rsidRPr="004B2FAB">
        <w:rPr>
          <w:rFonts w:ascii="Verdana" w:hAnsi="Verdana"/>
          <w:sz w:val="22"/>
          <w:szCs w:val="22"/>
        </w:rPr>
        <w:t xml:space="preserve">Dada en Riohacha D.C., a los 30 </w:t>
      </w:r>
      <w:r w:rsidR="005353EB">
        <w:rPr>
          <w:rFonts w:ascii="Verdana" w:hAnsi="Verdana"/>
          <w:sz w:val="22"/>
          <w:szCs w:val="22"/>
        </w:rPr>
        <w:t xml:space="preserve">días del mes de marzo de </w:t>
      </w:r>
      <w:r w:rsidRPr="004B2FAB">
        <w:rPr>
          <w:rFonts w:ascii="Verdana" w:hAnsi="Verdana"/>
          <w:sz w:val="22"/>
          <w:szCs w:val="22"/>
        </w:rPr>
        <w:t>2016</w:t>
      </w:r>
    </w:p>
    <w:p w14:paraId="371D17F1" w14:textId="146005E7" w:rsidR="00834EBA" w:rsidRPr="005353EB" w:rsidRDefault="00834EBA" w:rsidP="005353EB">
      <w:pPr>
        <w:jc w:val="center"/>
        <w:rPr>
          <w:rFonts w:ascii="Verdana" w:hAnsi="Verdana"/>
          <w:b/>
          <w:bCs/>
          <w:sz w:val="22"/>
          <w:szCs w:val="22"/>
        </w:rPr>
      </w:pPr>
      <w:r w:rsidRPr="005353EB">
        <w:rPr>
          <w:rFonts w:ascii="Verdana" w:hAnsi="Verdana"/>
          <w:b/>
          <w:bCs/>
          <w:sz w:val="22"/>
          <w:szCs w:val="22"/>
        </w:rPr>
        <w:t>CRISTINA PLAZAS MICHELSEN</w:t>
      </w:r>
    </w:p>
    <w:p w14:paraId="376D4E71" w14:textId="206FC278" w:rsidR="0088588F" w:rsidRPr="004B2FAB" w:rsidRDefault="005353EB" w:rsidP="005353EB">
      <w:pPr>
        <w:jc w:val="center"/>
        <w:rPr>
          <w:rFonts w:ascii="Verdana" w:hAnsi="Verdana"/>
          <w:sz w:val="22"/>
          <w:szCs w:val="22"/>
        </w:rPr>
      </w:pPr>
      <w:r w:rsidRPr="004B2FAB">
        <w:rPr>
          <w:rFonts w:ascii="Verdana" w:hAnsi="Verdana"/>
          <w:sz w:val="22"/>
          <w:szCs w:val="22"/>
        </w:rPr>
        <w:t>DIRECTORA GENERAL</w:t>
      </w:r>
    </w:p>
    <w:sectPr w:rsidR="0088588F" w:rsidRPr="004B2F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00B7E"/>
    <w:multiLevelType w:val="hybridMultilevel"/>
    <w:tmpl w:val="5C3A93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4703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E7"/>
    <w:rsid w:val="00015D2A"/>
    <w:rsid w:val="00101267"/>
    <w:rsid w:val="004717F9"/>
    <w:rsid w:val="00490B89"/>
    <w:rsid w:val="004B2FAB"/>
    <w:rsid w:val="004C01B4"/>
    <w:rsid w:val="005353EB"/>
    <w:rsid w:val="00550F5C"/>
    <w:rsid w:val="00664AE7"/>
    <w:rsid w:val="00834EBA"/>
    <w:rsid w:val="0088588F"/>
    <w:rsid w:val="00E51DE7"/>
    <w:rsid w:val="00E75D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A931"/>
  <w15:chartTrackingRefBased/>
  <w15:docId w15:val="{FE5F4B4E-3319-4E67-92D8-8B75902C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4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4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4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4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64AE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64A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64AE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64AE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64AE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A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4A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4AE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4AE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64AE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64AE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64AE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64AE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64AE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64A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4A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4A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AE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64AE7"/>
    <w:pPr>
      <w:spacing w:before="160"/>
      <w:jc w:val="center"/>
    </w:pPr>
    <w:rPr>
      <w:i/>
      <w:iCs/>
      <w:color w:val="404040" w:themeColor="text1" w:themeTint="BF"/>
    </w:rPr>
  </w:style>
  <w:style w:type="character" w:customStyle="1" w:styleId="CitaCar">
    <w:name w:val="Cita Car"/>
    <w:basedOn w:val="Fuentedeprrafopredeter"/>
    <w:link w:val="Cita"/>
    <w:uiPriority w:val="29"/>
    <w:rsid w:val="00664AE7"/>
    <w:rPr>
      <w:i/>
      <w:iCs/>
      <w:color w:val="404040" w:themeColor="text1" w:themeTint="BF"/>
    </w:rPr>
  </w:style>
  <w:style w:type="paragraph" w:styleId="Prrafodelista">
    <w:name w:val="List Paragraph"/>
    <w:basedOn w:val="Normal"/>
    <w:uiPriority w:val="34"/>
    <w:qFormat/>
    <w:rsid w:val="00664AE7"/>
    <w:pPr>
      <w:ind w:left="720"/>
      <w:contextualSpacing/>
    </w:pPr>
  </w:style>
  <w:style w:type="character" w:styleId="nfasisintenso">
    <w:name w:val="Intense Emphasis"/>
    <w:basedOn w:val="Fuentedeprrafopredeter"/>
    <w:uiPriority w:val="21"/>
    <w:qFormat/>
    <w:rsid w:val="00664AE7"/>
    <w:rPr>
      <w:i/>
      <w:iCs/>
      <w:color w:val="0F4761" w:themeColor="accent1" w:themeShade="BF"/>
    </w:rPr>
  </w:style>
  <w:style w:type="paragraph" w:styleId="Citadestacada">
    <w:name w:val="Intense Quote"/>
    <w:basedOn w:val="Normal"/>
    <w:next w:val="Normal"/>
    <w:link w:val="CitadestacadaCar"/>
    <w:uiPriority w:val="30"/>
    <w:qFormat/>
    <w:rsid w:val="00664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AE7"/>
    <w:rPr>
      <w:i/>
      <w:iCs/>
      <w:color w:val="0F4761" w:themeColor="accent1" w:themeShade="BF"/>
    </w:rPr>
  </w:style>
  <w:style w:type="character" w:styleId="Referenciaintensa">
    <w:name w:val="Intense Reference"/>
    <w:basedOn w:val="Fuentedeprrafopredeter"/>
    <w:uiPriority w:val="32"/>
    <w:qFormat/>
    <w:rsid w:val="00664AE7"/>
    <w:rPr>
      <w:b/>
      <w:bCs/>
      <w:smallCaps/>
      <w:color w:val="0F4761" w:themeColor="accent1" w:themeShade="BF"/>
      <w:spacing w:val="5"/>
    </w:rPr>
  </w:style>
  <w:style w:type="table" w:styleId="Tablaconcuadrcula">
    <w:name w:val="Table Grid"/>
    <w:basedOn w:val="Tablanormal"/>
    <w:uiPriority w:val="39"/>
    <w:rsid w:val="005353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7DD92-2009-457E-8D55-6CF5B5F7D31A}"/>
</file>

<file path=customXml/itemProps2.xml><?xml version="1.0" encoding="utf-8"?>
<ds:datastoreItem xmlns:ds="http://schemas.openxmlformats.org/officeDocument/2006/customXml" ds:itemID="{15E521F2-22B0-4C2A-B148-7AA3B9E7ECCE}"/>
</file>

<file path=customXml/itemProps3.xml><?xml version="1.0" encoding="utf-8"?>
<ds:datastoreItem xmlns:ds="http://schemas.openxmlformats.org/officeDocument/2006/customXml" ds:itemID="{58E82E92-B1D2-4D4F-A6B9-1D5791F1ADD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1174</Words>
  <Characters>6216</Characters>
  <Application>Microsoft Office Word</Application>
  <DocSecurity>0</DocSecurity>
  <Lines>138</Lines>
  <Paragraphs>37</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2026-02-20T23:33:00Z</dcterms:created>
  <dcterms:modified xsi:type="dcterms:W3CDTF">2026-02-22T16:23:00Z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