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6061" w14:textId="77777777" w:rsidR="009B1A67" w:rsidRPr="009B1A67" w:rsidRDefault="009B1A67" w:rsidP="009B1A67">
      <w:pPr>
        <w:spacing w:line="240" w:lineRule="auto"/>
        <w:jc w:val="center"/>
        <w:rPr>
          <w:rFonts w:ascii="Verdana" w:hAnsi="Verdana"/>
        </w:rPr>
      </w:pPr>
      <w:r w:rsidRPr="009B1A67">
        <w:rPr>
          <w:rFonts w:ascii="Verdana" w:hAnsi="Verdana"/>
          <w:b/>
          <w:bCs/>
        </w:rPr>
        <w:t>RESOLUCIÓN 2569 DE 2010</w:t>
      </w:r>
    </w:p>
    <w:p w14:paraId="034168D7" w14:textId="77777777" w:rsidR="00E568DF" w:rsidRPr="00E568DF" w:rsidRDefault="00E568DF" w:rsidP="00E568DF">
      <w:pPr>
        <w:pStyle w:val="Sinespaciado"/>
        <w:rPr>
          <w:rFonts w:ascii="Verdana" w:hAnsi="Verdana"/>
          <w:sz w:val="20"/>
          <w:szCs w:val="20"/>
        </w:rPr>
      </w:pPr>
      <w:r w:rsidRPr="00E568DF">
        <w:rPr>
          <w:rFonts w:ascii="Verdana" w:hAnsi="Verdana"/>
          <w:sz w:val="20"/>
          <w:szCs w:val="20"/>
        </w:rPr>
        <w:t>Fecha de Expedición: 22 de junio de 2010</w:t>
      </w:r>
    </w:p>
    <w:p w14:paraId="7F5FBE24" w14:textId="77777777" w:rsidR="00E568DF" w:rsidRPr="00E568DF" w:rsidRDefault="00E568DF" w:rsidP="00E568DF">
      <w:pPr>
        <w:pStyle w:val="Sinespaciado"/>
        <w:rPr>
          <w:rFonts w:ascii="Verdana" w:hAnsi="Verdana"/>
          <w:sz w:val="20"/>
          <w:szCs w:val="20"/>
        </w:rPr>
      </w:pPr>
      <w:r w:rsidRPr="00E568DF">
        <w:rPr>
          <w:rFonts w:ascii="Verdana" w:hAnsi="Verdana"/>
          <w:sz w:val="20"/>
          <w:szCs w:val="20"/>
        </w:rPr>
        <w:t xml:space="preserve">Fecha de </w:t>
      </w:r>
      <w:proofErr w:type="gramStart"/>
      <w:r w:rsidRPr="00E568DF">
        <w:rPr>
          <w:rFonts w:ascii="Verdana" w:hAnsi="Verdana"/>
          <w:sz w:val="20"/>
          <w:szCs w:val="20"/>
        </w:rPr>
        <w:t>entrada en vigencia</w:t>
      </w:r>
      <w:proofErr w:type="gramEnd"/>
      <w:r w:rsidRPr="00E568DF">
        <w:rPr>
          <w:rFonts w:ascii="Verdana" w:hAnsi="Verdana"/>
          <w:sz w:val="20"/>
          <w:szCs w:val="20"/>
        </w:rPr>
        <w:t xml:space="preserve">: 22 de junio de 2010 </w:t>
      </w:r>
    </w:p>
    <w:p w14:paraId="23D09DBB" w14:textId="77777777" w:rsidR="00E568DF" w:rsidRDefault="00E568DF" w:rsidP="00E568DF">
      <w:pPr>
        <w:pStyle w:val="Sinespaciado"/>
        <w:rPr>
          <w:rFonts w:ascii="Verdana" w:hAnsi="Verdana"/>
          <w:sz w:val="20"/>
          <w:szCs w:val="20"/>
        </w:rPr>
      </w:pPr>
      <w:r w:rsidRPr="00E568DF">
        <w:rPr>
          <w:rFonts w:ascii="Verdana" w:hAnsi="Verdana"/>
          <w:sz w:val="20"/>
          <w:szCs w:val="20"/>
        </w:rPr>
        <w:t xml:space="preserve">Estado de la vigencia: vigente </w:t>
      </w:r>
      <w:r w:rsidRPr="00E568DF">
        <w:rPr>
          <w:rFonts w:ascii="Verdana" w:hAnsi="Verdana"/>
          <w:sz w:val="20"/>
          <w:szCs w:val="20"/>
        </w:rPr>
        <w:tab/>
      </w:r>
    </w:p>
    <w:p w14:paraId="4AE6BE3F" w14:textId="77777777" w:rsidR="00E568DF" w:rsidRDefault="00E568DF" w:rsidP="00E568DF">
      <w:pPr>
        <w:pStyle w:val="Sinespaciado"/>
        <w:rPr>
          <w:rFonts w:ascii="Verdana" w:hAnsi="Verdana"/>
          <w:sz w:val="20"/>
          <w:szCs w:val="20"/>
        </w:rPr>
      </w:pPr>
    </w:p>
    <w:p w14:paraId="170E7A92" w14:textId="153FC7F5" w:rsidR="00E568DF" w:rsidRPr="00E568DF" w:rsidRDefault="00E568DF" w:rsidP="00E568DF">
      <w:pPr>
        <w:pStyle w:val="Sinespaciado"/>
        <w:rPr>
          <w:rFonts w:ascii="Verdana" w:hAnsi="Verdana"/>
          <w:sz w:val="20"/>
          <w:szCs w:val="20"/>
        </w:rPr>
      </w:pPr>
      <w:r w:rsidRPr="00E568DF">
        <w:rPr>
          <w:rFonts w:ascii="Verdana" w:hAnsi="Verdana"/>
          <w:sz w:val="20"/>
          <w:szCs w:val="20"/>
        </w:rPr>
        <w:t>Fecha de publicación en Diario Oficial: 14 de julio de 2010</w:t>
      </w:r>
    </w:p>
    <w:p w14:paraId="37F9999A" w14:textId="2180F773" w:rsidR="00407C7A" w:rsidRDefault="00E568DF" w:rsidP="00E568DF">
      <w:pPr>
        <w:pStyle w:val="Sinespaciado"/>
        <w:rPr>
          <w:rFonts w:ascii="Verdana" w:hAnsi="Verdana"/>
          <w:sz w:val="20"/>
          <w:szCs w:val="20"/>
        </w:rPr>
      </w:pPr>
      <w:r w:rsidRPr="00E568DF">
        <w:rPr>
          <w:rFonts w:ascii="Verdana" w:hAnsi="Verdana"/>
          <w:sz w:val="20"/>
          <w:szCs w:val="20"/>
        </w:rPr>
        <w:t>Número del Diario Oficial: 47.770</w:t>
      </w:r>
    </w:p>
    <w:p w14:paraId="38DE79CE" w14:textId="77777777" w:rsidR="00E568DF" w:rsidRPr="00E568DF" w:rsidRDefault="00E568DF" w:rsidP="00E568DF">
      <w:pPr>
        <w:pStyle w:val="Sinespaciado"/>
        <w:rPr>
          <w:rFonts w:ascii="Verdana" w:hAnsi="Verdana"/>
          <w:sz w:val="20"/>
          <w:szCs w:val="20"/>
        </w:rPr>
      </w:pPr>
    </w:p>
    <w:p w14:paraId="7573E45C" w14:textId="29338171" w:rsidR="009B1A67" w:rsidRPr="009B1A67" w:rsidRDefault="009B1A67" w:rsidP="009B1A67">
      <w:pPr>
        <w:spacing w:line="240" w:lineRule="auto"/>
        <w:ind w:left="708" w:hanging="708"/>
        <w:jc w:val="center"/>
        <w:rPr>
          <w:rFonts w:ascii="Verdana" w:hAnsi="Verdana"/>
        </w:rPr>
      </w:pPr>
      <w:r w:rsidRPr="009B1A67">
        <w:rPr>
          <w:rFonts w:ascii="Verdana" w:hAnsi="Verdana"/>
          <w:b/>
          <w:bCs/>
        </w:rPr>
        <w:t>RESOLUCIÓN 2569 DE 2010</w:t>
      </w:r>
    </w:p>
    <w:p w14:paraId="7A0C868B" w14:textId="7A1D3622" w:rsidR="009B1A67" w:rsidRPr="009B1A67" w:rsidRDefault="009B1A67" w:rsidP="009B1A67">
      <w:pPr>
        <w:spacing w:line="240" w:lineRule="auto"/>
        <w:ind w:left="708" w:hanging="708"/>
        <w:jc w:val="center"/>
        <w:rPr>
          <w:rFonts w:ascii="Verdana" w:hAnsi="Verdana"/>
        </w:rPr>
      </w:pPr>
      <w:r w:rsidRPr="009B1A67">
        <w:rPr>
          <w:rFonts w:ascii="Verdana" w:hAnsi="Verdana"/>
        </w:rPr>
        <w:t>(22 de junio)</w:t>
      </w:r>
    </w:p>
    <w:p w14:paraId="7E644173"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r w:rsidRPr="009B1A67">
        <w:rPr>
          <w:rStyle w:val="baj"/>
          <w:rFonts w:ascii="Verdana" w:hAnsi="Verdana"/>
          <w:b/>
          <w:bCs/>
          <w:spacing w:val="2"/>
          <w:sz w:val="22"/>
          <w:szCs w:val="22"/>
        </w:rPr>
        <w:t>INSTITUTO COLOMBIANO DE BIENESTAR FAMILIAR</w:t>
      </w:r>
    </w:p>
    <w:p w14:paraId="672FCA11" w14:textId="2FE3D47F" w:rsidR="009B1A67" w:rsidRDefault="009B1A67" w:rsidP="009B1A67">
      <w:pPr>
        <w:pStyle w:val="centrado"/>
        <w:spacing w:before="0" w:beforeAutospacing="0" w:after="0" w:afterAutospacing="0"/>
        <w:jc w:val="center"/>
        <w:rPr>
          <w:rStyle w:val="baj"/>
          <w:rFonts w:ascii="Verdana" w:hAnsi="Verdana"/>
          <w:b/>
          <w:bCs/>
          <w:spacing w:val="2"/>
          <w:sz w:val="22"/>
          <w:szCs w:val="22"/>
        </w:rPr>
      </w:pPr>
      <w:r w:rsidRPr="009B1A67">
        <w:rPr>
          <w:rStyle w:val="baj"/>
          <w:rFonts w:ascii="Verdana" w:hAnsi="Verdana"/>
          <w:b/>
          <w:bCs/>
          <w:spacing w:val="2"/>
          <w:sz w:val="22"/>
          <w:szCs w:val="22"/>
        </w:rPr>
        <w:t>CECILIA DE LA FUENTE DE LLERAS</w:t>
      </w:r>
    </w:p>
    <w:p w14:paraId="525BC77B"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p>
    <w:p w14:paraId="2F67E098" w14:textId="26008E21" w:rsidR="009B1A67" w:rsidRDefault="009B1A67" w:rsidP="009B1A67">
      <w:pPr>
        <w:pStyle w:val="centrado"/>
        <w:spacing w:before="0" w:beforeAutospacing="0" w:after="0" w:afterAutospacing="0"/>
        <w:jc w:val="center"/>
        <w:rPr>
          <w:rStyle w:val="baj"/>
          <w:rFonts w:ascii="Verdana" w:hAnsi="Verdana"/>
          <w:b/>
          <w:bCs/>
          <w:spacing w:val="2"/>
          <w:sz w:val="22"/>
          <w:szCs w:val="22"/>
        </w:rPr>
      </w:pPr>
      <w:r w:rsidRPr="009B1A67">
        <w:rPr>
          <w:rStyle w:val="baj"/>
          <w:rFonts w:ascii="Verdana" w:hAnsi="Verdana"/>
          <w:b/>
          <w:bCs/>
          <w:spacing w:val="2"/>
          <w:sz w:val="22"/>
          <w:szCs w:val="22"/>
        </w:rPr>
        <w:t>DIRECCIÓN GENERAL</w:t>
      </w:r>
    </w:p>
    <w:p w14:paraId="7E5956A9"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p>
    <w:p w14:paraId="145C6132" w14:textId="77777777" w:rsidR="00407C7A" w:rsidRPr="009B1A67" w:rsidRDefault="00407C7A" w:rsidP="00407C7A">
      <w:pPr>
        <w:pStyle w:val="centrado"/>
        <w:spacing w:before="0" w:beforeAutospacing="0" w:after="240" w:afterAutospacing="0"/>
        <w:jc w:val="center"/>
        <w:rPr>
          <w:rFonts w:ascii="Verdana" w:hAnsi="Verdana"/>
          <w:spacing w:val="2"/>
          <w:sz w:val="22"/>
          <w:szCs w:val="22"/>
        </w:rPr>
      </w:pPr>
      <w:r w:rsidRPr="009B1A67">
        <w:rPr>
          <w:rFonts w:ascii="Verdana" w:hAnsi="Verdana"/>
          <w:spacing w:val="2"/>
          <w:sz w:val="22"/>
          <w:szCs w:val="22"/>
        </w:rPr>
        <w:t>Por la cual se estructura el Comité del Fondo de Insolvencia del Instituto Colombiano de Bienestar Familiar - Cecilia de la Fuente de Lleras y se deroga una Resolución.</w:t>
      </w:r>
    </w:p>
    <w:p w14:paraId="462F3827" w14:textId="445E86F5" w:rsidR="009B1A67" w:rsidRDefault="009B1A67" w:rsidP="009B1A67">
      <w:pPr>
        <w:pStyle w:val="centrado"/>
        <w:spacing w:before="0" w:beforeAutospacing="0" w:after="0" w:afterAutospacing="0"/>
        <w:jc w:val="center"/>
        <w:rPr>
          <w:rStyle w:val="baj"/>
          <w:rFonts w:ascii="Verdana" w:hAnsi="Verdana"/>
          <w:b/>
          <w:bCs/>
          <w:spacing w:val="2"/>
          <w:sz w:val="22"/>
          <w:szCs w:val="22"/>
        </w:rPr>
      </w:pPr>
      <w:r w:rsidRPr="009B1A67">
        <w:rPr>
          <w:rStyle w:val="baj"/>
          <w:rFonts w:ascii="Verdana" w:hAnsi="Verdana"/>
          <w:b/>
          <w:bCs/>
          <w:spacing w:val="2"/>
          <w:sz w:val="22"/>
          <w:szCs w:val="22"/>
        </w:rPr>
        <w:t>LA DIRECTORA GENERAL DEL INSTITUTO COLOMBIANO DE BIENESTAR FAMILIAR - CECILIA DE LA FUENTE DE LLERAS,</w:t>
      </w:r>
    </w:p>
    <w:p w14:paraId="796C3EB1"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p>
    <w:p w14:paraId="1C8A0630" w14:textId="702EF893" w:rsidR="009B1A67" w:rsidRDefault="009B1A67" w:rsidP="009B1A67">
      <w:pPr>
        <w:pStyle w:val="centrado"/>
        <w:spacing w:before="0" w:beforeAutospacing="0" w:after="0" w:afterAutospacing="0"/>
        <w:jc w:val="center"/>
        <w:rPr>
          <w:rFonts w:ascii="Verdana" w:hAnsi="Verdana"/>
          <w:spacing w:val="2"/>
          <w:sz w:val="22"/>
          <w:szCs w:val="22"/>
        </w:rPr>
      </w:pPr>
      <w:r w:rsidRPr="009B1A67">
        <w:rPr>
          <w:rFonts w:ascii="Verdana" w:hAnsi="Verdana"/>
          <w:spacing w:val="2"/>
          <w:sz w:val="22"/>
          <w:szCs w:val="22"/>
        </w:rPr>
        <w:t>en uso de sus facultades legales y estatutarias, en especial las conferidas en el artículo </w:t>
      </w:r>
      <w:r w:rsidRPr="00296709">
        <w:rPr>
          <w:rFonts w:ascii="Verdana" w:hAnsi="Verdana"/>
          <w:spacing w:val="2"/>
          <w:sz w:val="22"/>
          <w:szCs w:val="22"/>
        </w:rPr>
        <w:t>78</w:t>
      </w:r>
      <w:r w:rsidRPr="009B1A67">
        <w:rPr>
          <w:rFonts w:ascii="Verdana" w:hAnsi="Verdana"/>
          <w:spacing w:val="2"/>
          <w:sz w:val="22"/>
          <w:szCs w:val="22"/>
        </w:rPr>
        <w:t> de la Ley 489 de 1998, el artículo </w:t>
      </w:r>
      <w:r w:rsidRPr="00296709">
        <w:rPr>
          <w:rFonts w:ascii="Verdana" w:hAnsi="Verdana"/>
          <w:spacing w:val="2"/>
          <w:sz w:val="22"/>
          <w:szCs w:val="22"/>
        </w:rPr>
        <w:t>27</w:t>
      </w:r>
      <w:r w:rsidRPr="009B1A67">
        <w:rPr>
          <w:rFonts w:ascii="Verdana" w:hAnsi="Verdana"/>
          <w:spacing w:val="2"/>
          <w:sz w:val="22"/>
          <w:szCs w:val="22"/>
        </w:rPr>
        <w:t> del Decreto 1138 de 1999 y el Decreto </w:t>
      </w:r>
      <w:r w:rsidRPr="00296709">
        <w:rPr>
          <w:rFonts w:ascii="Verdana" w:hAnsi="Verdana"/>
          <w:spacing w:val="2"/>
          <w:sz w:val="22"/>
          <w:szCs w:val="22"/>
        </w:rPr>
        <w:t>117</w:t>
      </w:r>
      <w:r w:rsidRPr="009B1A67">
        <w:rPr>
          <w:rFonts w:ascii="Verdana" w:hAnsi="Verdana"/>
          <w:spacing w:val="2"/>
          <w:sz w:val="22"/>
          <w:szCs w:val="22"/>
        </w:rPr>
        <w:t> de 2010, y</w:t>
      </w:r>
    </w:p>
    <w:p w14:paraId="07B6A1B4"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p>
    <w:p w14:paraId="761C26FE" w14:textId="04662DC4" w:rsidR="009B1A67" w:rsidRDefault="009B1A67" w:rsidP="009B1A67">
      <w:pPr>
        <w:pStyle w:val="centrado"/>
        <w:spacing w:before="0" w:beforeAutospacing="0" w:after="0" w:afterAutospacing="0"/>
        <w:jc w:val="center"/>
        <w:rPr>
          <w:rStyle w:val="baj"/>
          <w:rFonts w:ascii="Verdana" w:hAnsi="Verdana"/>
          <w:b/>
          <w:bCs/>
          <w:spacing w:val="2"/>
          <w:sz w:val="22"/>
          <w:szCs w:val="22"/>
        </w:rPr>
      </w:pPr>
      <w:r w:rsidRPr="009B1A67">
        <w:rPr>
          <w:rStyle w:val="baj"/>
          <w:rFonts w:ascii="Verdana" w:hAnsi="Verdana"/>
          <w:b/>
          <w:bCs/>
          <w:spacing w:val="2"/>
          <w:sz w:val="22"/>
          <w:szCs w:val="22"/>
        </w:rPr>
        <w:t>CONSIDERANDO:</w:t>
      </w:r>
    </w:p>
    <w:p w14:paraId="5EF67498"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p>
    <w:p w14:paraId="3110CA06"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Que en el Contrato de Fiducia número 00/021/87/105-145 de 1987, celebrado entre el Instituto Colombiano de Bienestar Familiar - Cecilia De la Fuente de Lleras (ICBF), el entonces Instituto de Crédito Territorial (ICT) y la Fiduprevisora S. A., se pactó la constitución de un Fondo de Insolvencia para cubrir los eventos en los cuales, por causas debidamente comprobadas, se requiriera la suspensión temporal o definitiva de las cuotas de amortización correspondientes a los préstamos otorgados a las madres comunitarias del Programa Hogares de Bienestar para el mejoramiento de sus viviendas.</w:t>
      </w:r>
    </w:p>
    <w:p w14:paraId="6C230372"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Que en la cláusula cuarta del Convenio de Cooperación Institucional para el desarrollo del Programa Hogares Comunitarios de Bienestar del Gobierno Nacional número 056 de 1990, suscrito entre el ICBF y el ICT, se determinó que los saldos financieros y los valores correspondientes a los créditos otorgados a las madres comunitarias, originados en la liquidación del Contrato de Fiducia número 00/21/87/105-145 de 1987, serían administrados por el ICBF en la forma en que se previera administrar los recursos amparados por dicho convenio.</w:t>
      </w:r>
    </w:p>
    <w:p w14:paraId="16482042"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lastRenderedPageBreak/>
        <w:t>Que para la administración de los recursos que debía transferir el ICT al ICBF en razón del Convenio número 056 de 1990 de que trata el considerando anterior, de los recursos del préstamo del Banco Mundial 3201-CO asignados para el componente de mejoramiento de vivienda del Programa Hogares Comunitarios de Bienestar, y de los dineros que asignara el Gobierno Nacional con esta finalidad, el ICBF suscribió con la Fiduprevisora S. A. el Contrato Interadministrativo de Fiducia número 00/11/102/90-T 1998 el 2 de noviembre de 1990, en cuya cláusula tercera, parágrafo 2o, se pactó igualmente la constitución de un fondo de insolvencia cuya reglamentación estableció la Dirección General del ICBF mediante Resolución número 1973 de septiembre 11 de 1992.</w:t>
      </w:r>
    </w:p>
    <w:p w14:paraId="680A308F" w14:textId="45C759BC" w:rsidR="009B1A67" w:rsidRPr="009B1A67" w:rsidRDefault="009B1A67" w:rsidP="009B1A67">
      <w:pPr>
        <w:pStyle w:val="NormalWeb"/>
        <w:spacing w:before="0" w:beforeAutospacing="0" w:after="0" w:afterAutospacing="0"/>
        <w:jc w:val="both"/>
        <w:rPr>
          <w:rFonts w:ascii="Verdana" w:hAnsi="Verdana"/>
          <w:spacing w:val="2"/>
          <w:sz w:val="22"/>
          <w:szCs w:val="22"/>
        </w:rPr>
      </w:pPr>
      <w:r w:rsidRPr="009B1A67">
        <w:rPr>
          <w:rFonts w:ascii="Verdana" w:hAnsi="Verdana"/>
          <w:spacing w:val="2"/>
          <w:sz w:val="22"/>
          <w:szCs w:val="22"/>
        </w:rPr>
        <w:t>Que mediante Resolución número </w:t>
      </w:r>
      <w:r w:rsidRPr="00296709">
        <w:rPr>
          <w:rFonts w:ascii="Verdana" w:hAnsi="Verdana"/>
          <w:spacing w:val="2"/>
          <w:sz w:val="22"/>
          <w:szCs w:val="22"/>
        </w:rPr>
        <w:t>1977</w:t>
      </w:r>
      <w:r w:rsidRPr="009B1A67">
        <w:rPr>
          <w:rFonts w:ascii="Verdana" w:hAnsi="Verdana"/>
          <w:spacing w:val="2"/>
          <w:sz w:val="22"/>
          <w:szCs w:val="22"/>
        </w:rPr>
        <w:t> del 11 de septiembre de 1992 se constituyó el Comité del Fondo de Insolvencia, el cual fue reorganizado por las Resoluciones números </w:t>
      </w:r>
      <w:r w:rsidRPr="00296709">
        <w:rPr>
          <w:rFonts w:ascii="Verdana" w:hAnsi="Verdana"/>
          <w:spacing w:val="2"/>
          <w:sz w:val="22"/>
          <w:szCs w:val="22"/>
        </w:rPr>
        <w:t>555</w:t>
      </w:r>
      <w:r w:rsidRPr="009B1A67">
        <w:rPr>
          <w:rFonts w:ascii="Verdana" w:hAnsi="Verdana"/>
          <w:spacing w:val="2"/>
          <w:sz w:val="22"/>
          <w:szCs w:val="22"/>
        </w:rPr>
        <w:t> de 11 de febrero de 1999, </w:t>
      </w:r>
      <w:r w:rsidRPr="00296709">
        <w:rPr>
          <w:rFonts w:ascii="Verdana" w:hAnsi="Verdana"/>
          <w:spacing w:val="2"/>
          <w:sz w:val="22"/>
          <w:szCs w:val="22"/>
        </w:rPr>
        <w:t>1616</w:t>
      </w:r>
      <w:r w:rsidRPr="009B1A67">
        <w:rPr>
          <w:rFonts w:ascii="Verdana" w:hAnsi="Verdana"/>
          <w:spacing w:val="2"/>
          <w:sz w:val="22"/>
          <w:szCs w:val="22"/>
        </w:rPr>
        <w:t> de 19 de julio de 2000, 2306 de 20 de octubre de 2000 y </w:t>
      </w:r>
      <w:r w:rsidRPr="00296709">
        <w:rPr>
          <w:rFonts w:ascii="Verdana" w:hAnsi="Verdana"/>
          <w:spacing w:val="2"/>
          <w:sz w:val="22"/>
          <w:szCs w:val="22"/>
        </w:rPr>
        <w:t>1706</w:t>
      </w:r>
      <w:r w:rsidRPr="009B1A67">
        <w:rPr>
          <w:rFonts w:ascii="Verdana" w:hAnsi="Verdana"/>
          <w:spacing w:val="2"/>
          <w:sz w:val="22"/>
          <w:szCs w:val="22"/>
        </w:rPr>
        <w:t> de 29 de septiembre de 2004.</w:t>
      </w:r>
    </w:p>
    <w:p w14:paraId="69F5BAB5" w14:textId="7FD1DB6D" w:rsidR="009B1A67" w:rsidRPr="009B1A67" w:rsidRDefault="009B1A67" w:rsidP="009B1A67">
      <w:pPr>
        <w:pStyle w:val="NormalWeb"/>
        <w:spacing w:before="0" w:beforeAutospacing="0" w:after="0" w:afterAutospacing="0"/>
        <w:jc w:val="both"/>
        <w:rPr>
          <w:rFonts w:ascii="Verdana" w:hAnsi="Verdana"/>
          <w:spacing w:val="2"/>
          <w:sz w:val="22"/>
          <w:szCs w:val="22"/>
        </w:rPr>
      </w:pPr>
      <w:r w:rsidRPr="009B1A67">
        <w:rPr>
          <w:rFonts w:ascii="Verdana" w:hAnsi="Verdana"/>
          <w:spacing w:val="2"/>
          <w:sz w:val="22"/>
          <w:szCs w:val="22"/>
        </w:rPr>
        <w:t>Que el Decreto número </w:t>
      </w:r>
      <w:r w:rsidRPr="00296709">
        <w:rPr>
          <w:rFonts w:ascii="Verdana" w:hAnsi="Verdana"/>
          <w:spacing w:val="2"/>
          <w:sz w:val="22"/>
          <w:szCs w:val="22"/>
        </w:rPr>
        <w:t>117</w:t>
      </w:r>
      <w:r w:rsidRPr="009B1A67">
        <w:rPr>
          <w:rFonts w:ascii="Verdana" w:hAnsi="Verdana"/>
          <w:spacing w:val="2"/>
          <w:sz w:val="22"/>
          <w:szCs w:val="22"/>
        </w:rPr>
        <w:t> de 21 de enero de 2010, </w:t>
      </w:r>
      <w:r w:rsidRPr="009B1A67">
        <w:rPr>
          <w:rStyle w:val="iaj"/>
          <w:rFonts w:ascii="Verdana" w:hAnsi="Verdana"/>
          <w:i/>
          <w:iCs/>
          <w:spacing w:val="2"/>
          <w:sz w:val="22"/>
          <w:szCs w:val="22"/>
        </w:rPr>
        <w:t>por el cual se aprueba la estructura del Instituto Colombiano de Bienestar Familiar - Cecilia de la Fuente de Lleras y se determinan las funciones de sus dependencias, </w:t>
      </w:r>
      <w:r w:rsidRPr="009B1A67">
        <w:rPr>
          <w:rFonts w:ascii="Verdana" w:hAnsi="Verdana"/>
          <w:spacing w:val="2"/>
          <w:sz w:val="22"/>
          <w:szCs w:val="22"/>
        </w:rPr>
        <w:t>modificó la denominación de algunas de las dependencias que integran el Comité del Fondo de Insolvencia del ICBF, por lo que se hace necesario actualizar su estructura.</w:t>
      </w:r>
    </w:p>
    <w:p w14:paraId="1308AD04"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proofErr w:type="gramStart"/>
      <w:r w:rsidRPr="009B1A67">
        <w:rPr>
          <w:rFonts w:ascii="Verdana" w:hAnsi="Verdana"/>
          <w:spacing w:val="2"/>
          <w:sz w:val="22"/>
          <w:szCs w:val="22"/>
        </w:rPr>
        <w:t>Que</w:t>
      </w:r>
      <w:proofErr w:type="gramEnd"/>
      <w:r w:rsidRPr="009B1A67">
        <w:rPr>
          <w:rFonts w:ascii="Verdana" w:hAnsi="Verdana"/>
          <w:spacing w:val="2"/>
          <w:sz w:val="22"/>
          <w:szCs w:val="22"/>
        </w:rPr>
        <w:t xml:space="preserve"> en mérito de lo expuesto,</w:t>
      </w:r>
    </w:p>
    <w:p w14:paraId="4EE21E36" w14:textId="54C9BA45" w:rsidR="009B1A67" w:rsidRDefault="009B1A67" w:rsidP="009B1A67">
      <w:pPr>
        <w:pStyle w:val="centrado"/>
        <w:spacing w:before="0" w:beforeAutospacing="0" w:after="0" w:afterAutospacing="0"/>
        <w:jc w:val="center"/>
        <w:rPr>
          <w:rStyle w:val="baj"/>
          <w:rFonts w:ascii="Verdana" w:hAnsi="Verdana"/>
          <w:b/>
          <w:bCs/>
          <w:spacing w:val="2"/>
          <w:sz w:val="22"/>
          <w:szCs w:val="22"/>
        </w:rPr>
      </w:pPr>
      <w:r w:rsidRPr="009B1A67">
        <w:rPr>
          <w:rStyle w:val="baj"/>
          <w:rFonts w:ascii="Verdana" w:hAnsi="Verdana"/>
          <w:b/>
          <w:bCs/>
          <w:spacing w:val="2"/>
          <w:sz w:val="22"/>
          <w:szCs w:val="22"/>
        </w:rPr>
        <w:t>RESUELVE:</w:t>
      </w:r>
    </w:p>
    <w:p w14:paraId="59FBBE55"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p>
    <w:p w14:paraId="53ADDA74" w14:textId="2FF3A039" w:rsidR="009B1A67" w:rsidRDefault="009B1A67" w:rsidP="009B1A67">
      <w:pPr>
        <w:pStyle w:val="NormalWeb"/>
        <w:spacing w:before="0" w:beforeAutospacing="0" w:after="0" w:afterAutospacing="0"/>
        <w:jc w:val="both"/>
        <w:rPr>
          <w:rFonts w:ascii="Verdana" w:hAnsi="Verdana"/>
          <w:spacing w:val="2"/>
          <w:sz w:val="22"/>
          <w:szCs w:val="22"/>
        </w:rPr>
      </w:pPr>
      <w:bookmarkStart w:id="0" w:name="1"/>
      <w:r w:rsidRPr="009B1A67">
        <w:rPr>
          <w:rFonts w:ascii="Verdana" w:hAnsi="Verdana"/>
          <w:b/>
          <w:bCs/>
          <w:spacing w:val="2"/>
          <w:sz w:val="22"/>
          <w:szCs w:val="22"/>
        </w:rPr>
        <w:t>ARTÍCULO 1o. OBJETO.</w:t>
      </w:r>
      <w:bookmarkEnd w:id="0"/>
      <w:r w:rsidRPr="009B1A67">
        <w:rPr>
          <w:rFonts w:ascii="Verdana" w:hAnsi="Verdana"/>
          <w:spacing w:val="2"/>
          <w:sz w:val="22"/>
          <w:szCs w:val="22"/>
        </w:rPr>
        <w:t> En el Instituto Colombiano de Bienestar Familiar - Cecilia de la Fuente de Lleras (ICBF) continuará operando el Comité del Fondo de Insolvencia, constituido mediante la Resolución No. </w:t>
      </w:r>
      <w:r w:rsidRPr="00296709">
        <w:rPr>
          <w:rFonts w:ascii="Verdana" w:hAnsi="Verdana"/>
          <w:spacing w:val="2"/>
          <w:sz w:val="22"/>
          <w:szCs w:val="22"/>
        </w:rPr>
        <w:t>1977</w:t>
      </w:r>
      <w:r w:rsidRPr="009B1A67">
        <w:rPr>
          <w:rFonts w:ascii="Verdana" w:hAnsi="Verdana"/>
          <w:spacing w:val="2"/>
          <w:sz w:val="22"/>
          <w:szCs w:val="22"/>
        </w:rPr>
        <w:t> de 11 de septiembre de 1992 con el objeto de poner en operación el Fondo de Insolvencia previsto en el Contrato Interadministrativo de Fiducia de Administración y Pagos número T- 1998 00/11/102/90, suscrito el 2 de noviembre de 1990 entre el ICBF y Fiduprevisora S. A.</w:t>
      </w:r>
    </w:p>
    <w:p w14:paraId="520CEC15"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p>
    <w:p w14:paraId="4FA27001"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bookmarkStart w:id="1" w:name="2"/>
      <w:r w:rsidRPr="009B1A67">
        <w:rPr>
          <w:rFonts w:ascii="Verdana" w:hAnsi="Verdana"/>
          <w:b/>
          <w:bCs/>
          <w:spacing w:val="2"/>
          <w:sz w:val="22"/>
          <w:szCs w:val="22"/>
        </w:rPr>
        <w:t>ARTÍCULO 2o. INTEGRACIÓN.</w:t>
      </w:r>
      <w:bookmarkEnd w:id="1"/>
      <w:r w:rsidRPr="009B1A67">
        <w:rPr>
          <w:rFonts w:ascii="Verdana" w:hAnsi="Verdana"/>
          <w:spacing w:val="2"/>
          <w:sz w:val="22"/>
          <w:szCs w:val="22"/>
        </w:rPr>
        <w:t> El Comité del Fondo de Insolvencia del ICBF estará integrado así:</w:t>
      </w:r>
    </w:p>
    <w:p w14:paraId="25AFA45E"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El </w:t>
      </w:r>
      <w:proofErr w:type="gramStart"/>
      <w:r w:rsidRPr="009B1A67">
        <w:rPr>
          <w:rFonts w:ascii="Verdana" w:hAnsi="Verdana"/>
          <w:spacing w:val="2"/>
          <w:sz w:val="22"/>
          <w:szCs w:val="22"/>
        </w:rPr>
        <w:t>Secretario General</w:t>
      </w:r>
      <w:proofErr w:type="gramEnd"/>
      <w:r w:rsidRPr="009B1A67">
        <w:rPr>
          <w:rFonts w:ascii="Verdana" w:hAnsi="Verdana"/>
          <w:spacing w:val="2"/>
          <w:sz w:val="22"/>
          <w:szCs w:val="22"/>
        </w:rPr>
        <w:t xml:space="preserve"> o su delegado.</w:t>
      </w:r>
    </w:p>
    <w:p w14:paraId="5E4160FF"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El </w:t>
      </w:r>
      <w:proofErr w:type="gramStart"/>
      <w:r w:rsidRPr="009B1A67">
        <w:rPr>
          <w:rFonts w:ascii="Verdana" w:hAnsi="Verdana"/>
          <w:spacing w:val="2"/>
          <w:sz w:val="22"/>
          <w:szCs w:val="22"/>
        </w:rPr>
        <w:t>Director</w:t>
      </w:r>
      <w:proofErr w:type="gramEnd"/>
      <w:r w:rsidRPr="009B1A67">
        <w:rPr>
          <w:rFonts w:ascii="Verdana" w:hAnsi="Verdana"/>
          <w:spacing w:val="2"/>
          <w:sz w:val="22"/>
          <w:szCs w:val="22"/>
        </w:rPr>
        <w:t xml:space="preserve"> de Prevención o su delegado, quien lo presidirá.</w:t>
      </w:r>
    </w:p>
    <w:p w14:paraId="0D32EEFB"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El </w:t>
      </w:r>
      <w:proofErr w:type="gramStart"/>
      <w:r w:rsidRPr="009B1A67">
        <w:rPr>
          <w:rFonts w:ascii="Verdana" w:hAnsi="Verdana"/>
          <w:spacing w:val="2"/>
          <w:sz w:val="22"/>
          <w:szCs w:val="22"/>
        </w:rPr>
        <w:t>Director</w:t>
      </w:r>
      <w:proofErr w:type="gramEnd"/>
      <w:r w:rsidRPr="009B1A67">
        <w:rPr>
          <w:rFonts w:ascii="Verdana" w:hAnsi="Verdana"/>
          <w:spacing w:val="2"/>
          <w:sz w:val="22"/>
          <w:szCs w:val="22"/>
        </w:rPr>
        <w:t xml:space="preserve"> Financiero o su delegado.</w:t>
      </w:r>
    </w:p>
    <w:p w14:paraId="7606CC93"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El </w:t>
      </w:r>
      <w:proofErr w:type="gramStart"/>
      <w:r w:rsidRPr="009B1A67">
        <w:rPr>
          <w:rFonts w:ascii="Verdana" w:hAnsi="Verdana"/>
          <w:spacing w:val="2"/>
          <w:sz w:val="22"/>
          <w:szCs w:val="22"/>
        </w:rPr>
        <w:t>Director</w:t>
      </w:r>
      <w:proofErr w:type="gramEnd"/>
      <w:r w:rsidRPr="009B1A67">
        <w:rPr>
          <w:rFonts w:ascii="Verdana" w:hAnsi="Verdana"/>
          <w:spacing w:val="2"/>
          <w:sz w:val="22"/>
          <w:szCs w:val="22"/>
        </w:rPr>
        <w:t xml:space="preserve"> de Planeación y Control de Gestión o su delegado.</w:t>
      </w:r>
    </w:p>
    <w:p w14:paraId="7DE328D9"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El </w:t>
      </w:r>
      <w:proofErr w:type="gramStart"/>
      <w:r w:rsidRPr="009B1A67">
        <w:rPr>
          <w:rFonts w:ascii="Verdana" w:hAnsi="Verdana"/>
          <w:spacing w:val="2"/>
          <w:sz w:val="22"/>
          <w:szCs w:val="22"/>
        </w:rPr>
        <w:t>Subdirector</w:t>
      </w:r>
      <w:proofErr w:type="gramEnd"/>
      <w:r w:rsidRPr="009B1A67">
        <w:rPr>
          <w:rFonts w:ascii="Verdana" w:hAnsi="Verdana"/>
          <w:spacing w:val="2"/>
          <w:sz w:val="22"/>
          <w:szCs w:val="22"/>
        </w:rPr>
        <w:t xml:space="preserve"> de Primera Infancia o su delegado.</w:t>
      </w:r>
    </w:p>
    <w:p w14:paraId="0EA2FA02"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El </w:t>
      </w:r>
      <w:proofErr w:type="gramStart"/>
      <w:r w:rsidRPr="009B1A67">
        <w:rPr>
          <w:rFonts w:ascii="Verdana" w:hAnsi="Verdana"/>
          <w:spacing w:val="2"/>
          <w:sz w:val="22"/>
          <w:szCs w:val="22"/>
        </w:rPr>
        <w:t>Jefe</w:t>
      </w:r>
      <w:proofErr w:type="gramEnd"/>
      <w:r w:rsidRPr="009B1A67">
        <w:rPr>
          <w:rFonts w:ascii="Verdana" w:hAnsi="Verdana"/>
          <w:spacing w:val="2"/>
          <w:sz w:val="22"/>
          <w:szCs w:val="22"/>
        </w:rPr>
        <w:t xml:space="preserve"> de la Oficina Asesora Jurídica o su delegado.</w:t>
      </w:r>
    </w:p>
    <w:p w14:paraId="1D5DC4DE" w14:textId="21DEECCF" w:rsidR="009B1A67" w:rsidRDefault="009B1A67" w:rsidP="009B1A67">
      <w:pPr>
        <w:pStyle w:val="NormalWeb"/>
        <w:spacing w:before="0" w:beforeAutospacing="0" w:after="0" w:afterAutospacing="0"/>
        <w:jc w:val="both"/>
        <w:rPr>
          <w:rFonts w:ascii="Verdana" w:hAnsi="Verdana"/>
          <w:spacing w:val="2"/>
          <w:sz w:val="22"/>
          <w:szCs w:val="22"/>
        </w:rPr>
      </w:pPr>
      <w:r w:rsidRPr="009B1A67">
        <w:rPr>
          <w:rStyle w:val="baj"/>
          <w:rFonts w:ascii="Verdana" w:hAnsi="Verdana"/>
          <w:b/>
          <w:bCs/>
          <w:spacing w:val="2"/>
          <w:sz w:val="22"/>
          <w:szCs w:val="22"/>
        </w:rPr>
        <w:lastRenderedPageBreak/>
        <w:t>PARÁGRAFO 1o.</w:t>
      </w:r>
      <w:r w:rsidRPr="009B1A67">
        <w:rPr>
          <w:rFonts w:ascii="Verdana" w:hAnsi="Verdana"/>
          <w:spacing w:val="2"/>
          <w:sz w:val="22"/>
          <w:szCs w:val="22"/>
        </w:rPr>
        <w:t xml:space="preserve"> Concurrirán con </w:t>
      </w:r>
      <w:proofErr w:type="gramStart"/>
      <w:r w:rsidRPr="009B1A67">
        <w:rPr>
          <w:rFonts w:ascii="Verdana" w:hAnsi="Verdana"/>
          <w:spacing w:val="2"/>
          <w:sz w:val="22"/>
          <w:szCs w:val="22"/>
        </w:rPr>
        <w:t>voz</w:t>
      </w:r>
      <w:proofErr w:type="gramEnd"/>
      <w:r w:rsidRPr="009B1A67">
        <w:rPr>
          <w:rFonts w:ascii="Verdana" w:hAnsi="Verdana"/>
          <w:spacing w:val="2"/>
          <w:sz w:val="22"/>
          <w:szCs w:val="22"/>
        </w:rPr>
        <w:t xml:space="preserve"> pero sin voto los servidores públicos que por su condición de jerarquía y funcional deban asistir según el caso concreto, los cuales serán citados por el </w:t>
      </w:r>
      <w:proofErr w:type="gramStart"/>
      <w:r w:rsidRPr="009B1A67">
        <w:rPr>
          <w:rFonts w:ascii="Verdana" w:hAnsi="Verdana"/>
          <w:spacing w:val="2"/>
          <w:sz w:val="22"/>
          <w:szCs w:val="22"/>
        </w:rPr>
        <w:t>Secretario Técnico</w:t>
      </w:r>
      <w:proofErr w:type="gramEnd"/>
      <w:r w:rsidRPr="009B1A67">
        <w:rPr>
          <w:rFonts w:ascii="Verdana" w:hAnsi="Verdana"/>
          <w:spacing w:val="2"/>
          <w:sz w:val="22"/>
          <w:szCs w:val="22"/>
        </w:rPr>
        <w:t xml:space="preserve"> del Comité.</w:t>
      </w:r>
    </w:p>
    <w:p w14:paraId="002F9293"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p>
    <w:p w14:paraId="31563D95"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bookmarkStart w:id="2" w:name="3"/>
      <w:r w:rsidRPr="009B1A67">
        <w:rPr>
          <w:rFonts w:ascii="Verdana" w:hAnsi="Verdana"/>
          <w:b/>
          <w:bCs/>
          <w:spacing w:val="2"/>
          <w:sz w:val="22"/>
          <w:szCs w:val="22"/>
        </w:rPr>
        <w:t>ARTÍCULO 3o. FUNCIONES.</w:t>
      </w:r>
      <w:bookmarkEnd w:id="2"/>
      <w:r w:rsidRPr="009B1A67">
        <w:rPr>
          <w:rFonts w:ascii="Verdana" w:hAnsi="Verdana"/>
          <w:spacing w:val="2"/>
          <w:sz w:val="22"/>
          <w:szCs w:val="22"/>
        </w:rPr>
        <w:t> EL Comité del Fondo de Insolvencia del ICBF tendrá las siguientes funciones:</w:t>
      </w:r>
    </w:p>
    <w:p w14:paraId="54855B2A" w14:textId="57F3E796" w:rsidR="009B1A67" w:rsidRPr="009B1A67" w:rsidRDefault="009B1A67" w:rsidP="009B1A67">
      <w:pPr>
        <w:pStyle w:val="NormalWeb"/>
        <w:spacing w:before="0" w:beforeAutospacing="0" w:after="0" w:afterAutospacing="0"/>
        <w:jc w:val="both"/>
        <w:rPr>
          <w:rFonts w:ascii="Verdana" w:hAnsi="Verdana"/>
          <w:spacing w:val="2"/>
          <w:sz w:val="22"/>
          <w:szCs w:val="22"/>
        </w:rPr>
      </w:pPr>
      <w:r w:rsidRPr="009B1A67">
        <w:rPr>
          <w:rFonts w:ascii="Verdana" w:hAnsi="Verdana"/>
          <w:spacing w:val="2"/>
          <w:sz w:val="22"/>
          <w:szCs w:val="22"/>
        </w:rPr>
        <w:t>1. Estudiar las solicitudes destinadas a cubrir los eventos de incumplimiento en el pago de cuotas de amortización correspondientes a los préstamos otorgados a las madres comunitarias del Programa Hogares de Bienestar para el mejoramiento de sus viviendas y decidir sobre ellas, de conformidad con la reglamentación del Fondo de Insolvencia aprobada por Resolución número </w:t>
      </w:r>
      <w:r w:rsidRPr="00296709">
        <w:rPr>
          <w:rFonts w:ascii="Verdana" w:hAnsi="Verdana"/>
          <w:spacing w:val="2"/>
          <w:sz w:val="22"/>
          <w:szCs w:val="22"/>
        </w:rPr>
        <w:t>1550</w:t>
      </w:r>
      <w:r w:rsidRPr="009B1A67">
        <w:rPr>
          <w:rFonts w:ascii="Verdana" w:hAnsi="Verdana"/>
          <w:spacing w:val="2"/>
          <w:sz w:val="22"/>
          <w:szCs w:val="22"/>
        </w:rPr>
        <w:t> de 6 de julio de 2006 y demás normas que la modifiquen, adicionen, o sustituyan.</w:t>
      </w:r>
    </w:p>
    <w:p w14:paraId="1B073287"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2. Informar al </w:t>
      </w:r>
      <w:proofErr w:type="gramStart"/>
      <w:r w:rsidRPr="009B1A67">
        <w:rPr>
          <w:rFonts w:ascii="Verdana" w:hAnsi="Verdana"/>
          <w:spacing w:val="2"/>
          <w:sz w:val="22"/>
          <w:szCs w:val="22"/>
        </w:rPr>
        <w:t>Director General</w:t>
      </w:r>
      <w:proofErr w:type="gramEnd"/>
      <w:r w:rsidRPr="009B1A67">
        <w:rPr>
          <w:rFonts w:ascii="Verdana" w:hAnsi="Verdana"/>
          <w:spacing w:val="2"/>
          <w:sz w:val="22"/>
          <w:szCs w:val="22"/>
        </w:rPr>
        <w:t xml:space="preserve"> sobre las decisiones tomadas.</w:t>
      </w:r>
    </w:p>
    <w:p w14:paraId="7E2A1777"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3. Aprobar modificaciones al reglamento del Fondo de Insolvencia.</w:t>
      </w:r>
    </w:p>
    <w:p w14:paraId="2FD339CD" w14:textId="7EDDA5D7" w:rsidR="009B1A67" w:rsidRDefault="009B1A67" w:rsidP="009B1A67">
      <w:pPr>
        <w:pStyle w:val="NormalWeb"/>
        <w:spacing w:before="0" w:beforeAutospacing="0" w:after="0" w:afterAutospacing="0"/>
        <w:jc w:val="both"/>
        <w:rPr>
          <w:rFonts w:ascii="Verdana" w:hAnsi="Verdana"/>
          <w:spacing w:val="2"/>
          <w:sz w:val="22"/>
          <w:szCs w:val="22"/>
        </w:rPr>
      </w:pPr>
      <w:bookmarkStart w:id="3" w:name="4"/>
      <w:r w:rsidRPr="009B1A67">
        <w:rPr>
          <w:rFonts w:ascii="Verdana" w:hAnsi="Verdana"/>
          <w:b/>
          <w:bCs/>
          <w:spacing w:val="2"/>
          <w:sz w:val="22"/>
          <w:szCs w:val="22"/>
        </w:rPr>
        <w:t>ARTÍCULO 4o. QUÓRUM DELIBERATORIO Y DECISORIO.</w:t>
      </w:r>
      <w:bookmarkEnd w:id="3"/>
      <w:r w:rsidRPr="009B1A67">
        <w:rPr>
          <w:rFonts w:ascii="Verdana" w:hAnsi="Verdana"/>
          <w:spacing w:val="2"/>
          <w:sz w:val="22"/>
          <w:szCs w:val="22"/>
        </w:rPr>
        <w:t xml:space="preserve"> El Comité se reunirá cuando sea convocado por el </w:t>
      </w:r>
      <w:proofErr w:type="gramStart"/>
      <w:r w:rsidRPr="009B1A67">
        <w:rPr>
          <w:rFonts w:ascii="Verdana" w:hAnsi="Verdana"/>
          <w:spacing w:val="2"/>
          <w:sz w:val="22"/>
          <w:szCs w:val="22"/>
        </w:rPr>
        <w:t>Presidente</w:t>
      </w:r>
      <w:proofErr w:type="gramEnd"/>
      <w:r w:rsidRPr="009B1A67">
        <w:rPr>
          <w:rFonts w:ascii="Verdana" w:hAnsi="Verdana"/>
          <w:spacing w:val="2"/>
          <w:sz w:val="22"/>
          <w:szCs w:val="22"/>
        </w:rPr>
        <w:t xml:space="preserve"> o por el </w:t>
      </w:r>
      <w:proofErr w:type="gramStart"/>
      <w:r w:rsidRPr="009B1A67">
        <w:rPr>
          <w:rFonts w:ascii="Verdana" w:hAnsi="Verdana"/>
          <w:spacing w:val="2"/>
          <w:sz w:val="22"/>
          <w:szCs w:val="22"/>
        </w:rPr>
        <w:t>Secretario</w:t>
      </w:r>
      <w:proofErr w:type="gramEnd"/>
      <w:r w:rsidRPr="009B1A67">
        <w:rPr>
          <w:rFonts w:ascii="Verdana" w:hAnsi="Verdana"/>
          <w:spacing w:val="2"/>
          <w:sz w:val="22"/>
          <w:szCs w:val="22"/>
        </w:rPr>
        <w:t>, podrá deliberar con no menos de la mitad de sus integrantes y las decisiones se adoptarán por mayoría simple.</w:t>
      </w:r>
    </w:p>
    <w:p w14:paraId="18301DC6"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p>
    <w:p w14:paraId="555D33D4" w14:textId="08F2E15E" w:rsidR="009B1A67" w:rsidRDefault="009B1A67" w:rsidP="009B1A67">
      <w:pPr>
        <w:pStyle w:val="NormalWeb"/>
        <w:spacing w:before="0" w:beforeAutospacing="0" w:after="0" w:afterAutospacing="0"/>
        <w:jc w:val="both"/>
        <w:rPr>
          <w:rFonts w:ascii="Verdana" w:hAnsi="Verdana"/>
          <w:spacing w:val="2"/>
          <w:sz w:val="22"/>
          <w:szCs w:val="22"/>
        </w:rPr>
      </w:pPr>
      <w:bookmarkStart w:id="4" w:name="5"/>
      <w:r w:rsidRPr="009B1A67">
        <w:rPr>
          <w:rFonts w:ascii="Verdana" w:hAnsi="Verdana"/>
          <w:b/>
          <w:bCs/>
          <w:spacing w:val="2"/>
          <w:sz w:val="22"/>
          <w:szCs w:val="22"/>
        </w:rPr>
        <w:t>ARTÍCULO 5o. SECRETARÍA TÉCNICA.</w:t>
      </w:r>
      <w:bookmarkEnd w:id="4"/>
      <w:r w:rsidRPr="009B1A67">
        <w:rPr>
          <w:rFonts w:ascii="Verdana" w:hAnsi="Verdana"/>
          <w:spacing w:val="2"/>
          <w:sz w:val="22"/>
          <w:szCs w:val="22"/>
        </w:rPr>
        <w:t xml:space="preserve"> La Secretaría Técnica del Comité del Fondo de Insolvencia del ICBF será desempeñada por el </w:t>
      </w:r>
      <w:proofErr w:type="gramStart"/>
      <w:r w:rsidRPr="009B1A67">
        <w:rPr>
          <w:rFonts w:ascii="Verdana" w:hAnsi="Verdana"/>
          <w:spacing w:val="2"/>
          <w:sz w:val="22"/>
          <w:szCs w:val="22"/>
        </w:rPr>
        <w:t>Subdirector</w:t>
      </w:r>
      <w:proofErr w:type="gramEnd"/>
      <w:r w:rsidRPr="009B1A67">
        <w:rPr>
          <w:rFonts w:ascii="Verdana" w:hAnsi="Verdana"/>
          <w:spacing w:val="2"/>
          <w:sz w:val="22"/>
          <w:szCs w:val="22"/>
        </w:rPr>
        <w:t xml:space="preserve"> de Primera Infancia o por quien este delegue.</w:t>
      </w:r>
    </w:p>
    <w:p w14:paraId="68BC7B9C"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p>
    <w:p w14:paraId="739A3B5B"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bookmarkStart w:id="5" w:name="6"/>
      <w:r w:rsidRPr="009B1A67">
        <w:rPr>
          <w:rFonts w:ascii="Verdana" w:hAnsi="Verdana"/>
          <w:b/>
          <w:bCs/>
          <w:spacing w:val="2"/>
          <w:sz w:val="22"/>
          <w:szCs w:val="22"/>
        </w:rPr>
        <w:t>ARTÍCULO 6o. FUNCIONES DE LA SECRETARÍA TÉCNICA.</w:t>
      </w:r>
      <w:bookmarkEnd w:id="5"/>
      <w:r w:rsidRPr="009B1A67">
        <w:rPr>
          <w:rFonts w:ascii="Verdana" w:hAnsi="Verdana"/>
          <w:spacing w:val="2"/>
          <w:sz w:val="22"/>
          <w:szCs w:val="22"/>
        </w:rPr>
        <w:t> Son funciones de la Secretaría Técnica del Comité del Fondo de Insolvencia del ICBF:</w:t>
      </w:r>
    </w:p>
    <w:p w14:paraId="7EE40F1C"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1. Presentar las solicitudes al Comité.</w:t>
      </w:r>
    </w:p>
    <w:p w14:paraId="0E24AB86"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2. Elaborar las actas de cada sesión.</w:t>
      </w:r>
    </w:p>
    <w:p w14:paraId="2FD4DB05"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 xml:space="preserve">3 </w:t>
      </w:r>
      <w:proofErr w:type="gramStart"/>
      <w:r w:rsidRPr="009B1A67">
        <w:rPr>
          <w:rFonts w:ascii="Verdana" w:hAnsi="Verdana"/>
          <w:spacing w:val="2"/>
          <w:sz w:val="22"/>
          <w:szCs w:val="22"/>
        </w:rPr>
        <w:t>Hacer</w:t>
      </w:r>
      <w:proofErr w:type="gramEnd"/>
      <w:r w:rsidRPr="009B1A67">
        <w:rPr>
          <w:rFonts w:ascii="Verdana" w:hAnsi="Verdana"/>
          <w:spacing w:val="2"/>
          <w:sz w:val="22"/>
          <w:szCs w:val="22"/>
        </w:rPr>
        <w:t xml:space="preserve"> seguimiento de las decisiones y recomendaciones emitidas por el Comité.</w:t>
      </w:r>
    </w:p>
    <w:p w14:paraId="13E31028"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4. Someter a consideración del Comité la información que este requiera para el cumplimiento de su función.</w:t>
      </w:r>
    </w:p>
    <w:p w14:paraId="08EF90FF"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r w:rsidRPr="009B1A67">
        <w:rPr>
          <w:rFonts w:ascii="Verdana" w:hAnsi="Verdana"/>
          <w:spacing w:val="2"/>
          <w:sz w:val="22"/>
          <w:szCs w:val="22"/>
        </w:rPr>
        <w:t>5</w:t>
      </w:r>
      <w:r w:rsidRPr="009B1A67">
        <w:rPr>
          <w:rStyle w:val="iaj"/>
          <w:rFonts w:ascii="Verdana" w:hAnsi="Verdana"/>
          <w:i/>
          <w:iCs/>
          <w:spacing w:val="2"/>
          <w:sz w:val="22"/>
          <w:szCs w:val="22"/>
        </w:rPr>
        <w:t>. </w:t>
      </w:r>
      <w:r w:rsidRPr="009B1A67">
        <w:rPr>
          <w:rFonts w:ascii="Verdana" w:hAnsi="Verdana"/>
          <w:spacing w:val="2"/>
          <w:sz w:val="22"/>
          <w:szCs w:val="22"/>
        </w:rPr>
        <w:t>Comunicar a Fiduprevisora S. A. sobre las decisiones tomadas por el Comité con el fin de que proceda a afectar los recursos del Fondo de Insolvencia.</w:t>
      </w:r>
    </w:p>
    <w:p w14:paraId="699A3E88"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6. Registrar, custodiar, archivar y conservar la correspondencia del Comité.</w:t>
      </w:r>
    </w:p>
    <w:p w14:paraId="5D5DD493" w14:textId="77777777" w:rsidR="009B1A67" w:rsidRPr="009B1A67" w:rsidRDefault="009B1A67" w:rsidP="009B1A67">
      <w:pPr>
        <w:pStyle w:val="NormalWeb"/>
        <w:spacing w:before="0" w:beforeAutospacing="0" w:after="240" w:afterAutospacing="0"/>
        <w:jc w:val="both"/>
        <w:rPr>
          <w:rFonts w:ascii="Verdana" w:hAnsi="Verdana"/>
          <w:spacing w:val="2"/>
          <w:sz w:val="22"/>
          <w:szCs w:val="22"/>
        </w:rPr>
      </w:pPr>
      <w:r w:rsidRPr="009B1A67">
        <w:rPr>
          <w:rFonts w:ascii="Verdana" w:hAnsi="Verdana"/>
          <w:spacing w:val="2"/>
          <w:sz w:val="22"/>
          <w:szCs w:val="22"/>
        </w:rPr>
        <w:t>7. Las demás que le sean asignadas por el Comité.</w:t>
      </w:r>
    </w:p>
    <w:p w14:paraId="73B0FE31" w14:textId="08ECCD0B" w:rsidR="009B1A67" w:rsidRDefault="009B1A67" w:rsidP="009B1A67">
      <w:pPr>
        <w:pStyle w:val="NormalWeb"/>
        <w:spacing w:before="0" w:beforeAutospacing="0" w:after="0" w:afterAutospacing="0"/>
        <w:jc w:val="both"/>
        <w:rPr>
          <w:rFonts w:ascii="Verdana" w:hAnsi="Verdana"/>
          <w:spacing w:val="2"/>
          <w:sz w:val="22"/>
          <w:szCs w:val="22"/>
        </w:rPr>
      </w:pPr>
      <w:bookmarkStart w:id="6" w:name="7"/>
      <w:r w:rsidRPr="009B1A67">
        <w:rPr>
          <w:rFonts w:ascii="Verdana" w:hAnsi="Verdana"/>
          <w:b/>
          <w:bCs/>
          <w:spacing w:val="2"/>
          <w:sz w:val="22"/>
          <w:szCs w:val="22"/>
        </w:rPr>
        <w:t>ARTÍCULO 7o. VIGENCIA Y DEROGACIONES.</w:t>
      </w:r>
      <w:bookmarkEnd w:id="6"/>
      <w:r w:rsidRPr="009B1A67">
        <w:rPr>
          <w:rFonts w:ascii="Verdana" w:hAnsi="Verdana"/>
          <w:spacing w:val="2"/>
          <w:sz w:val="22"/>
          <w:szCs w:val="22"/>
        </w:rPr>
        <w:t> La presente resolución rige a partir de la fecha de su publicación y deroga la Resolución número </w:t>
      </w:r>
      <w:r w:rsidRPr="00296709">
        <w:rPr>
          <w:rFonts w:ascii="Verdana" w:hAnsi="Verdana"/>
          <w:spacing w:val="2"/>
          <w:sz w:val="22"/>
          <w:szCs w:val="22"/>
        </w:rPr>
        <w:t>1706</w:t>
      </w:r>
      <w:r w:rsidRPr="009B1A67">
        <w:rPr>
          <w:rFonts w:ascii="Verdana" w:hAnsi="Verdana"/>
          <w:spacing w:val="2"/>
          <w:sz w:val="22"/>
          <w:szCs w:val="22"/>
        </w:rPr>
        <w:t> de 29 de septiembre de 2004.</w:t>
      </w:r>
    </w:p>
    <w:p w14:paraId="3871BFF3" w14:textId="77777777" w:rsidR="009B1A67" w:rsidRPr="009B1A67" w:rsidRDefault="009B1A67" w:rsidP="009B1A67">
      <w:pPr>
        <w:pStyle w:val="NormalWeb"/>
        <w:spacing w:before="0" w:beforeAutospacing="0" w:after="0" w:afterAutospacing="0"/>
        <w:jc w:val="both"/>
        <w:rPr>
          <w:rFonts w:ascii="Verdana" w:hAnsi="Verdana"/>
          <w:spacing w:val="2"/>
          <w:sz w:val="22"/>
          <w:szCs w:val="22"/>
        </w:rPr>
      </w:pPr>
    </w:p>
    <w:p w14:paraId="68148221" w14:textId="77777777" w:rsidR="009B1A67" w:rsidRPr="009B1A67" w:rsidRDefault="009B1A67" w:rsidP="009B1A67">
      <w:pPr>
        <w:pStyle w:val="centrado"/>
        <w:spacing w:before="0" w:beforeAutospacing="0" w:after="240" w:afterAutospacing="0"/>
        <w:jc w:val="center"/>
        <w:rPr>
          <w:rFonts w:ascii="Verdana" w:hAnsi="Verdana"/>
          <w:spacing w:val="2"/>
          <w:sz w:val="22"/>
          <w:szCs w:val="22"/>
        </w:rPr>
      </w:pPr>
      <w:r w:rsidRPr="009B1A67">
        <w:rPr>
          <w:rFonts w:ascii="Verdana" w:hAnsi="Verdana"/>
          <w:spacing w:val="2"/>
          <w:sz w:val="22"/>
          <w:szCs w:val="22"/>
        </w:rPr>
        <w:t>Publíquese, comuníquese y cúmplase.</w:t>
      </w:r>
    </w:p>
    <w:p w14:paraId="75D10E37" w14:textId="7082BEAB" w:rsidR="009B1A67" w:rsidRPr="009B1A67" w:rsidRDefault="009B1A67" w:rsidP="009B1A67">
      <w:pPr>
        <w:pStyle w:val="centrado"/>
        <w:spacing w:before="0" w:beforeAutospacing="0" w:after="240" w:afterAutospacing="0"/>
        <w:jc w:val="center"/>
        <w:rPr>
          <w:rFonts w:ascii="Verdana" w:hAnsi="Verdana"/>
          <w:spacing w:val="2"/>
          <w:sz w:val="22"/>
          <w:szCs w:val="22"/>
        </w:rPr>
      </w:pPr>
      <w:r w:rsidRPr="009B1A67">
        <w:rPr>
          <w:rFonts w:ascii="Verdana" w:hAnsi="Verdana"/>
          <w:spacing w:val="2"/>
          <w:sz w:val="22"/>
          <w:szCs w:val="22"/>
        </w:rPr>
        <w:lastRenderedPageBreak/>
        <w:t xml:space="preserve">Dada en Bogotá D. C., a </w:t>
      </w:r>
      <w:r w:rsidR="00D248BA">
        <w:rPr>
          <w:rFonts w:ascii="Verdana" w:hAnsi="Verdana"/>
          <w:spacing w:val="2"/>
          <w:sz w:val="22"/>
          <w:szCs w:val="22"/>
        </w:rPr>
        <w:t xml:space="preserve">loa </w:t>
      </w:r>
      <w:r w:rsidRPr="009B1A67">
        <w:rPr>
          <w:rFonts w:ascii="Verdana" w:hAnsi="Verdana"/>
          <w:spacing w:val="2"/>
          <w:sz w:val="22"/>
          <w:szCs w:val="22"/>
        </w:rPr>
        <w:t>22 de junio de 2010</w:t>
      </w:r>
    </w:p>
    <w:p w14:paraId="701B5933" w14:textId="77777777" w:rsidR="009B1A67" w:rsidRPr="009B1A67" w:rsidRDefault="009B1A67" w:rsidP="009B1A67">
      <w:pPr>
        <w:pStyle w:val="centrado"/>
        <w:spacing w:before="0" w:beforeAutospacing="0" w:after="240" w:afterAutospacing="0"/>
        <w:jc w:val="center"/>
        <w:rPr>
          <w:rFonts w:ascii="Verdana" w:hAnsi="Verdana"/>
          <w:spacing w:val="2"/>
          <w:sz w:val="22"/>
          <w:szCs w:val="22"/>
        </w:rPr>
      </w:pPr>
      <w:r w:rsidRPr="009B1A67">
        <w:rPr>
          <w:rFonts w:ascii="Verdana" w:hAnsi="Verdana"/>
          <w:spacing w:val="2"/>
          <w:sz w:val="22"/>
          <w:szCs w:val="22"/>
        </w:rPr>
        <w:t xml:space="preserve">La </w:t>
      </w:r>
      <w:proofErr w:type="gramStart"/>
      <w:r w:rsidRPr="009B1A67">
        <w:rPr>
          <w:rFonts w:ascii="Verdana" w:hAnsi="Verdana"/>
          <w:spacing w:val="2"/>
          <w:sz w:val="22"/>
          <w:szCs w:val="22"/>
        </w:rPr>
        <w:t>Directora General</w:t>
      </w:r>
      <w:proofErr w:type="gramEnd"/>
      <w:r w:rsidRPr="009B1A67">
        <w:rPr>
          <w:rFonts w:ascii="Verdana" w:hAnsi="Verdana"/>
          <w:spacing w:val="2"/>
          <w:sz w:val="22"/>
          <w:szCs w:val="22"/>
        </w:rPr>
        <w:t>,</w:t>
      </w:r>
    </w:p>
    <w:p w14:paraId="6439F83B" w14:textId="77777777" w:rsidR="009B1A67" w:rsidRPr="009B1A67" w:rsidRDefault="009B1A67" w:rsidP="009B1A67">
      <w:pPr>
        <w:pStyle w:val="centrado"/>
        <w:spacing w:before="0" w:beforeAutospacing="0" w:after="0" w:afterAutospacing="0"/>
        <w:jc w:val="center"/>
        <w:rPr>
          <w:rFonts w:ascii="Verdana" w:hAnsi="Verdana"/>
          <w:spacing w:val="2"/>
          <w:sz w:val="22"/>
          <w:szCs w:val="22"/>
        </w:rPr>
      </w:pPr>
      <w:r w:rsidRPr="009B1A67">
        <w:rPr>
          <w:rStyle w:val="baj"/>
          <w:rFonts w:ascii="Verdana" w:hAnsi="Verdana"/>
          <w:b/>
          <w:bCs/>
          <w:spacing w:val="2"/>
          <w:sz w:val="22"/>
          <w:szCs w:val="22"/>
        </w:rPr>
        <w:t>ELVIRA FORERO HERNÁNDEZ.</w:t>
      </w:r>
    </w:p>
    <w:p w14:paraId="63C74633" w14:textId="0C45F0C1" w:rsidR="00AF6AC0" w:rsidRPr="009B1A67" w:rsidRDefault="00AF6AC0" w:rsidP="009B1A67">
      <w:pPr>
        <w:spacing w:after="0" w:line="240" w:lineRule="auto"/>
        <w:ind w:left="708" w:hanging="708"/>
        <w:jc w:val="center"/>
        <w:rPr>
          <w:rFonts w:ascii="Verdana" w:hAnsi="Verdana"/>
        </w:rPr>
      </w:pPr>
    </w:p>
    <w:p w14:paraId="7231CFE3" w14:textId="77777777" w:rsidR="009B1A67" w:rsidRPr="009B1A67" w:rsidRDefault="009B1A67" w:rsidP="009B1A67">
      <w:pPr>
        <w:spacing w:after="0" w:line="240" w:lineRule="auto"/>
        <w:ind w:left="708" w:hanging="708"/>
        <w:jc w:val="center"/>
        <w:rPr>
          <w:rFonts w:ascii="Verdana" w:hAnsi="Verdana"/>
        </w:rPr>
      </w:pPr>
    </w:p>
    <w:sectPr w:rsidR="009B1A67" w:rsidRPr="009B1A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61"/>
    <w:rsid w:val="000650F5"/>
    <w:rsid w:val="00296709"/>
    <w:rsid w:val="00407C7A"/>
    <w:rsid w:val="006F4F5D"/>
    <w:rsid w:val="009B1A67"/>
    <w:rsid w:val="00AF6AC0"/>
    <w:rsid w:val="00D248BA"/>
    <w:rsid w:val="00DC2E61"/>
    <w:rsid w:val="00E568DF"/>
    <w:rsid w:val="00F31B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545D"/>
  <w15:chartTrackingRefBased/>
  <w15:docId w15:val="{9BB4B191-0E36-4F94-AB74-255BFE47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1A6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1A67"/>
    <w:rPr>
      <w:color w:val="0563C1" w:themeColor="hyperlink"/>
      <w:u w:val="single"/>
    </w:rPr>
  </w:style>
  <w:style w:type="character" w:styleId="Mencinsinresolver">
    <w:name w:val="Unresolved Mention"/>
    <w:basedOn w:val="Fuentedeprrafopredeter"/>
    <w:uiPriority w:val="99"/>
    <w:semiHidden/>
    <w:unhideWhenUsed/>
    <w:rsid w:val="009B1A67"/>
    <w:rPr>
      <w:color w:val="605E5C"/>
      <w:shd w:val="clear" w:color="auto" w:fill="E1DFDD"/>
    </w:rPr>
  </w:style>
  <w:style w:type="paragraph" w:customStyle="1" w:styleId="centrado">
    <w:name w:val="centrado"/>
    <w:basedOn w:val="Normal"/>
    <w:rsid w:val="009B1A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9B1A67"/>
  </w:style>
  <w:style w:type="paragraph" w:styleId="NormalWeb">
    <w:name w:val="Normal (Web)"/>
    <w:basedOn w:val="Normal"/>
    <w:uiPriority w:val="99"/>
    <w:semiHidden/>
    <w:unhideWhenUsed/>
    <w:rsid w:val="009B1A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9B1A67"/>
  </w:style>
  <w:style w:type="paragraph" w:styleId="Sinespaciado">
    <w:name w:val="No Spacing"/>
    <w:uiPriority w:val="1"/>
    <w:qFormat/>
    <w:rsid w:val="00E56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3106">
      <w:bodyDiv w:val="1"/>
      <w:marLeft w:val="0"/>
      <w:marRight w:val="0"/>
      <w:marTop w:val="0"/>
      <w:marBottom w:val="0"/>
      <w:divBdr>
        <w:top w:val="none" w:sz="0" w:space="0" w:color="auto"/>
        <w:left w:val="none" w:sz="0" w:space="0" w:color="auto"/>
        <w:bottom w:val="none" w:sz="0" w:space="0" w:color="auto"/>
        <w:right w:val="none" w:sz="0" w:space="0" w:color="auto"/>
      </w:divBdr>
    </w:div>
    <w:div w:id="254411139">
      <w:bodyDiv w:val="1"/>
      <w:marLeft w:val="0"/>
      <w:marRight w:val="0"/>
      <w:marTop w:val="0"/>
      <w:marBottom w:val="0"/>
      <w:divBdr>
        <w:top w:val="none" w:sz="0" w:space="0" w:color="auto"/>
        <w:left w:val="none" w:sz="0" w:space="0" w:color="auto"/>
        <w:bottom w:val="none" w:sz="0" w:space="0" w:color="auto"/>
        <w:right w:val="none" w:sz="0" w:space="0" w:color="auto"/>
      </w:divBdr>
    </w:div>
    <w:div w:id="312806062">
      <w:bodyDiv w:val="1"/>
      <w:marLeft w:val="0"/>
      <w:marRight w:val="0"/>
      <w:marTop w:val="0"/>
      <w:marBottom w:val="0"/>
      <w:divBdr>
        <w:top w:val="none" w:sz="0" w:space="0" w:color="auto"/>
        <w:left w:val="none" w:sz="0" w:space="0" w:color="auto"/>
        <w:bottom w:val="none" w:sz="0" w:space="0" w:color="auto"/>
        <w:right w:val="none" w:sz="0" w:space="0" w:color="auto"/>
      </w:divBdr>
    </w:div>
    <w:div w:id="340546725">
      <w:bodyDiv w:val="1"/>
      <w:marLeft w:val="0"/>
      <w:marRight w:val="0"/>
      <w:marTop w:val="0"/>
      <w:marBottom w:val="0"/>
      <w:divBdr>
        <w:top w:val="none" w:sz="0" w:space="0" w:color="auto"/>
        <w:left w:val="none" w:sz="0" w:space="0" w:color="auto"/>
        <w:bottom w:val="none" w:sz="0" w:space="0" w:color="auto"/>
        <w:right w:val="none" w:sz="0" w:space="0" w:color="auto"/>
      </w:divBdr>
    </w:div>
    <w:div w:id="393159352">
      <w:bodyDiv w:val="1"/>
      <w:marLeft w:val="0"/>
      <w:marRight w:val="0"/>
      <w:marTop w:val="0"/>
      <w:marBottom w:val="0"/>
      <w:divBdr>
        <w:top w:val="none" w:sz="0" w:space="0" w:color="auto"/>
        <w:left w:val="none" w:sz="0" w:space="0" w:color="auto"/>
        <w:bottom w:val="none" w:sz="0" w:space="0" w:color="auto"/>
        <w:right w:val="none" w:sz="0" w:space="0" w:color="auto"/>
      </w:divBdr>
    </w:div>
    <w:div w:id="513033163">
      <w:bodyDiv w:val="1"/>
      <w:marLeft w:val="0"/>
      <w:marRight w:val="0"/>
      <w:marTop w:val="0"/>
      <w:marBottom w:val="0"/>
      <w:divBdr>
        <w:top w:val="none" w:sz="0" w:space="0" w:color="auto"/>
        <w:left w:val="none" w:sz="0" w:space="0" w:color="auto"/>
        <w:bottom w:val="none" w:sz="0" w:space="0" w:color="auto"/>
        <w:right w:val="none" w:sz="0" w:space="0" w:color="auto"/>
      </w:divBdr>
    </w:div>
    <w:div w:id="518785040">
      <w:bodyDiv w:val="1"/>
      <w:marLeft w:val="0"/>
      <w:marRight w:val="0"/>
      <w:marTop w:val="0"/>
      <w:marBottom w:val="0"/>
      <w:divBdr>
        <w:top w:val="none" w:sz="0" w:space="0" w:color="auto"/>
        <w:left w:val="none" w:sz="0" w:space="0" w:color="auto"/>
        <w:bottom w:val="none" w:sz="0" w:space="0" w:color="auto"/>
        <w:right w:val="none" w:sz="0" w:space="0" w:color="auto"/>
      </w:divBdr>
    </w:div>
    <w:div w:id="905921272">
      <w:bodyDiv w:val="1"/>
      <w:marLeft w:val="0"/>
      <w:marRight w:val="0"/>
      <w:marTop w:val="0"/>
      <w:marBottom w:val="0"/>
      <w:divBdr>
        <w:top w:val="none" w:sz="0" w:space="0" w:color="auto"/>
        <w:left w:val="none" w:sz="0" w:space="0" w:color="auto"/>
        <w:bottom w:val="none" w:sz="0" w:space="0" w:color="auto"/>
        <w:right w:val="none" w:sz="0" w:space="0" w:color="auto"/>
      </w:divBdr>
    </w:div>
    <w:div w:id="979043855">
      <w:bodyDiv w:val="1"/>
      <w:marLeft w:val="0"/>
      <w:marRight w:val="0"/>
      <w:marTop w:val="0"/>
      <w:marBottom w:val="0"/>
      <w:divBdr>
        <w:top w:val="none" w:sz="0" w:space="0" w:color="auto"/>
        <w:left w:val="none" w:sz="0" w:space="0" w:color="auto"/>
        <w:bottom w:val="none" w:sz="0" w:space="0" w:color="auto"/>
        <w:right w:val="none" w:sz="0" w:space="0" w:color="auto"/>
      </w:divBdr>
    </w:div>
    <w:div w:id="1047753744">
      <w:bodyDiv w:val="1"/>
      <w:marLeft w:val="0"/>
      <w:marRight w:val="0"/>
      <w:marTop w:val="0"/>
      <w:marBottom w:val="0"/>
      <w:divBdr>
        <w:top w:val="none" w:sz="0" w:space="0" w:color="auto"/>
        <w:left w:val="none" w:sz="0" w:space="0" w:color="auto"/>
        <w:bottom w:val="none" w:sz="0" w:space="0" w:color="auto"/>
        <w:right w:val="none" w:sz="0" w:space="0" w:color="auto"/>
      </w:divBdr>
    </w:div>
    <w:div w:id="1356884451">
      <w:bodyDiv w:val="1"/>
      <w:marLeft w:val="0"/>
      <w:marRight w:val="0"/>
      <w:marTop w:val="0"/>
      <w:marBottom w:val="0"/>
      <w:divBdr>
        <w:top w:val="none" w:sz="0" w:space="0" w:color="auto"/>
        <w:left w:val="none" w:sz="0" w:space="0" w:color="auto"/>
        <w:bottom w:val="none" w:sz="0" w:space="0" w:color="auto"/>
        <w:right w:val="none" w:sz="0" w:space="0" w:color="auto"/>
      </w:divBdr>
    </w:div>
    <w:div w:id="139758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96A97-8235-4C35-B680-EA04C4DAA76F}"/>
</file>

<file path=customXml/itemProps2.xml><?xml version="1.0" encoding="utf-8"?>
<ds:datastoreItem xmlns:ds="http://schemas.openxmlformats.org/officeDocument/2006/customXml" ds:itemID="{16AC4D41-EE83-4B9A-AF81-A0CF87E0C0FC}"/>
</file>

<file path=customXml/itemProps3.xml><?xml version="1.0" encoding="utf-8"?>
<ds:datastoreItem xmlns:ds="http://schemas.openxmlformats.org/officeDocument/2006/customXml" ds:itemID="{5FC94D01-6C2C-4B1A-B6B0-80B9FC502838}"/>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5620</Characters>
  <Application>Microsoft Office Word</Application>
  <DocSecurity>0</DocSecurity>
  <Lines>46</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2025-12-10T20:32:00Z</dcterms:created>
  <dcterms:modified xsi:type="dcterms:W3CDTF">2026-04-15T16:03:00Z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