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3834" w14:textId="2313C5D9" w:rsidR="006D5ECF" w:rsidRPr="00703B13" w:rsidRDefault="006D5ECF" w:rsidP="006D5ECF">
      <w:pPr>
        <w:jc w:val="center"/>
        <w:rPr>
          <w:rFonts w:ascii="Verdana" w:hAnsi="Verdana"/>
          <w:sz w:val="22"/>
          <w:szCs w:val="22"/>
        </w:rPr>
      </w:pPr>
      <w:r w:rsidRPr="00703B13">
        <w:rPr>
          <w:rFonts w:ascii="Verdana" w:hAnsi="Verdana"/>
          <w:b/>
          <w:bCs/>
          <w:sz w:val="22"/>
          <w:szCs w:val="22"/>
        </w:rPr>
        <w:t xml:space="preserve">RESOLUCION </w:t>
      </w:r>
      <w:r w:rsidR="00703B13">
        <w:rPr>
          <w:rFonts w:ascii="Verdana" w:hAnsi="Verdana"/>
          <w:b/>
          <w:bCs/>
          <w:sz w:val="22"/>
          <w:szCs w:val="22"/>
        </w:rPr>
        <w:t>2</w:t>
      </w:r>
      <w:r w:rsidRPr="00703B13">
        <w:rPr>
          <w:rFonts w:ascii="Verdana" w:hAnsi="Verdana"/>
          <w:b/>
          <w:bCs/>
          <w:sz w:val="22"/>
          <w:szCs w:val="22"/>
        </w:rPr>
        <w:t>5</w:t>
      </w:r>
      <w:r w:rsidR="00703B13">
        <w:rPr>
          <w:rFonts w:ascii="Verdana" w:hAnsi="Verdana"/>
          <w:b/>
          <w:bCs/>
          <w:sz w:val="22"/>
          <w:szCs w:val="22"/>
        </w:rPr>
        <w:t>1</w:t>
      </w:r>
      <w:r w:rsidRPr="00703B13">
        <w:rPr>
          <w:rFonts w:ascii="Verdana" w:hAnsi="Verdana"/>
          <w:b/>
          <w:bCs/>
          <w:sz w:val="22"/>
          <w:szCs w:val="22"/>
        </w:rPr>
        <w:t xml:space="preserve"> DE 20</w:t>
      </w:r>
      <w:r w:rsidR="00703B13">
        <w:rPr>
          <w:rFonts w:ascii="Verdana" w:hAnsi="Verdana"/>
          <w:b/>
          <w:bCs/>
          <w:sz w:val="22"/>
          <w:szCs w:val="22"/>
        </w:rPr>
        <w:t>23</w:t>
      </w:r>
    </w:p>
    <w:p w14:paraId="7FAA1F65" w14:textId="32EA014E" w:rsidR="006D1939" w:rsidRPr="00703B13" w:rsidRDefault="006D1939" w:rsidP="006D1939">
      <w:pPr>
        <w:rPr>
          <w:rFonts w:ascii="Verdana" w:hAnsi="Verdana"/>
          <w:sz w:val="20"/>
          <w:szCs w:val="20"/>
        </w:rPr>
      </w:pPr>
      <w:r w:rsidRPr="00703B13">
        <w:rPr>
          <w:rFonts w:ascii="Verdana" w:hAnsi="Verdana"/>
          <w:sz w:val="20"/>
          <w:szCs w:val="20"/>
        </w:rPr>
        <w:t xml:space="preserve">Fecha de Expedición: </w:t>
      </w:r>
      <w:r w:rsidR="006D5ECF" w:rsidRPr="00703B13">
        <w:rPr>
          <w:rFonts w:ascii="Verdana" w:hAnsi="Verdana"/>
          <w:sz w:val="20"/>
          <w:szCs w:val="20"/>
        </w:rPr>
        <w:t>3</w:t>
      </w:r>
      <w:r w:rsidR="00703B13" w:rsidRPr="00703B13">
        <w:rPr>
          <w:rFonts w:ascii="Verdana" w:hAnsi="Verdana"/>
          <w:sz w:val="20"/>
          <w:szCs w:val="20"/>
        </w:rPr>
        <w:t>1</w:t>
      </w:r>
      <w:r w:rsidRPr="00703B13">
        <w:rPr>
          <w:rFonts w:ascii="Verdana" w:hAnsi="Verdana"/>
          <w:sz w:val="20"/>
          <w:szCs w:val="20"/>
        </w:rPr>
        <w:t xml:space="preserve"> de </w:t>
      </w:r>
      <w:r w:rsidR="00043942" w:rsidRPr="00703B13">
        <w:rPr>
          <w:rFonts w:ascii="Verdana" w:hAnsi="Verdana"/>
          <w:sz w:val="20"/>
          <w:szCs w:val="20"/>
        </w:rPr>
        <w:t>enero</w:t>
      </w:r>
      <w:r w:rsidRPr="00703B13">
        <w:rPr>
          <w:rFonts w:ascii="Verdana" w:hAnsi="Verdana"/>
          <w:sz w:val="20"/>
          <w:szCs w:val="20"/>
        </w:rPr>
        <w:t xml:space="preserve"> de 20</w:t>
      </w:r>
      <w:r w:rsidR="00703B13" w:rsidRPr="00703B13">
        <w:rPr>
          <w:rFonts w:ascii="Verdana" w:hAnsi="Verdana"/>
          <w:sz w:val="20"/>
          <w:szCs w:val="20"/>
        </w:rPr>
        <w:t>23</w:t>
      </w:r>
    </w:p>
    <w:p w14:paraId="3C8362D2" w14:textId="55C9F7A0" w:rsidR="006D1939" w:rsidRPr="00703B13" w:rsidRDefault="006D1939" w:rsidP="006D1939">
      <w:pPr>
        <w:rPr>
          <w:rFonts w:ascii="Verdana" w:hAnsi="Verdana"/>
          <w:sz w:val="20"/>
          <w:szCs w:val="20"/>
        </w:rPr>
      </w:pPr>
      <w:r w:rsidRPr="00703B13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703B13">
        <w:rPr>
          <w:rFonts w:ascii="Verdana" w:hAnsi="Verdana"/>
          <w:sz w:val="20"/>
          <w:szCs w:val="20"/>
        </w:rPr>
        <w:t>entrada en vigencia</w:t>
      </w:r>
      <w:proofErr w:type="gramEnd"/>
      <w:r w:rsidRPr="00703B13">
        <w:rPr>
          <w:rFonts w:ascii="Verdana" w:hAnsi="Verdana"/>
          <w:sz w:val="20"/>
          <w:szCs w:val="20"/>
        </w:rPr>
        <w:t xml:space="preserve">: </w:t>
      </w:r>
      <w:r w:rsidR="006D5ECF" w:rsidRPr="00703B13">
        <w:rPr>
          <w:rFonts w:ascii="Verdana" w:hAnsi="Verdana"/>
          <w:sz w:val="20"/>
          <w:szCs w:val="20"/>
        </w:rPr>
        <w:t>3</w:t>
      </w:r>
      <w:r w:rsidR="00703B13" w:rsidRPr="00703B13">
        <w:rPr>
          <w:rFonts w:ascii="Verdana" w:hAnsi="Verdana"/>
          <w:sz w:val="20"/>
          <w:szCs w:val="20"/>
        </w:rPr>
        <w:t>1</w:t>
      </w:r>
      <w:r w:rsidR="006D5ECF" w:rsidRPr="00703B13">
        <w:rPr>
          <w:rFonts w:ascii="Verdana" w:hAnsi="Verdana"/>
          <w:sz w:val="20"/>
          <w:szCs w:val="20"/>
        </w:rPr>
        <w:t xml:space="preserve"> de </w:t>
      </w:r>
      <w:r w:rsidR="00043942" w:rsidRPr="00703B13">
        <w:rPr>
          <w:rFonts w:ascii="Verdana" w:hAnsi="Verdana"/>
          <w:sz w:val="20"/>
          <w:szCs w:val="20"/>
        </w:rPr>
        <w:t>enero</w:t>
      </w:r>
      <w:r w:rsidR="006D5ECF" w:rsidRPr="00703B13">
        <w:rPr>
          <w:rFonts w:ascii="Verdana" w:hAnsi="Verdana"/>
          <w:sz w:val="20"/>
          <w:szCs w:val="20"/>
        </w:rPr>
        <w:t xml:space="preserve"> de 20</w:t>
      </w:r>
      <w:r w:rsidR="00703B13" w:rsidRPr="00703B13">
        <w:rPr>
          <w:rFonts w:ascii="Verdana" w:hAnsi="Verdana"/>
          <w:sz w:val="20"/>
          <w:szCs w:val="20"/>
        </w:rPr>
        <w:t>23</w:t>
      </w:r>
    </w:p>
    <w:p w14:paraId="1772F951" w14:textId="666DB6CE" w:rsidR="006D1939" w:rsidRPr="00703B13" w:rsidRDefault="006D1939" w:rsidP="006D1939">
      <w:pPr>
        <w:rPr>
          <w:rFonts w:ascii="Verdana" w:hAnsi="Verdana"/>
          <w:sz w:val="20"/>
          <w:szCs w:val="20"/>
        </w:rPr>
      </w:pPr>
      <w:r w:rsidRPr="00703B13">
        <w:rPr>
          <w:rFonts w:ascii="Verdana" w:hAnsi="Verdana"/>
          <w:sz w:val="20"/>
          <w:szCs w:val="20"/>
        </w:rPr>
        <w:t xml:space="preserve">Estado de la vigencia: </w:t>
      </w:r>
      <w:r w:rsidR="006D5ECF" w:rsidRPr="00703B13">
        <w:rPr>
          <w:rFonts w:ascii="Verdana" w:hAnsi="Verdana"/>
          <w:sz w:val="20"/>
          <w:szCs w:val="20"/>
        </w:rPr>
        <w:t>vigente</w:t>
      </w:r>
    </w:p>
    <w:p w14:paraId="30D368E6" w14:textId="77777777" w:rsidR="006D1939" w:rsidRPr="00703B13" w:rsidRDefault="006D1939" w:rsidP="006D1939">
      <w:pPr>
        <w:rPr>
          <w:rFonts w:ascii="Verdana" w:hAnsi="Verdana"/>
          <w:sz w:val="20"/>
          <w:szCs w:val="20"/>
        </w:rPr>
      </w:pPr>
    </w:p>
    <w:p w14:paraId="396C1C8B" w14:textId="37B08B0A" w:rsidR="006D1939" w:rsidRPr="00703B13" w:rsidRDefault="006D1939" w:rsidP="006D1939">
      <w:pPr>
        <w:rPr>
          <w:rFonts w:ascii="Verdana" w:hAnsi="Verdana"/>
          <w:sz w:val="20"/>
          <w:szCs w:val="20"/>
        </w:rPr>
      </w:pPr>
      <w:r w:rsidRPr="00703B13">
        <w:rPr>
          <w:rFonts w:ascii="Verdana" w:hAnsi="Verdana"/>
          <w:sz w:val="20"/>
          <w:szCs w:val="20"/>
        </w:rPr>
        <w:t xml:space="preserve">Fecha de publicación en Diario Oficial: </w:t>
      </w:r>
      <w:r w:rsidR="006D5ECF" w:rsidRPr="00703B13">
        <w:rPr>
          <w:rFonts w:ascii="Verdana" w:hAnsi="Verdana"/>
          <w:sz w:val="20"/>
          <w:szCs w:val="20"/>
        </w:rPr>
        <w:t>N/A</w:t>
      </w:r>
    </w:p>
    <w:p w14:paraId="038FC3F0" w14:textId="02DD0662" w:rsidR="006D1939" w:rsidRPr="00703B13" w:rsidRDefault="006D1939" w:rsidP="006D1939">
      <w:pPr>
        <w:rPr>
          <w:rFonts w:ascii="Verdana" w:hAnsi="Verdana"/>
          <w:sz w:val="20"/>
          <w:szCs w:val="20"/>
        </w:rPr>
      </w:pPr>
      <w:r w:rsidRPr="00703B13">
        <w:rPr>
          <w:rFonts w:ascii="Verdana" w:hAnsi="Verdana"/>
          <w:sz w:val="20"/>
          <w:szCs w:val="20"/>
        </w:rPr>
        <w:t>Número del Diario Oficial: N</w:t>
      </w:r>
      <w:r w:rsidR="006D5ECF" w:rsidRPr="00703B13">
        <w:rPr>
          <w:rFonts w:ascii="Verdana" w:hAnsi="Verdana"/>
          <w:sz w:val="20"/>
          <w:szCs w:val="20"/>
        </w:rPr>
        <w:t>/A</w:t>
      </w:r>
    </w:p>
    <w:p w14:paraId="3A23596A" w14:textId="77777777" w:rsidR="001F1D4E" w:rsidRPr="001F1D4E" w:rsidRDefault="001F1D4E" w:rsidP="00703B13">
      <w:pPr>
        <w:jc w:val="center"/>
        <w:rPr>
          <w:rFonts w:ascii="Verdana" w:hAnsi="Verdana"/>
          <w:sz w:val="22"/>
          <w:szCs w:val="22"/>
        </w:rPr>
      </w:pPr>
      <w:r w:rsidRPr="001F1D4E">
        <w:rPr>
          <w:rFonts w:ascii="Verdana" w:hAnsi="Verdana"/>
          <w:b/>
          <w:bCs/>
          <w:sz w:val="22"/>
          <w:szCs w:val="22"/>
        </w:rPr>
        <w:t>RESOLUCIÓN 251 DE 2023</w:t>
      </w:r>
    </w:p>
    <w:p w14:paraId="5EE8297E" w14:textId="1100E754" w:rsidR="001F1D4E" w:rsidRPr="001F1D4E" w:rsidRDefault="001F1D4E" w:rsidP="00703B13">
      <w:pPr>
        <w:jc w:val="center"/>
        <w:rPr>
          <w:rFonts w:ascii="Verdana" w:hAnsi="Verdana"/>
          <w:b/>
          <w:bCs/>
          <w:sz w:val="22"/>
          <w:szCs w:val="22"/>
        </w:rPr>
      </w:pPr>
      <w:r w:rsidRPr="001F1D4E">
        <w:rPr>
          <w:rFonts w:ascii="Verdana" w:hAnsi="Verdana"/>
          <w:b/>
          <w:bCs/>
          <w:sz w:val="22"/>
          <w:szCs w:val="22"/>
        </w:rPr>
        <w:t>(</w:t>
      </w:r>
      <w:r w:rsidR="00703B13" w:rsidRPr="00703B13">
        <w:rPr>
          <w:rFonts w:ascii="Verdana" w:hAnsi="Verdana"/>
          <w:b/>
          <w:bCs/>
          <w:sz w:val="22"/>
          <w:szCs w:val="22"/>
        </w:rPr>
        <w:t xml:space="preserve">31 de </w:t>
      </w:r>
      <w:r w:rsidRPr="001F1D4E">
        <w:rPr>
          <w:rFonts w:ascii="Verdana" w:hAnsi="Verdana"/>
          <w:b/>
          <w:bCs/>
          <w:sz w:val="22"/>
          <w:szCs w:val="22"/>
        </w:rPr>
        <w:t>enero)</w:t>
      </w:r>
    </w:p>
    <w:p w14:paraId="0B8CB11A" w14:textId="77777777" w:rsidR="001F1D4E" w:rsidRPr="001F1D4E" w:rsidRDefault="001F1D4E" w:rsidP="00703B13">
      <w:pPr>
        <w:jc w:val="center"/>
        <w:rPr>
          <w:rFonts w:ascii="Verdana" w:hAnsi="Verdana"/>
          <w:sz w:val="22"/>
          <w:szCs w:val="22"/>
        </w:rPr>
      </w:pPr>
      <w:r w:rsidRPr="001F1D4E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2F72DC42" w14:textId="5ECB889B" w:rsidR="001F1D4E" w:rsidRPr="001F1D4E" w:rsidRDefault="00703B13" w:rsidP="00703B13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“</w:t>
      </w:r>
      <w:r w:rsidR="001F1D4E" w:rsidRPr="001F1D4E">
        <w:rPr>
          <w:rFonts w:ascii="Verdana" w:hAnsi="Verdana"/>
          <w:sz w:val="22"/>
          <w:szCs w:val="22"/>
        </w:rPr>
        <w:t>Por la cual se adopta el Plan de Trabajo Anual del Sistema de Gestión de Seguridad y Salud en el Trabajo para la vigencia 2023, de acuerdo con lo establecido en el Decreto 1072 de 2015 y se deroga la Resolución No.0651 del 28 de enero de 2022.</w:t>
      </w:r>
      <w:r>
        <w:rPr>
          <w:rFonts w:ascii="Verdana" w:hAnsi="Verdana"/>
          <w:sz w:val="22"/>
          <w:szCs w:val="22"/>
        </w:rPr>
        <w:t>”</w:t>
      </w:r>
    </w:p>
    <w:p w14:paraId="64789116" w14:textId="77777777" w:rsidR="001F1D4E" w:rsidRPr="001F1D4E" w:rsidRDefault="001F1D4E" w:rsidP="00703B13">
      <w:pPr>
        <w:jc w:val="center"/>
        <w:rPr>
          <w:rFonts w:ascii="Verdana" w:hAnsi="Verdana"/>
          <w:sz w:val="22"/>
          <w:szCs w:val="22"/>
        </w:rPr>
      </w:pPr>
      <w:r w:rsidRPr="001F1D4E">
        <w:rPr>
          <w:rFonts w:ascii="Verdana" w:hAnsi="Verdana"/>
          <w:b/>
          <w:bCs/>
          <w:sz w:val="22"/>
          <w:szCs w:val="22"/>
        </w:rPr>
        <w:t>LA DIRECTORA GENERAL DEL INSTITUTO COLOMBIANO DE BIENESTAR FAMILIAR CECILIA DE LA FUENTE DE LLERAS</w:t>
      </w:r>
    </w:p>
    <w:p w14:paraId="0062F348" w14:textId="68127940" w:rsidR="001F1D4E" w:rsidRPr="001F1D4E" w:rsidRDefault="001F1D4E" w:rsidP="00703B13">
      <w:pPr>
        <w:jc w:val="center"/>
        <w:rPr>
          <w:rFonts w:ascii="Verdana" w:hAnsi="Verdana"/>
          <w:sz w:val="22"/>
          <w:szCs w:val="22"/>
        </w:rPr>
      </w:pPr>
      <w:r w:rsidRPr="001F1D4E">
        <w:rPr>
          <w:rFonts w:ascii="Verdana" w:hAnsi="Verdana"/>
          <w:sz w:val="22"/>
          <w:szCs w:val="22"/>
        </w:rPr>
        <w:t>En uso de sus facultades legales y estatutarias, en especial las conferidas por el literal b) del artículo 28 de la Ley 7</w:t>
      </w:r>
      <w:r w:rsidRPr="001F1D4E">
        <w:rPr>
          <w:rFonts w:ascii="Verdana" w:hAnsi="Verdana"/>
          <w:sz w:val="22"/>
          <w:szCs w:val="22"/>
          <w:vertAlign w:val="superscript"/>
        </w:rPr>
        <w:t>a</w:t>
      </w:r>
      <w:r w:rsidRPr="001F1D4E">
        <w:rPr>
          <w:rFonts w:ascii="Verdana" w:hAnsi="Verdana"/>
          <w:sz w:val="22"/>
          <w:szCs w:val="22"/>
        </w:rPr>
        <w:t> de 1979, el artículo 78 de la Ley 489 de 1998 y</w:t>
      </w:r>
    </w:p>
    <w:p w14:paraId="6F1BAF0D" w14:textId="77777777" w:rsidR="001F1D4E" w:rsidRPr="001F1D4E" w:rsidRDefault="001F1D4E" w:rsidP="00703B13">
      <w:pPr>
        <w:jc w:val="center"/>
        <w:rPr>
          <w:rFonts w:ascii="Verdana" w:hAnsi="Verdana"/>
          <w:sz w:val="22"/>
          <w:szCs w:val="22"/>
        </w:rPr>
      </w:pPr>
      <w:r w:rsidRPr="001F1D4E">
        <w:rPr>
          <w:rFonts w:ascii="Verdana" w:hAnsi="Verdana"/>
          <w:b/>
          <w:bCs/>
          <w:sz w:val="22"/>
          <w:szCs w:val="22"/>
        </w:rPr>
        <w:t>CONSIDERANDO:</w:t>
      </w:r>
    </w:p>
    <w:p w14:paraId="141771C6" w14:textId="59A759B5" w:rsidR="001F1D4E" w:rsidRPr="00703B13" w:rsidRDefault="001F1D4E" w:rsidP="00703B13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703B13">
        <w:rPr>
          <w:rFonts w:ascii="Verdana" w:hAnsi="Verdana"/>
          <w:sz w:val="22"/>
          <w:szCs w:val="22"/>
        </w:rPr>
        <w:t>Que de acuerdo con el artículo 1 de la Ley 1562 de 2012, la expresión Salud Ocupacional se </w:t>
      </w:r>
      <w:r w:rsidRPr="00703B13">
        <w:rPr>
          <w:rFonts w:ascii="Verdana" w:hAnsi="Verdana"/>
          <w:i/>
          <w:iCs/>
          <w:sz w:val="22"/>
          <w:szCs w:val="22"/>
        </w:rPr>
        <w:t>entenderá en adelante como Seguridad y Salud en el Trabajo, definida como aquella disciplina que trata de la prevención de las lesiones y enfermedades causadas por las condiciones de trabajo, y de la protección y promoción de la salud de los trabajadores (...).</w:t>
      </w:r>
    </w:p>
    <w:p w14:paraId="627477F1" w14:textId="67A6A2E9" w:rsidR="001F1D4E" w:rsidRPr="00703B13" w:rsidRDefault="001F1D4E" w:rsidP="00703B13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703B13">
        <w:rPr>
          <w:rFonts w:ascii="Verdana" w:hAnsi="Verdana"/>
          <w:sz w:val="22"/>
          <w:szCs w:val="22"/>
        </w:rPr>
        <w:t>Que el artículo 2.2.4.6.4 del Decreto 1072 de 2015 establece </w:t>
      </w:r>
      <w:r w:rsidRPr="00703B13">
        <w:rPr>
          <w:rFonts w:ascii="Verdana" w:hAnsi="Verdana"/>
          <w:i/>
          <w:iCs/>
          <w:sz w:val="22"/>
          <w:szCs w:val="22"/>
        </w:rPr>
        <w:t>que El Sistema de Gestión de la Seguridad y Salud en el Trabajo (SG-SST) consiste en el desarrollo de un proceso lógico y por etapas, basado en la mejora continua y que incluye la política, la organización, la planificación, la aplicación, la evaluación, la auditoría y las acciones de mejora con el objetivo de anticipar, reconocer, evaluar y controlarlos riesgos que puedan afectarla seguridad y la salud en el trabajo (...).</w:t>
      </w:r>
    </w:p>
    <w:p w14:paraId="292A4F8A" w14:textId="19F797BD" w:rsidR="001F1D4E" w:rsidRPr="00703B13" w:rsidRDefault="001F1D4E" w:rsidP="00703B13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703B13">
        <w:rPr>
          <w:rFonts w:ascii="Verdana" w:hAnsi="Verdana"/>
          <w:sz w:val="22"/>
          <w:szCs w:val="22"/>
        </w:rPr>
        <w:t>Que de conformidad con lo dispuesto en el numeral 7 del artículo 2.2.4.6.8 del citado Decreto, el empleador está obligado a la protección de la seguridad y salud de los trabajadores y, en concreto, tiene la obligación de </w:t>
      </w:r>
      <w:r w:rsidRPr="00703B13">
        <w:rPr>
          <w:rFonts w:ascii="Verdana" w:hAnsi="Verdana"/>
          <w:i/>
          <w:iCs/>
          <w:sz w:val="22"/>
          <w:szCs w:val="22"/>
        </w:rPr>
        <w:t xml:space="preserve">Diseñar y desarrollar un plan de trabajo anual para alcanzar cada uno de los objetivos propuestos en el Sistema de Gestión de la Seguridad y Salud en el Trabajo (SG-SST), el cual debe identificar claramente metas/ responsabilidades, recursos y cronograma de actividades, en concordancia con los estándares mínimos del Sistema </w:t>
      </w:r>
      <w:r w:rsidRPr="00703B13">
        <w:rPr>
          <w:rFonts w:ascii="Verdana" w:hAnsi="Verdana"/>
          <w:i/>
          <w:iCs/>
          <w:sz w:val="22"/>
          <w:szCs w:val="22"/>
        </w:rPr>
        <w:lastRenderedPageBreak/>
        <w:t>Obligatorio de Garantía de Calidad del Sistema General de Riesgos Laborales.</w:t>
      </w:r>
    </w:p>
    <w:p w14:paraId="573A25B1" w14:textId="1CB15AFC" w:rsidR="001F1D4E" w:rsidRPr="00703B13" w:rsidRDefault="001F1D4E" w:rsidP="00703B13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703B13">
        <w:rPr>
          <w:rFonts w:ascii="Verdana" w:hAnsi="Verdana"/>
          <w:sz w:val="22"/>
          <w:szCs w:val="22"/>
        </w:rPr>
        <w:t>Que conforme con lo establecido en el numeral 5 del artículo 2.2.4.6.12 del Decreto en mención, el empleador debe mantener disponibles y debidamente actualizados, entre otros, </w:t>
      </w:r>
      <w:r w:rsidRPr="00703B13">
        <w:rPr>
          <w:rFonts w:ascii="Verdana" w:hAnsi="Verdana"/>
          <w:i/>
          <w:iCs/>
          <w:sz w:val="22"/>
          <w:szCs w:val="22"/>
        </w:rPr>
        <w:t>(...) El plan de trabajo anual en Seguridad y Salud en el Trabajo - SST de la empresa, firmado por el empleador y el responsable del Sistema de Gestión de la Seguridad y Salud en el Trabajo SG-SST.</w:t>
      </w:r>
    </w:p>
    <w:p w14:paraId="6CC4D8DB" w14:textId="70D49BF8" w:rsidR="001F1D4E" w:rsidRPr="00703B13" w:rsidRDefault="001F1D4E" w:rsidP="00703B13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703B13">
        <w:rPr>
          <w:rFonts w:ascii="Verdana" w:hAnsi="Verdana"/>
          <w:sz w:val="22"/>
          <w:szCs w:val="22"/>
        </w:rPr>
        <w:t>Que el artículo 2.2.4.6.17 del Decreto 1072 de 2015, establece </w:t>
      </w:r>
      <w:r w:rsidRPr="00703B13">
        <w:rPr>
          <w:rFonts w:ascii="Verdana" w:hAnsi="Verdana"/>
          <w:i/>
          <w:iCs/>
          <w:sz w:val="22"/>
          <w:szCs w:val="22"/>
        </w:rPr>
        <w:t>que el empleador o contratante debe adoptar mecanismos para planificar el Sistema de Gestión de la Seguridad y Salud en el Trabajo SG-SST, basado en la evaluación inicial y otros datos disponibles que aporten a este propósito.</w:t>
      </w:r>
      <w:r w:rsidRPr="00703B13">
        <w:rPr>
          <w:rFonts w:ascii="Verdana" w:hAnsi="Verdana"/>
          <w:sz w:val="22"/>
          <w:szCs w:val="22"/>
        </w:rPr>
        <w:t> De conformidad con el numeral 2.3 del mismo artículo, dicha planificación debe permitir, entre otras cosas, </w:t>
      </w:r>
      <w:r w:rsidRPr="00703B13">
        <w:rPr>
          <w:rFonts w:ascii="Verdana" w:hAnsi="Verdana"/>
          <w:i/>
          <w:iCs/>
          <w:sz w:val="22"/>
          <w:szCs w:val="22"/>
        </w:rPr>
        <w:t>establecer el plan de trabajo anual para alcanzar cada uno de los objetivos, en el que se especifiquen metas, actividades claras para su desarrollo, responsables y cronograma, responsables y recursos necesarios (..</w:t>
      </w:r>
      <w:r w:rsidRPr="00703B13">
        <w:rPr>
          <w:rFonts w:ascii="Verdana" w:hAnsi="Verdana"/>
          <w:sz w:val="22"/>
          <w:szCs w:val="22"/>
        </w:rPr>
        <w:t>.)</w:t>
      </w:r>
    </w:p>
    <w:p w14:paraId="56C0366E" w14:textId="77777777" w:rsidR="001F1D4E" w:rsidRPr="00703B13" w:rsidRDefault="001F1D4E" w:rsidP="00703B13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703B13">
        <w:rPr>
          <w:rFonts w:ascii="Verdana" w:hAnsi="Verdana"/>
          <w:sz w:val="22"/>
          <w:szCs w:val="22"/>
        </w:rPr>
        <w:t>Que el parágrafo 2 del artículo precitado determina que </w:t>
      </w:r>
      <w:r w:rsidRPr="00703B13">
        <w:rPr>
          <w:rFonts w:ascii="Verdana" w:hAnsi="Verdana"/>
          <w:i/>
          <w:iCs/>
          <w:sz w:val="22"/>
          <w:szCs w:val="22"/>
        </w:rPr>
        <w:t>el plan de trabajo anual debe ser firmado por el empleador y contener los objetivos, metas, actividades, responsables, cronograma y recursos del Sistema de Gestión de la Seguridad y Salud en el Trabajo SG- SST.</w:t>
      </w:r>
    </w:p>
    <w:p w14:paraId="26F4F0F4" w14:textId="3A8B0FBF" w:rsidR="001F1D4E" w:rsidRPr="00703B13" w:rsidRDefault="001F1D4E" w:rsidP="00703B13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703B13">
        <w:rPr>
          <w:rFonts w:ascii="Verdana" w:hAnsi="Verdana"/>
          <w:i/>
          <w:iCs/>
          <w:sz w:val="22"/>
          <w:szCs w:val="22"/>
        </w:rPr>
        <w:t>Por la cual se adopta el Plan de Trabajo Anual del Sistema de Gestión de Seguridad y Salud en el Trabajo para la vigencia 2023, de acuerdo con lo establecido en el Decreto 1072 de 2015 y se deroga la Resolución No.0651 del 28 de enero de 2022.</w:t>
      </w:r>
    </w:p>
    <w:p w14:paraId="1DCC9610" w14:textId="5BB058C0" w:rsidR="001F1D4E" w:rsidRPr="00703B13" w:rsidRDefault="001F1D4E" w:rsidP="00703B13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703B13">
        <w:rPr>
          <w:rFonts w:ascii="Verdana" w:hAnsi="Verdana"/>
          <w:sz w:val="22"/>
          <w:szCs w:val="22"/>
        </w:rPr>
        <w:t>Que los artículos 2.2.4.6.20, 2.2.4.6.21 y 2.2.4.6.22 del Decreto 1072 de 2015, disponen que para la definición de los indicadores que evalúan la estructura, el proceso y el resultado del SG-SST el empleador debe considerar, entre otros, el plan anual de Seguridad y Salud en el Trabajo, el cronograma, su ejecución, cumplimiento y la evaluación de no conformidades.</w:t>
      </w:r>
    </w:p>
    <w:p w14:paraId="4CA599FC" w14:textId="10FA401A" w:rsidR="001F1D4E" w:rsidRPr="00703B13" w:rsidRDefault="001F1D4E" w:rsidP="00703B13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703B13">
        <w:rPr>
          <w:rFonts w:ascii="Verdana" w:hAnsi="Verdana"/>
          <w:sz w:val="22"/>
          <w:szCs w:val="22"/>
        </w:rPr>
        <w:t>Que el artículo 2.2.4.6.26 del Decreto 1072 de 2015, ordena que </w:t>
      </w:r>
      <w:r w:rsidRPr="00703B13">
        <w:rPr>
          <w:rFonts w:ascii="Verdana" w:hAnsi="Verdana"/>
          <w:i/>
          <w:iCs/>
          <w:sz w:val="22"/>
          <w:szCs w:val="22"/>
        </w:rPr>
        <w:t>[</w:t>
      </w:r>
      <w:proofErr w:type="gramStart"/>
      <w:r w:rsidRPr="00703B13">
        <w:rPr>
          <w:rFonts w:ascii="Verdana" w:hAnsi="Verdana"/>
          <w:i/>
          <w:iCs/>
          <w:sz w:val="22"/>
          <w:szCs w:val="22"/>
        </w:rPr>
        <w:t>e[</w:t>
      </w:r>
      <w:proofErr w:type="gramEnd"/>
      <w:r w:rsidRPr="00703B13">
        <w:rPr>
          <w:rFonts w:ascii="Verdana" w:hAnsi="Verdana"/>
          <w:i/>
          <w:iCs/>
          <w:sz w:val="22"/>
          <w:szCs w:val="22"/>
        </w:rPr>
        <w:t>l empleador o contratante debe implementar y mantener un procedimiento para evaluar el impacto sobre la seguridad y salud en el trabajo que puedan generar los cambios internos (introducción de nuevos procesos, cambio en los métodos de trabajo, cambios en instalaciones, entre otros) o los cambios externos (cambios en la legislación, evolución del conocimiento en seguridad y salud en el trabajo, entre otros) (...).</w:t>
      </w:r>
    </w:p>
    <w:p w14:paraId="08113EE7" w14:textId="2F0C3E59" w:rsidR="001F1D4E" w:rsidRPr="00703B13" w:rsidRDefault="001F1D4E" w:rsidP="00703B13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703B13">
        <w:rPr>
          <w:rFonts w:ascii="Verdana" w:hAnsi="Verdana"/>
          <w:sz w:val="22"/>
          <w:szCs w:val="22"/>
        </w:rPr>
        <w:t>Que el numeral 2 del artículo 2.2.4.6.31 del Decreto 1072 de 2015 establece que la alta dirección, debe adelantar una revisión del Sistema de Gestión de la Seguridad y Salud en el Trabajo (SG-SST) y verificar el cumplimiento del plan de trabajo anual en seguridad y salud en el trabajo y su cronograma.</w:t>
      </w:r>
    </w:p>
    <w:p w14:paraId="18A6DC0B" w14:textId="5AFFA47C" w:rsidR="001F1D4E" w:rsidRPr="00703B13" w:rsidRDefault="001F1D4E" w:rsidP="00703B13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703B13">
        <w:rPr>
          <w:rFonts w:ascii="Verdana" w:hAnsi="Verdana"/>
          <w:sz w:val="22"/>
          <w:szCs w:val="22"/>
        </w:rPr>
        <w:t xml:space="preserve">Que el artículo 1 del Decreto 052 de 2017, mediante el cual se modificó el artículo 2.2.4.6.37 del Decreto 1072 de 2015, establece que todos los empleadores y contratantes bajo cualquier modalidad a partir del 1 de julio de 2017, deberán implementar el Sistema de Gestión de Seguridad y Salud en el Trabajo, dando inicio a la ejecución de manera progresiva y </w:t>
      </w:r>
      <w:r w:rsidRPr="00703B13">
        <w:rPr>
          <w:rFonts w:ascii="Verdana" w:hAnsi="Verdana"/>
          <w:sz w:val="22"/>
          <w:szCs w:val="22"/>
        </w:rPr>
        <w:lastRenderedPageBreak/>
        <w:t>sistemática a las </w:t>
      </w:r>
      <w:r w:rsidRPr="00703B13">
        <w:rPr>
          <w:rFonts w:ascii="Verdana" w:hAnsi="Verdana"/>
          <w:i/>
          <w:iCs/>
          <w:sz w:val="22"/>
          <w:szCs w:val="22"/>
        </w:rPr>
        <w:t>fases: Evaluación Inicial; Plan de Mejoramiento conforme a la (/ Evaluación Inicial; Ejecución del Sistema de Gestión de Seguridad y Salud en el Trabajo; Seguimiento y Plan de Mejora e Inspección, Vigilancia y Control.</w:t>
      </w:r>
    </w:p>
    <w:p w14:paraId="54544758" w14:textId="46F85E23" w:rsidR="001F1D4E" w:rsidRPr="00703B13" w:rsidRDefault="001F1D4E" w:rsidP="00703B13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703B13">
        <w:rPr>
          <w:rFonts w:ascii="Verdana" w:hAnsi="Verdana"/>
          <w:sz w:val="22"/>
          <w:szCs w:val="22"/>
        </w:rPr>
        <w:t>Que la Resolución 312 de 2019 del Ministerio del Trabajo, establece los estándares mínimos del Sistema de Gestión de Seguridad y Salud en el Trabajo.</w:t>
      </w:r>
    </w:p>
    <w:p w14:paraId="4041E165" w14:textId="516BB5DC" w:rsidR="001F1D4E" w:rsidRPr="00703B13" w:rsidRDefault="001F1D4E" w:rsidP="00703B13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703B13">
        <w:rPr>
          <w:rFonts w:ascii="Verdana" w:hAnsi="Verdana"/>
          <w:sz w:val="22"/>
          <w:szCs w:val="22"/>
        </w:rPr>
        <w:t>Que el artículo 7 de la Resolución 11980 de 2019 del ICBF, modificada por la Resolución 6659 de 2020, establece que el Eje de Seguridad y Salud en el Trabajo del Sistema Integrado de Gestión estará liderado por la Dirección de Gestión Humana.</w:t>
      </w:r>
    </w:p>
    <w:p w14:paraId="3A70C525" w14:textId="674F099E" w:rsidR="001F1D4E" w:rsidRPr="00703B13" w:rsidRDefault="001F1D4E" w:rsidP="00703B13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703B13">
        <w:rPr>
          <w:rFonts w:ascii="Verdana" w:hAnsi="Verdana"/>
          <w:sz w:val="22"/>
          <w:szCs w:val="22"/>
        </w:rPr>
        <w:t>Que el Instituto Colombiano de Bienestar Familiar adoptó, mediante Resolución 0651 del 28 de enero de 2022, el Plan de Trabajo Anual del Sistema de Gestión de Seguridad y Salud en el Trabajo, de acuerdo con lo establecido en el Decreto 1072 de 2015.</w:t>
      </w:r>
    </w:p>
    <w:p w14:paraId="1347F409" w14:textId="77777777" w:rsidR="001F1D4E" w:rsidRPr="00703B13" w:rsidRDefault="001F1D4E" w:rsidP="00703B13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703B13">
        <w:rPr>
          <w:rFonts w:ascii="Verdana" w:hAnsi="Verdana"/>
          <w:sz w:val="22"/>
          <w:szCs w:val="22"/>
        </w:rPr>
        <w:t>Que acorde con lo anterior, se debe adoptar el Plan de Trabajo Anual del Sistema de Gestión de Seguridad y Salud en el Trabajo del ICBF para la vigencia 2023, el cual fue presentado y aprobado en Comité Institucional de Gestión y Desempeño del día 27 de enero de 2023.</w:t>
      </w:r>
    </w:p>
    <w:p w14:paraId="4A69BDB5" w14:textId="77777777" w:rsidR="001F1D4E" w:rsidRPr="00703B13" w:rsidRDefault="001F1D4E" w:rsidP="00703B13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703B13">
        <w:rPr>
          <w:rFonts w:ascii="Verdana" w:hAnsi="Verdana"/>
          <w:sz w:val="22"/>
          <w:szCs w:val="22"/>
        </w:rPr>
        <w:t>En mérito de lo expuesto,</w:t>
      </w:r>
    </w:p>
    <w:p w14:paraId="559FAAAF" w14:textId="77777777" w:rsidR="001F1D4E" w:rsidRPr="001F1D4E" w:rsidRDefault="001F1D4E" w:rsidP="00703B13">
      <w:pPr>
        <w:jc w:val="center"/>
        <w:rPr>
          <w:rFonts w:ascii="Verdana" w:hAnsi="Verdana"/>
          <w:sz w:val="22"/>
          <w:szCs w:val="22"/>
        </w:rPr>
      </w:pPr>
      <w:r w:rsidRPr="001F1D4E">
        <w:rPr>
          <w:rFonts w:ascii="Verdana" w:hAnsi="Verdana"/>
          <w:b/>
          <w:bCs/>
          <w:sz w:val="22"/>
          <w:szCs w:val="22"/>
        </w:rPr>
        <w:t>RESUELVE:</w:t>
      </w:r>
    </w:p>
    <w:p w14:paraId="6963E4EC" w14:textId="27335DD7" w:rsidR="001F1D4E" w:rsidRPr="001F1D4E" w:rsidRDefault="001F1D4E" w:rsidP="001F1D4E">
      <w:pPr>
        <w:rPr>
          <w:rFonts w:ascii="Verdana" w:hAnsi="Verdana"/>
          <w:sz w:val="22"/>
          <w:szCs w:val="22"/>
        </w:rPr>
      </w:pPr>
      <w:bookmarkStart w:id="0" w:name="1"/>
      <w:r w:rsidRPr="001F1D4E">
        <w:rPr>
          <w:rFonts w:ascii="Verdana" w:hAnsi="Verdana"/>
          <w:b/>
          <w:bCs/>
          <w:sz w:val="22"/>
          <w:szCs w:val="22"/>
        </w:rPr>
        <w:t xml:space="preserve">ARTÍCULO </w:t>
      </w:r>
      <w:r w:rsidR="00703B13" w:rsidRPr="00703B13">
        <w:rPr>
          <w:rFonts w:ascii="Verdana" w:hAnsi="Verdana"/>
          <w:b/>
          <w:bCs/>
          <w:sz w:val="22"/>
          <w:szCs w:val="22"/>
        </w:rPr>
        <w:t>1o</w:t>
      </w:r>
      <w:r w:rsidRPr="001F1D4E">
        <w:rPr>
          <w:rFonts w:ascii="Verdana" w:hAnsi="Verdana"/>
          <w:b/>
          <w:bCs/>
          <w:sz w:val="22"/>
          <w:szCs w:val="22"/>
        </w:rPr>
        <w:t>.</w:t>
      </w:r>
      <w:bookmarkEnd w:id="0"/>
      <w:r w:rsidRPr="001F1D4E">
        <w:rPr>
          <w:rFonts w:ascii="Verdana" w:hAnsi="Verdana"/>
          <w:b/>
          <w:bCs/>
          <w:sz w:val="22"/>
          <w:szCs w:val="22"/>
        </w:rPr>
        <w:t> </w:t>
      </w:r>
      <w:r w:rsidRPr="001F1D4E">
        <w:rPr>
          <w:rFonts w:ascii="Verdana" w:hAnsi="Verdana"/>
          <w:sz w:val="22"/>
          <w:szCs w:val="22"/>
        </w:rPr>
        <w:t>Adoptar el Plan de Trabajo Anual del Sistema de Gestión de Seguridad y Salud en el Trabajo SG-SST del ICBF vigencia 2023, con la implementación de las actividades establecidas en el </w:t>
      </w:r>
      <w:r w:rsidRPr="001F1D4E">
        <w:rPr>
          <w:rFonts w:ascii="Verdana" w:hAnsi="Verdana"/>
          <w:i/>
          <w:iCs/>
          <w:sz w:val="22"/>
          <w:szCs w:val="22"/>
        </w:rPr>
        <w:t>Formato Plan de Trabajo Anual SG-SST,</w:t>
      </w:r>
      <w:r w:rsidRPr="001F1D4E">
        <w:rPr>
          <w:rFonts w:ascii="Verdana" w:hAnsi="Verdana"/>
          <w:sz w:val="22"/>
          <w:szCs w:val="22"/>
        </w:rPr>
        <w:t> los cuales hacen parte integral de la presente Resolución.</w:t>
      </w:r>
    </w:p>
    <w:p w14:paraId="38521A69" w14:textId="7CE2869C" w:rsidR="001F1D4E" w:rsidRPr="001F1D4E" w:rsidRDefault="001F1D4E" w:rsidP="001F1D4E">
      <w:pPr>
        <w:rPr>
          <w:rFonts w:ascii="Verdana" w:hAnsi="Verdana"/>
          <w:sz w:val="22"/>
          <w:szCs w:val="22"/>
        </w:rPr>
      </w:pPr>
      <w:bookmarkStart w:id="1" w:name="2"/>
      <w:r w:rsidRPr="001F1D4E">
        <w:rPr>
          <w:rFonts w:ascii="Verdana" w:hAnsi="Verdana"/>
          <w:b/>
          <w:bCs/>
          <w:sz w:val="22"/>
          <w:szCs w:val="22"/>
        </w:rPr>
        <w:t xml:space="preserve">ARTÍCULO </w:t>
      </w:r>
      <w:r w:rsidR="00703B13" w:rsidRPr="00703B13">
        <w:rPr>
          <w:rFonts w:ascii="Verdana" w:hAnsi="Verdana"/>
          <w:b/>
          <w:bCs/>
          <w:sz w:val="22"/>
          <w:szCs w:val="22"/>
        </w:rPr>
        <w:t>2o</w:t>
      </w:r>
      <w:r w:rsidRPr="001F1D4E">
        <w:rPr>
          <w:rFonts w:ascii="Verdana" w:hAnsi="Verdana"/>
          <w:b/>
          <w:bCs/>
          <w:sz w:val="22"/>
          <w:szCs w:val="22"/>
        </w:rPr>
        <w:t>.</w:t>
      </w:r>
      <w:bookmarkEnd w:id="1"/>
      <w:r w:rsidRPr="001F1D4E">
        <w:rPr>
          <w:rFonts w:ascii="Verdana" w:hAnsi="Verdana"/>
          <w:b/>
          <w:bCs/>
          <w:sz w:val="22"/>
          <w:szCs w:val="22"/>
        </w:rPr>
        <w:t> </w:t>
      </w:r>
      <w:r w:rsidRPr="001F1D4E">
        <w:rPr>
          <w:rFonts w:ascii="Verdana" w:hAnsi="Verdana"/>
          <w:sz w:val="22"/>
          <w:szCs w:val="22"/>
        </w:rPr>
        <w:t xml:space="preserve">Ordenar a los </w:t>
      </w:r>
      <w:proofErr w:type="gramStart"/>
      <w:r w:rsidRPr="001F1D4E">
        <w:rPr>
          <w:rFonts w:ascii="Verdana" w:hAnsi="Verdana"/>
          <w:sz w:val="22"/>
          <w:szCs w:val="22"/>
        </w:rPr>
        <w:t>Directores Regionales</w:t>
      </w:r>
      <w:proofErr w:type="gramEnd"/>
      <w:r w:rsidRPr="001F1D4E">
        <w:rPr>
          <w:rFonts w:ascii="Verdana" w:hAnsi="Verdana"/>
          <w:sz w:val="22"/>
          <w:szCs w:val="22"/>
        </w:rPr>
        <w:t xml:space="preserve"> del ICBF que conforme a la presente Resolución y los lineamientos efectuados por la Dirección de Gestión Humana y acorde con la disponibilidad presupuestal y los recursos físicos y humanos disponibles, ejecuten el Plan de Trabajo Anual del SG-SST e inicien su implementación.</w:t>
      </w:r>
    </w:p>
    <w:p w14:paraId="40CBFE78" w14:textId="676E1BE4" w:rsidR="001F1D4E" w:rsidRPr="001F1D4E" w:rsidRDefault="001F1D4E" w:rsidP="001F1D4E">
      <w:pPr>
        <w:rPr>
          <w:rFonts w:ascii="Verdana" w:hAnsi="Verdana"/>
          <w:sz w:val="22"/>
          <w:szCs w:val="22"/>
        </w:rPr>
      </w:pPr>
      <w:bookmarkStart w:id="2" w:name="3"/>
      <w:r w:rsidRPr="001F1D4E">
        <w:rPr>
          <w:rFonts w:ascii="Verdana" w:hAnsi="Verdana"/>
          <w:b/>
          <w:bCs/>
          <w:sz w:val="22"/>
          <w:szCs w:val="22"/>
        </w:rPr>
        <w:t xml:space="preserve">ARTÍCULO </w:t>
      </w:r>
      <w:r w:rsidR="00703B13" w:rsidRPr="00703B13">
        <w:rPr>
          <w:rFonts w:ascii="Verdana" w:hAnsi="Verdana"/>
          <w:b/>
          <w:bCs/>
          <w:sz w:val="22"/>
          <w:szCs w:val="22"/>
        </w:rPr>
        <w:t>3o</w:t>
      </w:r>
      <w:r w:rsidRPr="001F1D4E">
        <w:rPr>
          <w:rFonts w:ascii="Verdana" w:hAnsi="Verdana"/>
          <w:b/>
          <w:bCs/>
          <w:sz w:val="22"/>
          <w:szCs w:val="22"/>
        </w:rPr>
        <w:t>.</w:t>
      </w:r>
      <w:bookmarkEnd w:id="2"/>
      <w:r w:rsidRPr="001F1D4E">
        <w:rPr>
          <w:rFonts w:ascii="Verdana" w:hAnsi="Verdana"/>
          <w:b/>
          <w:bCs/>
          <w:sz w:val="22"/>
          <w:szCs w:val="22"/>
        </w:rPr>
        <w:t> </w:t>
      </w:r>
      <w:r w:rsidRPr="001F1D4E">
        <w:rPr>
          <w:rFonts w:ascii="Verdana" w:hAnsi="Verdana"/>
          <w:sz w:val="22"/>
          <w:szCs w:val="22"/>
        </w:rPr>
        <w:t>La Dirección de Gestión Humana realizará la verificación mensual del cumplimiento de las actividades establecidas en el Plan de Trabajo Anual del Sistema de Gestión de Seguridad y Salud en el Trabajo SG-SST del ICBF.</w:t>
      </w:r>
    </w:p>
    <w:p w14:paraId="6CEE10A4" w14:textId="32C865CD" w:rsidR="001F1D4E" w:rsidRPr="001F1D4E" w:rsidRDefault="001F1D4E" w:rsidP="001F1D4E">
      <w:pPr>
        <w:rPr>
          <w:rFonts w:ascii="Verdana" w:hAnsi="Verdana"/>
          <w:sz w:val="22"/>
          <w:szCs w:val="22"/>
        </w:rPr>
      </w:pPr>
      <w:bookmarkStart w:id="3" w:name="4"/>
      <w:r w:rsidRPr="001F1D4E">
        <w:rPr>
          <w:rFonts w:ascii="Verdana" w:hAnsi="Verdana"/>
          <w:b/>
          <w:bCs/>
          <w:sz w:val="22"/>
          <w:szCs w:val="22"/>
        </w:rPr>
        <w:t xml:space="preserve">ARTÍCULO </w:t>
      </w:r>
      <w:r w:rsidR="00703B13" w:rsidRPr="00703B13">
        <w:rPr>
          <w:rFonts w:ascii="Verdana" w:hAnsi="Verdana"/>
          <w:b/>
          <w:bCs/>
          <w:sz w:val="22"/>
          <w:szCs w:val="22"/>
        </w:rPr>
        <w:t>4o</w:t>
      </w:r>
      <w:r w:rsidRPr="001F1D4E">
        <w:rPr>
          <w:rFonts w:ascii="Verdana" w:hAnsi="Verdana"/>
          <w:b/>
          <w:bCs/>
          <w:sz w:val="22"/>
          <w:szCs w:val="22"/>
        </w:rPr>
        <w:t>.</w:t>
      </w:r>
      <w:bookmarkEnd w:id="3"/>
      <w:r w:rsidRPr="001F1D4E">
        <w:rPr>
          <w:rFonts w:ascii="Verdana" w:hAnsi="Verdana"/>
          <w:b/>
          <w:bCs/>
          <w:sz w:val="22"/>
          <w:szCs w:val="22"/>
        </w:rPr>
        <w:t> </w:t>
      </w:r>
      <w:r w:rsidRPr="001F1D4E">
        <w:rPr>
          <w:rFonts w:ascii="Verdana" w:hAnsi="Verdana"/>
          <w:sz w:val="22"/>
          <w:szCs w:val="22"/>
        </w:rPr>
        <w:t xml:space="preserve">La Dirección de Gestión Humana y los </w:t>
      </w:r>
      <w:proofErr w:type="gramStart"/>
      <w:r w:rsidRPr="001F1D4E">
        <w:rPr>
          <w:rFonts w:ascii="Verdana" w:hAnsi="Verdana"/>
          <w:sz w:val="22"/>
          <w:szCs w:val="22"/>
        </w:rPr>
        <w:t>Directores Regionales</w:t>
      </w:r>
      <w:proofErr w:type="gramEnd"/>
      <w:r w:rsidRPr="001F1D4E">
        <w:rPr>
          <w:rFonts w:ascii="Verdana" w:hAnsi="Verdana"/>
          <w:sz w:val="22"/>
          <w:szCs w:val="22"/>
        </w:rPr>
        <w:t>, durante la vigencia 2023, deberán generar acciones de mejora cuando exista un incumplimiento de las actividades contenidas en el Plan de Trabajo Anual del Sistema de Gestión de Seguridad y Salud en el Trabajo SG-SST del ICBF.</w:t>
      </w:r>
    </w:p>
    <w:p w14:paraId="0401559F" w14:textId="7118D4EC" w:rsidR="001F1D4E" w:rsidRPr="001F1D4E" w:rsidRDefault="001F1D4E" w:rsidP="001F1D4E">
      <w:pPr>
        <w:rPr>
          <w:rFonts w:ascii="Verdana" w:hAnsi="Verdana"/>
          <w:sz w:val="22"/>
          <w:szCs w:val="22"/>
        </w:rPr>
      </w:pPr>
      <w:bookmarkStart w:id="4" w:name="5"/>
      <w:r w:rsidRPr="001F1D4E">
        <w:rPr>
          <w:rFonts w:ascii="Verdana" w:hAnsi="Verdana"/>
          <w:b/>
          <w:bCs/>
          <w:sz w:val="22"/>
          <w:szCs w:val="22"/>
        </w:rPr>
        <w:t xml:space="preserve">ARTÍCULO </w:t>
      </w:r>
      <w:r w:rsidR="00703B13" w:rsidRPr="00703B13">
        <w:rPr>
          <w:rFonts w:ascii="Verdana" w:hAnsi="Verdana"/>
          <w:b/>
          <w:bCs/>
          <w:sz w:val="22"/>
          <w:szCs w:val="22"/>
        </w:rPr>
        <w:t>5o</w:t>
      </w:r>
      <w:r w:rsidRPr="001F1D4E">
        <w:rPr>
          <w:rFonts w:ascii="Verdana" w:hAnsi="Verdana"/>
          <w:b/>
          <w:bCs/>
          <w:sz w:val="22"/>
          <w:szCs w:val="22"/>
        </w:rPr>
        <w:t>.</w:t>
      </w:r>
      <w:bookmarkEnd w:id="4"/>
      <w:r w:rsidRPr="001F1D4E">
        <w:rPr>
          <w:rFonts w:ascii="Verdana" w:hAnsi="Verdana"/>
          <w:b/>
          <w:bCs/>
          <w:sz w:val="22"/>
          <w:szCs w:val="22"/>
        </w:rPr>
        <w:t> </w:t>
      </w:r>
      <w:r w:rsidRPr="001F1D4E">
        <w:rPr>
          <w:rFonts w:ascii="Verdana" w:hAnsi="Verdana"/>
          <w:sz w:val="22"/>
          <w:szCs w:val="22"/>
        </w:rPr>
        <w:t xml:space="preserve">Los </w:t>
      </w:r>
      <w:proofErr w:type="gramStart"/>
      <w:r w:rsidRPr="001F1D4E">
        <w:rPr>
          <w:rFonts w:ascii="Verdana" w:hAnsi="Verdana"/>
          <w:sz w:val="22"/>
          <w:szCs w:val="22"/>
        </w:rPr>
        <w:t>Directores Regionales</w:t>
      </w:r>
      <w:proofErr w:type="gramEnd"/>
      <w:r w:rsidRPr="001F1D4E">
        <w:rPr>
          <w:rFonts w:ascii="Verdana" w:hAnsi="Verdana"/>
          <w:sz w:val="22"/>
          <w:szCs w:val="22"/>
        </w:rPr>
        <w:t>, en apoyo con los coordinadores administrativos, de gestión humana y/o control y soporte, deberán informar a la Dirección de Gestión Humana cuando, por razones de orden público, eventos extraordinarios programados por la entidad, no disponibilidad de recursos o fuerza mayor, no se ejecuten en el tiempo indicado las actividades establecidas en el </w:t>
      </w:r>
      <w:r w:rsidRPr="001F1D4E">
        <w:rPr>
          <w:rFonts w:ascii="Verdana" w:hAnsi="Verdana"/>
          <w:i/>
          <w:iCs/>
          <w:sz w:val="22"/>
          <w:szCs w:val="22"/>
        </w:rPr>
        <w:t>Formato Plan de Trabajo Anual SG- SST,</w:t>
      </w:r>
      <w:r w:rsidRPr="001F1D4E">
        <w:rPr>
          <w:rFonts w:ascii="Verdana" w:hAnsi="Verdana"/>
          <w:sz w:val="22"/>
          <w:szCs w:val="22"/>
        </w:rPr>
        <w:t> las cuales deberán ser objeto de reprogramación durante la vigencia 2023.</w:t>
      </w:r>
    </w:p>
    <w:p w14:paraId="423E79EC" w14:textId="1B86744C" w:rsidR="001F1D4E" w:rsidRPr="001F1D4E" w:rsidRDefault="001F1D4E" w:rsidP="001F1D4E">
      <w:pPr>
        <w:rPr>
          <w:rFonts w:ascii="Verdana" w:hAnsi="Verdana"/>
          <w:sz w:val="22"/>
          <w:szCs w:val="22"/>
        </w:rPr>
      </w:pPr>
      <w:bookmarkStart w:id="5" w:name="6"/>
      <w:r w:rsidRPr="001F1D4E">
        <w:rPr>
          <w:rFonts w:ascii="Verdana" w:hAnsi="Verdana"/>
          <w:b/>
          <w:bCs/>
          <w:sz w:val="22"/>
          <w:szCs w:val="22"/>
        </w:rPr>
        <w:lastRenderedPageBreak/>
        <w:t xml:space="preserve">ARTÍCULO </w:t>
      </w:r>
      <w:r w:rsidR="00703B13" w:rsidRPr="00703B13">
        <w:rPr>
          <w:rFonts w:ascii="Verdana" w:hAnsi="Verdana"/>
          <w:b/>
          <w:bCs/>
          <w:sz w:val="22"/>
          <w:szCs w:val="22"/>
        </w:rPr>
        <w:t>6o</w:t>
      </w:r>
      <w:r w:rsidRPr="001F1D4E">
        <w:rPr>
          <w:rFonts w:ascii="Verdana" w:hAnsi="Verdana"/>
          <w:b/>
          <w:bCs/>
          <w:sz w:val="22"/>
          <w:szCs w:val="22"/>
        </w:rPr>
        <w:t>.</w:t>
      </w:r>
      <w:r w:rsidRPr="001F1D4E">
        <w:rPr>
          <w:rFonts w:ascii="Verdana" w:hAnsi="Verdana"/>
          <w:sz w:val="22"/>
          <w:szCs w:val="22"/>
        </w:rPr>
        <w:t xml:space="preserve"> VIGENCIA.</w:t>
      </w:r>
      <w:bookmarkEnd w:id="5"/>
      <w:r w:rsidRPr="001F1D4E">
        <w:rPr>
          <w:rFonts w:ascii="Verdana" w:hAnsi="Verdana"/>
          <w:b/>
          <w:bCs/>
          <w:sz w:val="22"/>
          <w:szCs w:val="22"/>
        </w:rPr>
        <w:t> </w:t>
      </w:r>
      <w:r w:rsidRPr="001F1D4E">
        <w:rPr>
          <w:rFonts w:ascii="Verdana" w:hAnsi="Verdana"/>
          <w:sz w:val="22"/>
          <w:szCs w:val="22"/>
        </w:rPr>
        <w:t>La presente Resolución rige a partir de la fecha de su expedición y deroga las disposiciones que le sean contrarias, en especial la Resolución 0651 del 28 de enero de 2022.</w:t>
      </w:r>
    </w:p>
    <w:p w14:paraId="71D81F4F" w14:textId="77777777" w:rsidR="001F1D4E" w:rsidRPr="001F1D4E" w:rsidRDefault="001F1D4E" w:rsidP="00703B13">
      <w:pPr>
        <w:jc w:val="center"/>
        <w:rPr>
          <w:rFonts w:ascii="Verdana" w:hAnsi="Verdana"/>
          <w:sz w:val="22"/>
          <w:szCs w:val="22"/>
        </w:rPr>
      </w:pPr>
      <w:r w:rsidRPr="001F1D4E">
        <w:rPr>
          <w:rFonts w:ascii="Verdana" w:hAnsi="Verdana"/>
          <w:b/>
          <w:bCs/>
          <w:sz w:val="22"/>
          <w:szCs w:val="22"/>
        </w:rPr>
        <w:t>COMUNÍQUESE Y CÚMPLASE</w:t>
      </w:r>
    </w:p>
    <w:p w14:paraId="0B360BF8" w14:textId="6C507DF5" w:rsidR="001F1D4E" w:rsidRPr="001F1D4E" w:rsidRDefault="001F1D4E" w:rsidP="00703B13">
      <w:pPr>
        <w:jc w:val="center"/>
        <w:rPr>
          <w:rFonts w:ascii="Verdana" w:hAnsi="Verdana"/>
          <w:sz w:val="22"/>
          <w:szCs w:val="22"/>
        </w:rPr>
      </w:pPr>
      <w:r w:rsidRPr="001F1D4E">
        <w:rPr>
          <w:rFonts w:ascii="Verdana" w:hAnsi="Verdana"/>
          <w:sz w:val="22"/>
          <w:szCs w:val="22"/>
        </w:rPr>
        <w:t>Dada en Bogotá, D.C.</w:t>
      </w:r>
      <w:r w:rsidR="00703B13">
        <w:rPr>
          <w:rFonts w:ascii="Verdana" w:hAnsi="Verdana"/>
          <w:sz w:val="22"/>
          <w:szCs w:val="22"/>
        </w:rPr>
        <w:t>,</w:t>
      </w:r>
      <w:r w:rsidRPr="001F1D4E">
        <w:rPr>
          <w:rFonts w:ascii="Verdana" w:hAnsi="Verdana"/>
          <w:sz w:val="22"/>
          <w:szCs w:val="22"/>
        </w:rPr>
        <w:t xml:space="preserve"> a los 31 </w:t>
      </w:r>
      <w:r w:rsidR="00703B13">
        <w:rPr>
          <w:rFonts w:ascii="Verdana" w:hAnsi="Verdana"/>
          <w:sz w:val="22"/>
          <w:szCs w:val="22"/>
        </w:rPr>
        <w:t xml:space="preserve">días del mes de enero del año </w:t>
      </w:r>
      <w:r w:rsidRPr="001F1D4E">
        <w:rPr>
          <w:rFonts w:ascii="Verdana" w:hAnsi="Verdana"/>
          <w:sz w:val="22"/>
          <w:szCs w:val="22"/>
        </w:rPr>
        <w:t>2023</w:t>
      </w:r>
    </w:p>
    <w:p w14:paraId="3375DCB8" w14:textId="77777777" w:rsidR="001F1D4E" w:rsidRPr="001F1D4E" w:rsidRDefault="001F1D4E" w:rsidP="00703B13">
      <w:pPr>
        <w:jc w:val="center"/>
        <w:rPr>
          <w:rFonts w:ascii="Verdana" w:hAnsi="Verdana"/>
          <w:sz w:val="22"/>
          <w:szCs w:val="22"/>
        </w:rPr>
      </w:pPr>
      <w:r w:rsidRPr="001F1D4E">
        <w:rPr>
          <w:rFonts w:ascii="Verdana" w:hAnsi="Verdana"/>
          <w:b/>
          <w:bCs/>
          <w:sz w:val="22"/>
          <w:szCs w:val="22"/>
        </w:rPr>
        <w:t>CONCEPCIÓN BARACALDO ALDANA</w:t>
      </w:r>
    </w:p>
    <w:p w14:paraId="4BA15E74" w14:textId="79CDF67B" w:rsidR="001F1D4E" w:rsidRPr="001F1D4E" w:rsidRDefault="00703B13" w:rsidP="00703B13">
      <w:pPr>
        <w:jc w:val="center"/>
        <w:rPr>
          <w:rFonts w:ascii="Verdana" w:hAnsi="Verdana"/>
          <w:sz w:val="22"/>
          <w:szCs w:val="22"/>
        </w:rPr>
      </w:pPr>
      <w:r w:rsidRPr="001F1D4E">
        <w:rPr>
          <w:rFonts w:ascii="Verdana" w:hAnsi="Verdana"/>
          <w:sz w:val="22"/>
          <w:szCs w:val="22"/>
        </w:rPr>
        <w:t>DIRECTORA GENERAL</w:t>
      </w:r>
    </w:p>
    <w:p w14:paraId="1ECFFF6B" w14:textId="77777777" w:rsidR="00A724C4" w:rsidRPr="00703B13" w:rsidRDefault="00A724C4">
      <w:pPr>
        <w:rPr>
          <w:rFonts w:ascii="Verdana" w:hAnsi="Verdana"/>
          <w:sz w:val="22"/>
          <w:szCs w:val="22"/>
        </w:rPr>
      </w:pPr>
    </w:p>
    <w:sectPr w:rsidR="00A724C4" w:rsidRPr="00703B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D2288"/>
    <w:multiLevelType w:val="hybridMultilevel"/>
    <w:tmpl w:val="10CCCA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A0AC6"/>
    <w:multiLevelType w:val="hybridMultilevel"/>
    <w:tmpl w:val="E63056B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069013">
    <w:abstractNumId w:val="0"/>
  </w:num>
  <w:num w:numId="2" w16cid:durableId="1035691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26"/>
    <w:rsid w:val="00043942"/>
    <w:rsid w:val="001F1D4E"/>
    <w:rsid w:val="00243CB4"/>
    <w:rsid w:val="00657673"/>
    <w:rsid w:val="006C543E"/>
    <w:rsid w:val="006D1939"/>
    <w:rsid w:val="006D5ECF"/>
    <w:rsid w:val="00703B13"/>
    <w:rsid w:val="00863A26"/>
    <w:rsid w:val="00933C0C"/>
    <w:rsid w:val="00A724C4"/>
    <w:rsid w:val="00C0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F0DC9"/>
  <w15:chartTrackingRefBased/>
  <w15:docId w15:val="{CB68250B-8602-49EB-ABF1-6AD3E954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939"/>
    <w:pPr>
      <w:spacing w:line="240" w:lineRule="auto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863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3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3A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3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3A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3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3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3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3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3A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3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3A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3A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3A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3A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3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3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3A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3A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3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3A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3A2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5767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576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9CA300-70BB-4301-A252-7DD8701A30FC}"/>
</file>

<file path=customXml/itemProps2.xml><?xml version="1.0" encoding="utf-8"?>
<ds:datastoreItem xmlns:ds="http://schemas.openxmlformats.org/officeDocument/2006/customXml" ds:itemID="{8D08B522-BC4B-4260-B861-1C310849B464}"/>
</file>

<file path=customXml/itemProps3.xml><?xml version="1.0" encoding="utf-8"?>
<ds:datastoreItem xmlns:ds="http://schemas.openxmlformats.org/officeDocument/2006/customXml" ds:itemID="{6812AFBE-4471-4372-A5AE-B7245A8A8340}"/>
</file>

<file path=docMetadata/LabelInfo.xml><?xml version="1.0" encoding="utf-8"?>
<clbl:labelList xmlns:clbl="http://schemas.microsoft.com/office/2020/mipLabelMetadata">
  <clbl:label id="{3d92a5f3-bc7a-4a79-8c5e-5e483f7789bf}" enabled="0" method="" siteId="{3d92a5f3-bc7a-4a79-8c5e-5e483f7789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1303</Words>
  <Characters>7170</Characters>
  <Application>Microsoft Office Word</Application>
  <DocSecurity>0</DocSecurity>
  <Lines>59</Lines>
  <Paragraphs>16</Paragraphs>
  <ScaleCrop>false</ScaleCrop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Monica Alejandra Caicedo Guerrero</cp:lastModifiedBy>
  <cp:revision>8</cp:revision>
  <dcterms:created xsi:type="dcterms:W3CDTF">2026-03-03T16:25:00Z</dcterms:created>
  <dcterms:modified xsi:type="dcterms:W3CDTF">2026-03-12T23:25:00Z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