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B6AF" w14:textId="4167EF0F"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RESOLUCIÓN 24</w:t>
      </w:r>
      <w:r w:rsidR="00EF31B7">
        <w:rPr>
          <w:rFonts w:ascii="Verdana" w:eastAsia="Verdana" w:hAnsi="Verdana" w:cs="Verdana"/>
          <w:b/>
          <w:bCs/>
          <w:highlight w:val="white"/>
          <w:lang w:val="es-CO"/>
        </w:rPr>
        <w:t>5</w:t>
      </w:r>
      <w:r w:rsidRPr="00505527">
        <w:rPr>
          <w:rFonts w:ascii="Verdana" w:eastAsia="Verdana" w:hAnsi="Verdana" w:cs="Verdana"/>
          <w:b/>
          <w:bCs/>
          <w:highlight w:val="white"/>
          <w:lang w:val="es-CO"/>
        </w:rPr>
        <w:t xml:space="preserve"> DE 2017</w:t>
      </w:r>
    </w:p>
    <w:p w14:paraId="6BE8C69C" w14:textId="77777777" w:rsidR="00505527" w:rsidRPr="00505527" w:rsidRDefault="00505527" w:rsidP="00505527">
      <w:pPr>
        <w:spacing w:line="240" w:lineRule="auto"/>
        <w:jc w:val="center"/>
        <w:rPr>
          <w:rFonts w:ascii="Verdana" w:eastAsia="Verdana" w:hAnsi="Verdana" w:cs="Verdana"/>
          <w:highlight w:val="white"/>
          <w:lang w:val="es-CO"/>
        </w:rPr>
      </w:pPr>
    </w:p>
    <w:p w14:paraId="00000002" w14:textId="59116908" w:rsidR="003A7790" w:rsidRDefault="008E7CC8">
      <w:pPr>
        <w:spacing w:line="240" w:lineRule="auto"/>
        <w:rPr>
          <w:rFonts w:ascii="Verdana" w:eastAsia="Verdana" w:hAnsi="Verdana" w:cs="Verdana"/>
        </w:rPr>
      </w:pPr>
      <w:r>
        <w:rPr>
          <w:rFonts w:ascii="Verdana" w:eastAsia="Verdana" w:hAnsi="Verdana" w:cs="Verdana"/>
        </w:rPr>
        <w:t xml:space="preserve">Fecha de Expedición: </w:t>
      </w:r>
      <w:r w:rsidR="00505527">
        <w:rPr>
          <w:rFonts w:ascii="Verdana" w:eastAsia="Verdana" w:hAnsi="Verdana" w:cs="Verdana"/>
        </w:rPr>
        <w:t xml:space="preserve">20 de enero de 2017 </w:t>
      </w:r>
      <w:r>
        <w:rPr>
          <w:rFonts w:ascii="Verdana" w:eastAsia="Verdana" w:hAnsi="Verdana" w:cs="Verdana"/>
        </w:rPr>
        <w:t xml:space="preserve"> </w:t>
      </w:r>
    </w:p>
    <w:p w14:paraId="00000003" w14:textId="79293D72" w:rsidR="003A7790" w:rsidRDefault="008E7CC8">
      <w:pPr>
        <w:spacing w:line="240" w:lineRule="auto"/>
        <w:rPr>
          <w:rFonts w:ascii="Verdana" w:eastAsia="Verdana" w:hAnsi="Verdana" w:cs="Verdana"/>
          <w:highlight w:val="white"/>
        </w:rPr>
      </w:pPr>
      <w:r>
        <w:rPr>
          <w:rFonts w:ascii="Verdana" w:eastAsia="Verdana" w:hAnsi="Verdana" w:cs="Verdana"/>
        </w:rPr>
        <w:t xml:space="preserve">Fecha de entrada en vigencia: </w:t>
      </w:r>
      <w:r>
        <w:rPr>
          <w:rFonts w:ascii="Verdana" w:eastAsia="Verdana" w:hAnsi="Verdana" w:cs="Verdana"/>
          <w:highlight w:val="white"/>
        </w:rPr>
        <w:t xml:space="preserve"> </w:t>
      </w:r>
      <w:r w:rsidR="00505527">
        <w:rPr>
          <w:rFonts w:ascii="Verdana" w:eastAsia="Verdana" w:hAnsi="Verdana" w:cs="Verdana"/>
          <w:highlight w:val="white"/>
        </w:rPr>
        <w:t>28 de enero de 2017</w:t>
      </w:r>
    </w:p>
    <w:p w14:paraId="00000004" w14:textId="2ABD06D5" w:rsidR="003A7790" w:rsidRDefault="008E7CC8">
      <w:pPr>
        <w:spacing w:line="240" w:lineRule="auto"/>
        <w:rPr>
          <w:rFonts w:ascii="Verdana" w:eastAsia="Verdana" w:hAnsi="Verdana" w:cs="Verdana"/>
        </w:rPr>
      </w:pPr>
      <w:r>
        <w:rPr>
          <w:rFonts w:ascii="Verdana" w:eastAsia="Verdana" w:hAnsi="Verdana" w:cs="Verdana"/>
        </w:rPr>
        <w:t xml:space="preserve">Estado de la vigencia: Derogada </w:t>
      </w:r>
      <w:r>
        <w:rPr>
          <w:rFonts w:ascii="Verdana" w:eastAsia="Verdana" w:hAnsi="Verdana" w:cs="Verdana"/>
          <w:highlight w:val="white"/>
        </w:rPr>
        <w:t xml:space="preserve">por el artículo </w:t>
      </w:r>
      <w:r w:rsidR="00505527">
        <w:rPr>
          <w:rFonts w:ascii="Verdana" w:eastAsia="Verdana" w:hAnsi="Verdana" w:cs="Verdana"/>
        </w:rPr>
        <w:t>6 de la resolución 4200 de 2021</w:t>
      </w:r>
    </w:p>
    <w:p w14:paraId="00000005" w14:textId="77777777" w:rsidR="003A7790" w:rsidRDefault="003A7790">
      <w:pPr>
        <w:spacing w:line="240" w:lineRule="auto"/>
        <w:rPr>
          <w:rFonts w:ascii="Verdana" w:eastAsia="Verdana" w:hAnsi="Verdana" w:cs="Verdana"/>
        </w:rPr>
      </w:pPr>
    </w:p>
    <w:p w14:paraId="00000006" w14:textId="4944325E" w:rsidR="003A7790" w:rsidRDefault="008E7CC8">
      <w:pPr>
        <w:spacing w:line="240" w:lineRule="auto"/>
        <w:rPr>
          <w:rFonts w:ascii="Verdana" w:eastAsia="Verdana" w:hAnsi="Verdana" w:cs="Verdana"/>
          <w:highlight w:val="white"/>
        </w:rPr>
      </w:pPr>
      <w:r>
        <w:rPr>
          <w:rFonts w:ascii="Verdana" w:eastAsia="Verdana" w:hAnsi="Verdana" w:cs="Verdana"/>
        </w:rPr>
        <w:t>Fecha de publicación en Diario Oficial:</w:t>
      </w:r>
      <w:r>
        <w:rPr>
          <w:rFonts w:ascii="Verdana" w:eastAsia="Verdana" w:hAnsi="Verdana" w:cs="Verdana"/>
          <w:highlight w:val="white"/>
        </w:rPr>
        <w:t xml:space="preserve"> </w:t>
      </w:r>
      <w:r w:rsidR="00505527">
        <w:rPr>
          <w:rFonts w:ascii="Verdana" w:eastAsia="Verdana" w:hAnsi="Verdana" w:cs="Verdana"/>
          <w:highlight w:val="white"/>
        </w:rPr>
        <w:t>28 de enero de 2017</w:t>
      </w:r>
    </w:p>
    <w:p w14:paraId="00000007" w14:textId="5AB3F8C4" w:rsidR="003A7790" w:rsidRDefault="008E7CC8">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w:t>
      </w:r>
      <w:r w:rsidR="00505527">
        <w:rPr>
          <w:rFonts w:ascii="Verdana" w:eastAsia="Verdana" w:hAnsi="Verdana" w:cs="Verdana"/>
          <w:highlight w:val="white"/>
        </w:rPr>
        <w:t>50.130</w:t>
      </w:r>
      <w:r>
        <w:rPr>
          <w:rFonts w:ascii="Verdana" w:eastAsia="Verdana" w:hAnsi="Verdana" w:cs="Verdana"/>
          <w:highlight w:val="white"/>
        </w:rPr>
        <w:t xml:space="preserve"> </w:t>
      </w:r>
    </w:p>
    <w:p w14:paraId="00000008" w14:textId="77777777" w:rsidR="003A7790" w:rsidRDefault="003A7790">
      <w:pPr>
        <w:spacing w:line="240" w:lineRule="auto"/>
        <w:rPr>
          <w:rFonts w:ascii="Verdana" w:eastAsia="Verdana" w:hAnsi="Verdana" w:cs="Verdana"/>
          <w:highlight w:val="white"/>
        </w:rPr>
      </w:pPr>
    </w:p>
    <w:p w14:paraId="402737AE" w14:textId="77777777" w:rsidR="00EF31B7" w:rsidRP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b/>
          <w:bCs/>
          <w:highlight w:val="white"/>
          <w:lang w:val="es-CO"/>
        </w:rPr>
        <w:t>RESOLUCIÓN 245 DE 2017</w:t>
      </w:r>
    </w:p>
    <w:p w14:paraId="3B8FE235" w14:textId="77777777" w:rsid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highlight w:val="white"/>
          <w:lang w:val="es-CO"/>
        </w:rPr>
        <w:t>(enero 20)</w:t>
      </w:r>
    </w:p>
    <w:p w14:paraId="117D8568" w14:textId="77777777" w:rsidR="00EF31B7" w:rsidRPr="00EF31B7" w:rsidRDefault="00EF31B7" w:rsidP="00EF31B7">
      <w:pPr>
        <w:spacing w:line="240" w:lineRule="auto"/>
        <w:jc w:val="center"/>
        <w:rPr>
          <w:rFonts w:ascii="Verdana" w:eastAsia="Verdana" w:hAnsi="Verdana" w:cs="Verdana"/>
          <w:highlight w:val="white"/>
          <w:lang w:val="es-CO"/>
        </w:rPr>
      </w:pPr>
    </w:p>
    <w:p w14:paraId="2162149C" w14:textId="77777777" w:rsidR="00EF31B7" w:rsidRP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b/>
          <w:bCs/>
          <w:highlight w:val="white"/>
          <w:lang w:val="es-CO"/>
        </w:rPr>
        <w:t>INSTITUTO COLOMBIANO DE BIENESTAR FAMILIAR</w:t>
      </w:r>
    </w:p>
    <w:p w14:paraId="4ABD7C0A" w14:textId="77777777" w:rsidR="00EF31B7" w:rsidRP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b/>
          <w:bCs/>
          <w:highlight w:val="white"/>
          <w:lang w:val="es-CO"/>
        </w:rPr>
        <w:t>CECILIA DE LA FUENTE DE LLERAS</w:t>
      </w:r>
    </w:p>
    <w:p w14:paraId="624C5D87" w14:textId="77777777" w:rsidR="00EF31B7" w:rsidRP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b/>
          <w:bCs/>
          <w:highlight w:val="white"/>
          <w:lang w:val="es-CO"/>
        </w:rPr>
        <w:t>DIRECCIÓN GENERAL</w:t>
      </w:r>
    </w:p>
    <w:p w14:paraId="60E4D6AF" w14:textId="77777777" w:rsidR="00EF31B7" w:rsidRDefault="00EF31B7" w:rsidP="00EF31B7">
      <w:pPr>
        <w:spacing w:line="240" w:lineRule="auto"/>
        <w:jc w:val="center"/>
        <w:rPr>
          <w:rFonts w:ascii="Verdana" w:eastAsia="Verdana" w:hAnsi="Verdana" w:cs="Verdana"/>
          <w:highlight w:val="white"/>
          <w:lang w:val="es-CO"/>
        </w:rPr>
      </w:pPr>
    </w:p>
    <w:p w14:paraId="53D9B577" w14:textId="7AC13395" w:rsidR="00EF31B7" w:rsidRP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highlight w:val="white"/>
          <w:lang w:val="es-CO"/>
        </w:rPr>
        <w:t>Por la cual se aprueba la modificación del Lineamiento Técnico del Modelo para la Atención de Niños, Niñas y Adolescentes, con Derechos Inobservados, Amenazados o Vulnerados.</w:t>
      </w:r>
    </w:p>
    <w:p w14:paraId="77D2BE42" w14:textId="77777777" w:rsidR="00EF31B7" w:rsidRDefault="00EF31B7" w:rsidP="00EF31B7">
      <w:pPr>
        <w:spacing w:line="240" w:lineRule="auto"/>
        <w:jc w:val="center"/>
        <w:rPr>
          <w:rFonts w:ascii="Verdana" w:eastAsia="Verdana" w:hAnsi="Verdana" w:cs="Verdana"/>
          <w:highlight w:val="white"/>
          <w:lang w:val="es-CO"/>
        </w:rPr>
      </w:pPr>
    </w:p>
    <w:p w14:paraId="228DA85F" w14:textId="460CE5A5" w:rsidR="00EF31B7" w:rsidRDefault="00EF31B7" w:rsidP="00EF31B7">
      <w:pPr>
        <w:spacing w:line="240" w:lineRule="auto"/>
        <w:jc w:val="center"/>
        <w:rPr>
          <w:rFonts w:ascii="Verdana" w:eastAsia="Verdana" w:hAnsi="Verdana" w:cs="Verdana"/>
          <w:b/>
          <w:bCs/>
          <w:highlight w:val="white"/>
          <w:lang w:val="es-CO"/>
        </w:rPr>
      </w:pPr>
      <w:r w:rsidRPr="00EF31B7">
        <w:rPr>
          <w:rFonts w:ascii="Verdana" w:eastAsia="Verdana" w:hAnsi="Verdana" w:cs="Verdana"/>
          <w:b/>
          <w:bCs/>
          <w:highlight w:val="white"/>
          <w:lang w:val="es-CO"/>
        </w:rPr>
        <w:t>LA SUBDIRECTORA GENERAL ENCARGADA DE LAS FUNCIONES DE DIRECTORA GENERAL DEL INSTITUTO COLOMBIANO DE BIENESTAR FAMILIAR – CECILIA DE LA FUENTE DE LLERAS,</w:t>
      </w:r>
    </w:p>
    <w:p w14:paraId="44E2B97E" w14:textId="77777777" w:rsidR="00EF31B7" w:rsidRPr="00EF31B7" w:rsidRDefault="00EF31B7" w:rsidP="00EF31B7">
      <w:pPr>
        <w:spacing w:line="240" w:lineRule="auto"/>
        <w:jc w:val="center"/>
        <w:rPr>
          <w:rFonts w:ascii="Verdana" w:eastAsia="Verdana" w:hAnsi="Verdana" w:cs="Verdana"/>
          <w:highlight w:val="white"/>
          <w:lang w:val="es-CO"/>
        </w:rPr>
      </w:pPr>
    </w:p>
    <w:p w14:paraId="2F810DF1" w14:textId="69FA4737" w:rsid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highlight w:val="white"/>
          <w:lang w:val="es-CO"/>
        </w:rPr>
        <w:t>en uso de las facultades legales y estatutarias establecidas en el literal b) del artículo 28 de la Ley 7ª de 1979, el artículo 78 de la Ley 489 de 1998, en ejercicio del encargo realizado mediante la Resolución número 00026 del 11 de enero de 2017 del Departamento Administrativo para la Prosperidad Social, y</w:t>
      </w:r>
    </w:p>
    <w:p w14:paraId="2B3386A4" w14:textId="77777777" w:rsidR="00EF31B7" w:rsidRPr="00EF31B7" w:rsidRDefault="00EF31B7" w:rsidP="00EF31B7">
      <w:pPr>
        <w:spacing w:line="240" w:lineRule="auto"/>
        <w:jc w:val="center"/>
        <w:rPr>
          <w:rFonts w:ascii="Verdana" w:eastAsia="Verdana" w:hAnsi="Verdana" w:cs="Verdana"/>
          <w:highlight w:val="white"/>
          <w:lang w:val="es-CO"/>
        </w:rPr>
      </w:pPr>
    </w:p>
    <w:p w14:paraId="0500B0B2" w14:textId="77777777" w:rsidR="00EF31B7" w:rsidRDefault="00EF31B7" w:rsidP="00EF31B7">
      <w:pPr>
        <w:spacing w:line="240" w:lineRule="auto"/>
        <w:jc w:val="center"/>
        <w:rPr>
          <w:rFonts w:ascii="Verdana" w:eastAsia="Verdana" w:hAnsi="Verdana" w:cs="Verdana"/>
          <w:b/>
          <w:bCs/>
          <w:highlight w:val="white"/>
          <w:lang w:val="es-CO"/>
        </w:rPr>
      </w:pPr>
      <w:r w:rsidRPr="00EF31B7">
        <w:rPr>
          <w:rFonts w:ascii="Verdana" w:eastAsia="Verdana" w:hAnsi="Verdana" w:cs="Verdana"/>
          <w:b/>
          <w:bCs/>
          <w:highlight w:val="white"/>
          <w:lang w:val="es-CO"/>
        </w:rPr>
        <w:t>CONSIDERANDO:</w:t>
      </w:r>
    </w:p>
    <w:p w14:paraId="711299E8" w14:textId="77777777" w:rsidR="00EF31B7" w:rsidRPr="00EF31B7" w:rsidRDefault="00EF31B7" w:rsidP="00EF31B7">
      <w:pPr>
        <w:spacing w:line="240" w:lineRule="auto"/>
        <w:jc w:val="center"/>
        <w:rPr>
          <w:rFonts w:ascii="Verdana" w:eastAsia="Verdana" w:hAnsi="Verdana" w:cs="Verdana"/>
          <w:highlight w:val="white"/>
          <w:lang w:val="es-CO"/>
        </w:rPr>
      </w:pPr>
    </w:p>
    <w:p w14:paraId="06873D7D" w14:textId="44F278E3" w:rsid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Que la Ley 1098 de 2006, tiene como objeto </w:t>
      </w:r>
      <w:r w:rsidRPr="00EF31B7">
        <w:rPr>
          <w:rFonts w:ascii="Verdana" w:eastAsia="Verdana" w:hAnsi="Verdana" w:cs="Verdana"/>
          <w:i/>
          <w:iCs/>
          <w:highlight w:val="white"/>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EF31B7">
        <w:rPr>
          <w:rFonts w:ascii="Verdana" w:eastAsia="Verdana" w:hAnsi="Verdana" w:cs="Verdana"/>
          <w:highlight w:val="white"/>
          <w:lang w:val="es-CO"/>
        </w:rPr>
        <w:t>y su finalidad es la de </w:t>
      </w:r>
      <w:r w:rsidRPr="00EF31B7">
        <w:rPr>
          <w:rFonts w:ascii="Verdana" w:eastAsia="Verdana" w:hAnsi="Verdana" w:cs="Verdana"/>
          <w:i/>
          <w:iCs/>
          <w:highlight w:val="white"/>
          <w:lang w:val="es-CO"/>
        </w:rPr>
        <w:t>“garantizar a los niños, a las niñas y a los adolescentes su pleno y armonioso desarrollo para que crezcan en el seno de la familia y de la comunidad, en un ambiente de felicidad, amor y comprensión (…)</w:t>
      </w:r>
      <w:r w:rsidRPr="00EF31B7">
        <w:rPr>
          <w:rFonts w:ascii="Verdana" w:eastAsia="Verdana" w:hAnsi="Verdana" w:cs="Verdana"/>
          <w:highlight w:val="white"/>
          <w:lang w:val="es-CO"/>
        </w:rPr>
        <w:t>”;</w:t>
      </w:r>
    </w:p>
    <w:p w14:paraId="3D1230EE" w14:textId="77777777" w:rsidR="00EF31B7" w:rsidRPr="00EF31B7" w:rsidRDefault="00EF31B7" w:rsidP="00EF31B7">
      <w:pPr>
        <w:spacing w:line="240" w:lineRule="auto"/>
        <w:jc w:val="both"/>
        <w:rPr>
          <w:rFonts w:ascii="Verdana" w:eastAsia="Verdana" w:hAnsi="Verdana" w:cs="Verdana"/>
          <w:highlight w:val="white"/>
          <w:lang w:val="es-CO"/>
        </w:rPr>
      </w:pPr>
    </w:p>
    <w:p w14:paraId="0D4E86F5" w14:textId="48BE81C5" w:rsid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Que el parágrafo del artículo 11 de la mencionada ley señala: “El Instituto Colombiano de Bienestar Familiar, como ente coordinador del Sistema Nacional de Bienestar Familiar, mantendrá todas las funciones que hoy tiene (Ley 75 de 1968 y Ley 7ª de 1979) y definirá los lineamientos técnicos que las entidades deben cumplir para garantizar los derechos de los niños, las niñas y los adolescentes, y para asegurar su restablecimiento” (…);</w:t>
      </w:r>
    </w:p>
    <w:p w14:paraId="60E275D0" w14:textId="77777777" w:rsidR="00EF31B7" w:rsidRPr="00EF31B7" w:rsidRDefault="00EF31B7" w:rsidP="00EF31B7">
      <w:pPr>
        <w:spacing w:line="240" w:lineRule="auto"/>
        <w:jc w:val="both"/>
        <w:rPr>
          <w:rFonts w:ascii="Verdana" w:eastAsia="Verdana" w:hAnsi="Verdana" w:cs="Verdana"/>
          <w:highlight w:val="white"/>
          <w:lang w:val="es-CO"/>
        </w:rPr>
      </w:pPr>
    </w:p>
    <w:p w14:paraId="189C0E5E" w14:textId="22AAF067" w:rsid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 xml:space="preserve">Que los artículos 38 y 39 del Decreto número 987 de 2012 establecen las funciones de la Dirección de Protección y de la Subdirección de Restablecimiento de Derechos, entre las que se encuentran la Definición de los lineamientos generales y específicos en materia de protección que deben ser tenidos en cuenta </w:t>
      </w:r>
      <w:r w:rsidRPr="00EF31B7">
        <w:rPr>
          <w:rFonts w:ascii="Verdana" w:eastAsia="Verdana" w:hAnsi="Verdana" w:cs="Verdana"/>
          <w:highlight w:val="white"/>
          <w:lang w:val="es-CO"/>
        </w:rPr>
        <w:lastRenderedPageBreak/>
        <w:t>en los Centros Zonales del ICBF, en las Regionales y en la Sede de la Dirección General;</w:t>
      </w:r>
    </w:p>
    <w:p w14:paraId="14C9B842" w14:textId="77777777" w:rsidR="00EF31B7" w:rsidRPr="00EF31B7" w:rsidRDefault="00EF31B7" w:rsidP="00EF31B7">
      <w:pPr>
        <w:spacing w:line="240" w:lineRule="auto"/>
        <w:jc w:val="both"/>
        <w:rPr>
          <w:rFonts w:ascii="Verdana" w:eastAsia="Verdana" w:hAnsi="Verdana" w:cs="Verdana"/>
          <w:highlight w:val="white"/>
          <w:lang w:val="es-CO"/>
        </w:rPr>
      </w:pPr>
    </w:p>
    <w:p w14:paraId="35DFE9D1" w14:textId="2C512452" w:rsid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Que en cumplimiento de lo anterior, el Instituto Colombiano de Bienestar Familiar aprobó mediante Resolución número 1519 del 23 de febrero de 2016, el </w:t>
      </w:r>
      <w:r w:rsidRPr="00EF31B7">
        <w:rPr>
          <w:rFonts w:ascii="Verdana" w:eastAsia="Verdana" w:hAnsi="Verdana" w:cs="Verdana"/>
          <w:i/>
          <w:iCs/>
          <w:highlight w:val="white"/>
          <w:lang w:val="es-CO"/>
        </w:rPr>
        <w:t>“Lineamiento Técnico del Modelo para la Atención de Niños, Niñas y Adolescentes, con Derechos Inobservados, Amenazados o Vulnerados”</w:t>
      </w:r>
      <w:r w:rsidRPr="00EF31B7">
        <w:rPr>
          <w:rFonts w:ascii="Verdana" w:eastAsia="Verdana" w:hAnsi="Verdana" w:cs="Verdana"/>
          <w:highlight w:val="white"/>
          <w:lang w:val="es-CO"/>
        </w:rPr>
        <w:t>, modificada por las Resoluciones números 5864, 7959 y 13367 de 2016;</w:t>
      </w:r>
    </w:p>
    <w:p w14:paraId="5685E953" w14:textId="77777777" w:rsidR="00EF31B7" w:rsidRPr="00EF31B7" w:rsidRDefault="00EF31B7" w:rsidP="00EF31B7">
      <w:pPr>
        <w:spacing w:line="240" w:lineRule="auto"/>
        <w:jc w:val="both"/>
        <w:rPr>
          <w:rFonts w:ascii="Verdana" w:eastAsia="Verdana" w:hAnsi="Verdana" w:cs="Verdana"/>
          <w:highlight w:val="white"/>
          <w:lang w:val="es-CO"/>
        </w:rPr>
      </w:pPr>
    </w:p>
    <w:p w14:paraId="6A19BD35" w14:textId="77777777" w:rsid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Que se hace necesario realizar modificaciones frente a la Modalidad de Intervención de apoyo – apoyo psicológico especializado del Lineamiento Técnico del Modelo para la Atención de Niños, Niñas y Adolescentes, con Derechos Inobservados, Amenazados o Vulnerados;</w:t>
      </w:r>
    </w:p>
    <w:p w14:paraId="5A3B7718" w14:textId="77777777" w:rsidR="00EF31B7" w:rsidRPr="00EF31B7" w:rsidRDefault="00EF31B7" w:rsidP="00EF31B7">
      <w:pPr>
        <w:spacing w:line="240" w:lineRule="auto"/>
        <w:jc w:val="both"/>
        <w:rPr>
          <w:rFonts w:ascii="Verdana" w:eastAsia="Verdana" w:hAnsi="Verdana" w:cs="Verdana"/>
          <w:highlight w:val="white"/>
          <w:lang w:val="es-CO"/>
        </w:rPr>
      </w:pPr>
    </w:p>
    <w:p w14:paraId="787C82A0" w14:textId="77777777" w:rsid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Que en mérito de lo expuesto,</w:t>
      </w:r>
    </w:p>
    <w:p w14:paraId="6D9DEA10" w14:textId="77777777" w:rsidR="00EF31B7" w:rsidRPr="00EF31B7" w:rsidRDefault="00EF31B7" w:rsidP="00EF31B7">
      <w:pPr>
        <w:spacing w:line="240" w:lineRule="auto"/>
        <w:jc w:val="both"/>
        <w:rPr>
          <w:rFonts w:ascii="Verdana" w:eastAsia="Verdana" w:hAnsi="Verdana" w:cs="Verdana"/>
          <w:highlight w:val="white"/>
          <w:lang w:val="es-CO"/>
        </w:rPr>
      </w:pPr>
    </w:p>
    <w:p w14:paraId="5BAC354D" w14:textId="77777777" w:rsidR="00EF31B7" w:rsidRDefault="00EF31B7" w:rsidP="00EF31B7">
      <w:pPr>
        <w:spacing w:line="240" w:lineRule="auto"/>
        <w:jc w:val="center"/>
        <w:rPr>
          <w:rFonts w:ascii="Verdana" w:eastAsia="Verdana" w:hAnsi="Verdana" w:cs="Verdana"/>
          <w:b/>
          <w:bCs/>
          <w:highlight w:val="white"/>
          <w:lang w:val="es-CO"/>
        </w:rPr>
      </w:pPr>
      <w:r w:rsidRPr="00EF31B7">
        <w:rPr>
          <w:rFonts w:ascii="Verdana" w:eastAsia="Verdana" w:hAnsi="Verdana" w:cs="Verdana"/>
          <w:b/>
          <w:bCs/>
          <w:highlight w:val="white"/>
          <w:lang w:val="es-CO"/>
        </w:rPr>
        <w:t>RESUELVE:</w:t>
      </w:r>
    </w:p>
    <w:p w14:paraId="719A2076" w14:textId="77777777" w:rsidR="00EF31B7" w:rsidRPr="00EF31B7" w:rsidRDefault="00EF31B7" w:rsidP="00EF31B7">
      <w:pPr>
        <w:spacing w:line="240" w:lineRule="auto"/>
        <w:jc w:val="both"/>
        <w:rPr>
          <w:rFonts w:ascii="Verdana" w:eastAsia="Verdana" w:hAnsi="Verdana" w:cs="Verdana"/>
          <w:highlight w:val="white"/>
          <w:lang w:val="es-CO"/>
        </w:rPr>
      </w:pPr>
    </w:p>
    <w:p w14:paraId="7885AA81" w14:textId="43EF1EA6" w:rsidR="00EF31B7" w:rsidRPr="00EF31B7" w:rsidRDefault="00EF31B7" w:rsidP="00EF31B7">
      <w:pPr>
        <w:spacing w:line="240" w:lineRule="auto"/>
        <w:jc w:val="both"/>
        <w:rPr>
          <w:rFonts w:ascii="Verdana" w:eastAsia="Verdana" w:hAnsi="Verdana" w:cs="Verdana"/>
          <w:highlight w:val="white"/>
          <w:lang w:val="es-CO"/>
        </w:rPr>
      </w:pPr>
      <w:bookmarkStart w:id="0" w:name="1"/>
      <w:r w:rsidRPr="00EF31B7">
        <w:rPr>
          <w:rFonts w:ascii="Verdana" w:eastAsia="Verdana" w:hAnsi="Verdana" w:cs="Verdana"/>
          <w:b/>
          <w:bCs/>
          <w:highlight w:val="white"/>
          <w:lang w:val="es-CO"/>
        </w:rPr>
        <w:t>ARTÍCULO 1o.</w:t>
      </w:r>
      <w:bookmarkEnd w:id="0"/>
      <w:r w:rsidRPr="00EF31B7">
        <w:rPr>
          <w:rFonts w:ascii="Verdana" w:eastAsia="Verdana" w:hAnsi="Verdana" w:cs="Verdana"/>
          <w:highlight w:val="white"/>
          <w:lang w:val="es-CO"/>
        </w:rPr>
        <w:t xml:space="preserve"> Aprobar la modificación del Lineamiento Técnico del Modelo para la Atención de Niños, Niñas y Adolescentes, con Derechos Inobservados, Amenazados o Vulnerados, las cuales se encuentran contenidas en dicho Lineamiento.</w:t>
      </w:r>
    </w:p>
    <w:p w14:paraId="3AEB0768" w14:textId="0BC39CBD" w:rsidR="00EF31B7" w:rsidRPr="00EF31B7" w:rsidRDefault="00EF31B7" w:rsidP="00EF31B7">
      <w:pPr>
        <w:spacing w:line="240" w:lineRule="auto"/>
        <w:jc w:val="both"/>
        <w:rPr>
          <w:rFonts w:ascii="Verdana" w:eastAsia="Verdana" w:hAnsi="Verdana" w:cs="Verdana"/>
          <w:highlight w:val="white"/>
          <w:lang w:val="es-CO"/>
        </w:rPr>
      </w:pPr>
    </w:p>
    <w:p w14:paraId="6587F406" w14:textId="08B9333B" w:rsidR="00EF31B7" w:rsidRPr="00EF31B7" w:rsidRDefault="00EF31B7" w:rsidP="00EF31B7">
      <w:pPr>
        <w:spacing w:line="240" w:lineRule="auto"/>
        <w:jc w:val="both"/>
        <w:rPr>
          <w:rFonts w:ascii="Verdana" w:eastAsia="Verdana" w:hAnsi="Verdana" w:cs="Verdana"/>
          <w:highlight w:val="white"/>
          <w:lang w:val="es-CO"/>
        </w:rPr>
      </w:pPr>
      <w:bookmarkStart w:id="1" w:name="2"/>
      <w:r w:rsidRPr="00EF31B7">
        <w:rPr>
          <w:rFonts w:ascii="Verdana" w:eastAsia="Verdana" w:hAnsi="Verdana" w:cs="Verdana"/>
          <w:b/>
          <w:bCs/>
          <w:highlight w:val="white"/>
          <w:lang w:val="es-CO"/>
        </w:rPr>
        <w:t>ARTÍCULO 2o.</w:t>
      </w:r>
      <w:bookmarkEnd w:id="1"/>
      <w:r w:rsidRPr="00EF31B7">
        <w:rPr>
          <w:rFonts w:ascii="Verdana" w:eastAsia="Verdana" w:hAnsi="Verdana" w:cs="Verdana"/>
          <w:highlight w:val="white"/>
          <w:lang w:val="es-CO"/>
        </w:rPr>
        <w:t xml:space="preserve"> Las modificaciones aprobadas por el artículo 1o de la presente resolución, son de obligatorio cumplimiento para las áreas, servidores públicos y entidades que prestan el Servicio Público de Bienestar Familiar.</w:t>
      </w:r>
    </w:p>
    <w:p w14:paraId="2BA982D1" w14:textId="6A60AE9D" w:rsidR="00EF31B7" w:rsidRPr="00EF31B7" w:rsidRDefault="00EF31B7" w:rsidP="00EF31B7">
      <w:pPr>
        <w:spacing w:line="240" w:lineRule="auto"/>
        <w:jc w:val="both"/>
        <w:rPr>
          <w:rFonts w:ascii="Verdana" w:eastAsia="Verdana" w:hAnsi="Verdana" w:cs="Verdana"/>
          <w:highlight w:val="white"/>
          <w:lang w:val="es-CO"/>
        </w:rPr>
      </w:pPr>
    </w:p>
    <w:p w14:paraId="210C5056" w14:textId="3AD49732" w:rsidR="00EF31B7" w:rsidRPr="00EF31B7" w:rsidRDefault="00EF31B7" w:rsidP="00EF31B7">
      <w:pPr>
        <w:spacing w:line="240" w:lineRule="auto"/>
        <w:jc w:val="both"/>
        <w:rPr>
          <w:rFonts w:ascii="Verdana" w:eastAsia="Verdana" w:hAnsi="Verdana" w:cs="Verdana"/>
          <w:highlight w:val="white"/>
          <w:lang w:val="es-CO"/>
        </w:rPr>
      </w:pPr>
      <w:bookmarkStart w:id="2" w:name="3"/>
      <w:r w:rsidRPr="00EF31B7">
        <w:rPr>
          <w:rFonts w:ascii="Verdana" w:eastAsia="Verdana" w:hAnsi="Verdana" w:cs="Verdana"/>
          <w:b/>
          <w:bCs/>
          <w:highlight w:val="white"/>
          <w:lang w:val="es-CO"/>
        </w:rPr>
        <w:t>ARTÍCULO 3o.</w:t>
      </w:r>
      <w:bookmarkEnd w:id="2"/>
      <w:r w:rsidRPr="00EF31B7">
        <w:rPr>
          <w:rFonts w:ascii="Verdana" w:eastAsia="Verdana" w:hAnsi="Verdana" w:cs="Verdana"/>
          <w:highlight w:val="white"/>
          <w:lang w:val="es-CO"/>
        </w:rPr>
        <w:t> </w:t>
      </w:r>
      <w:r>
        <w:rPr>
          <w:rFonts w:ascii="Verdana" w:eastAsia="Verdana" w:hAnsi="Verdana" w:cs="Verdana"/>
          <w:highlight w:val="white"/>
          <w:lang w:val="es-CO"/>
        </w:rPr>
        <w:t>L</w:t>
      </w:r>
      <w:r w:rsidRPr="00EF31B7">
        <w:rPr>
          <w:rFonts w:ascii="Verdana" w:eastAsia="Verdana" w:hAnsi="Verdana" w:cs="Verdana"/>
          <w:highlight w:val="white"/>
          <w:lang w:val="es-CO"/>
        </w:rPr>
        <w:t>os Directores Regionales, Coordinadores de Protección, Coordinadores de Asistencia Técnica y Coordinadores de Centros Zonales, serán responsables de la aplicación del Lineamiento Técnico aquí aprobado.</w:t>
      </w:r>
    </w:p>
    <w:p w14:paraId="7072C6DC" w14:textId="1A17A078" w:rsidR="00EF31B7" w:rsidRPr="00EF31B7" w:rsidRDefault="00EF31B7" w:rsidP="00EF31B7">
      <w:pPr>
        <w:spacing w:line="240" w:lineRule="auto"/>
        <w:jc w:val="both"/>
        <w:rPr>
          <w:rFonts w:ascii="Verdana" w:eastAsia="Verdana" w:hAnsi="Verdana" w:cs="Verdana"/>
          <w:highlight w:val="white"/>
          <w:lang w:val="es-CO"/>
        </w:rPr>
      </w:pPr>
    </w:p>
    <w:p w14:paraId="7E43DB08" w14:textId="7A03B42B" w:rsidR="00EF31B7" w:rsidRPr="00EF31B7" w:rsidRDefault="00EF31B7" w:rsidP="00EF31B7">
      <w:pPr>
        <w:spacing w:line="240" w:lineRule="auto"/>
        <w:jc w:val="both"/>
        <w:rPr>
          <w:rFonts w:ascii="Verdana" w:eastAsia="Verdana" w:hAnsi="Verdana" w:cs="Verdana"/>
          <w:highlight w:val="white"/>
          <w:lang w:val="es-CO"/>
        </w:rPr>
      </w:pPr>
      <w:bookmarkStart w:id="3" w:name="4"/>
      <w:r w:rsidRPr="00EF31B7">
        <w:rPr>
          <w:rFonts w:ascii="Verdana" w:eastAsia="Verdana" w:hAnsi="Verdana" w:cs="Verdana"/>
          <w:b/>
          <w:bCs/>
          <w:highlight w:val="white"/>
          <w:lang w:val="es-CO"/>
        </w:rPr>
        <w:t>ARTÍCULO 4o.</w:t>
      </w:r>
      <w:bookmarkEnd w:id="3"/>
      <w:r w:rsidRPr="00EF31B7">
        <w:rPr>
          <w:rFonts w:ascii="Verdana" w:eastAsia="Verdana" w:hAnsi="Verdana" w:cs="Verdana"/>
          <w:highlight w:val="white"/>
          <w:lang w:val="es-CO"/>
        </w:rPr>
        <w:t> El lineamiento aprobado hace parte integral del presente acto administrativo.</w:t>
      </w:r>
    </w:p>
    <w:p w14:paraId="0C36BE84" w14:textId="1773D07F" w:rsidR="00EF31B7" w:rsidRPr="00EF31B7" w:rsidRDefault="00EF31B7" w:rsidP="00EF31B7">
      <w:pPr>
        <w:spacing w:line="240" w:lineRule="auto"/>
        <w:jc w:val="both"/>
        <w:rPr>
          <w:rFonts w:ascii="Verdana" w:eastAsia="Verdana" w:hAnsi="Verdana" w:cs="Verdana"/>
          <w:highlight w:val="white"/>
          <w:lang w:val="es-CO"/>
        </w:rPr>
      </w:pPr>
    </w:p>
    <w:p w14:paraId="2B378421" w14:textId="3725B1A7" w:rsidR="00EF31B7" w:rsidRDefault="00EF31B7" w:rsidP="00EF31B7">
      <w:pPr>
        <w:spacing w:line="240" w:lineRule="auto"/>
        <w:jc w:val="both"/>
        <w:rPr>
          <w:rFonts w:ascii="Verdana" w:eastAsia="Verdana" w:hAnsi="Verdana" w:cs="Verdana"/>
          <w:highlight w:val="white"/>
          <w:lang w:val="es-CO"/>
        </w:rPr>
      </w:pPr>
      <w:bookmarkStart w:id="4" w:name="5"/>
      <w:r w:rsidRPr="00EF31B7">
        <w:rPr>
          <w:rFonts w:ascii="Verdana" w:eastAsia="Verdana" w:hAnsi="Verdana" w:cs="Verdana"/>
          <w:b/>
          <w:bCs/>
          <w:highlight w:val="white"/>
          <w:lang w:val="es-CO"/>
        </w:rPr>
        <w:t>ARTÍCULO 5o. VIGENCIA Y DEROGATORIAS.</w:t>
      </w:r>
      <w:bookmarkEnd w:id="4"/>
      <w:r w:rsidRPr="00EF31B7">
        <w:rPr>
          <w:rFonts w:ascii="Verdana" w:eastAsia="Verdana" w:hAnsi="Verdana" w:cs="Verdana"/>
          <w:highlight w:val="white"/>
          <w:lang w:val="es-CO"/>
        </w:rPr>
        <w:t> </w:t>
      </w:r>
      <w:r>
        <w:rPr>
          <w:rFonts w:ascii="Verdana" w:eastAsia="Verdana" w:hAnsi="Verdana" w:cs="Verdana"/>
          <w:highlight w:val="white"/>
          <w:lang w:val="es-CO"/>
        </w:rPr>
        <w:t>[</w:t>
      </w:r>
      <w:r w:rsidRPr="00EF31B7">
        <w:rPr>
          <w:rFonts w:ascii="Verdana" w:eastAsia="Verdana" w:hAnsi="Verdana" w:cs="Verdana"/>
          <w:highlight w:val="white"/>
          <w:lang w:val="es-CO"/>
        </w:rPr>
        <w:t>Resolución derogada por el artículo 6 de la Resolución 4199 de 2021</w:t>
      </w:r>
      <w:r>
        <w:rPr>
          <w:rFonts w:ascii="Verdana" w:eastAsia="Verdana" w:hAnsi="Verdana" w:cs="Verdana"/>
          <w:highlight w:val="white"/>
          <w:lang w:val="es-CO"/>
        </w:rPr>
        <w:t>]</w:t>
      </w:r>
      <w:r w:rsidRPr="00EF31B7">
        <w:rPr>
          <w:rFonts w:ascii="Verdana" w:eastAsia="Verdana" w:hAnsi="Verdana" w:cs="Verdana"/>
          <w:highlight w:val="white"/>
          <w:lang w:val="es-CO"/>
        </w:rPr>
        <w:t> La presente resolución rige a partir de su publicación y deroga las disposiciones que le sean contrarias.</w:t>
      </w:r>
    </w:p>
    <w:p w14:paraId="428DB242" w14:textId="77777777" w:rsidR="00EF31B7" w:rsidRPr="00EF31B7" w:rsidRDefault="00EF31B7" w:rsidP="00EF31B7">
      <w:pPr>
        <w:spacing w:line="240" w:lineRule="auto"/>
        <w:jc w:val="both"/>
        <w:rPr>
          <w:rFonts w:ascii="Verdana" w:eastAsia="Verdana" w:hAnsi="Verdana" w:cs="Verdana"/>
          <w:highlight w:val="white"/>
          <w:lang w:val="es-CO"/>
        </w:rPr>
      </w:pPr>
    </w:p>
    <w:p w14:paraId="0BD4A5FB" w14:textId="77777777" w:rsid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highlight w:val="white"/>
          <w:lang w:val="es-CO"/>
        </w:rPr>
        <w:t>Publíquese y cúmplase.</w:t>
      </w:r>
    </w:p>
    <w:p w14:paraId="7D333996" w14:textId="77777777" w:rsidR="00EF31B7" w:rsidRPr="00EF31B7" w:rsidRDefault="00EF31B7" w:rsidP="00EF31B7">
      <w:pPr>
        <w:spacing w:line="240" w:lineRule="auto"/>
        <w:jc w:val="center"/>
        <w:rPr>
          <w:rFonts w:ascii="Verdana" w:eastAsia="Verdana" w:hAnsi="Verdana" w:cs="Verdana"/>
          <w:highlight w:val="white"/>
          <w:lang w:val="es-CO"/>
        </w:rPr>
      </w:pPr>
    </w:p>
    <w:p w14:paraId="77F0464D" w14:textId="77777777" w:rsid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highlight w:val="white"/>
          <w:lang w:val="es-CO"/>
        </w:rPr>
        <w:t>Dada en Bogotá, D. C., a 20 de enero de 2017.</w:t>
      </w:r>
    </w:p>
    <w:p w14:paraId="6122E972" w14:textId="77777777" w:rsidR="00EF31B7" w:rsidRPr="00EF31B7" w:rsidRDefault="00EF31B7" w:rsidP="00EF31B7">
      <w:pPr>
        <w:spacing w:line="240" w:lineRule="auto"/>
        <w:jc w:val="center"/>
        <w:rPr>
          <w:rFonts w:ascii="Verdana" w:eastAsia="Verdana" w:hAnsi="Verdana" w:cs="Verdana"/>
          <w:highlight w:val="white"/>
          <w:lang w:val="es-CO"/>
        </w:rPr>
      </w:pPr>
    </w:p>
    <w:p w14:paraId="57C5FA0C" w14:textId="77777777" w:rsid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highlight w:val="white"/>
          <w:lang w:val="es-CO"/>
        </w:rPr>
        <w:t>La Subdirectora General encargada de la funciones de la Directora General,</w:t>
      </w:r>
    </w:p>
    <w:p w14:paraId="4A5F5672" w14:textId="77777777" w:rsidR="00EF31B7" w:rsidRPr="00EF31B7" w:rsidRDefault="00EF31B7" w:rsidP="00EF31B7">
      <w:pPr>
        <w:spacing w:line="240" w:lineRule="auto"/>
        <w:jc w:val="center"/>
        <w:rPr>
          <w:rFonts w:ascii="Verdana" w:eastAsia="Verdana" w:hAnsi="Verdana" w:cs="Verdana"/>
          <w:highlight w:val="white"/>
          <w:lang w:val="es-CO"/>
        </w:rPr>
      </w:pPr>
    </w:p>
    <w:p w14:paraId="611684C9" w14:textId="77777777" w:rsidR="00EF31B7" w:rsidRDefault="00EF31B7" w:rsidP="00EF31B7">
      <w:pPr>
        <w:spacing w:line="240" w:lineRule="auto"/>
        <w:jc w:val="center"/>
        <w:rPr>
          <w:rFonts w:ascii="Verdana" w:eastAsia="Verdana" w:hAnsi="Verdana" w:cs="Verdana"/>
          <w:b/>
          <w:bCs/>
          <w:highlight w:val="white"/>
          <w:lang w:val="es-CO"/>
        </w:rPr>
      </w:pPr>
      <w:r w:rsidRPr="00EF31B7">
        <w:rPr>
          <w:rFonts w:ascii="Verdana" w:eastAsia="Verdana" w:hAnsi="Verdana" w:cs="Verdana"/>
          <w:b/>
          <w:bCs/>
          <w:highlight w:val="white"/>
          <w:lang w:val="es-CO"/>
        </w:rPr>
        <w:t>MARGARITA BARRAQUER SOURDIS.</w:t>
      </w:r>
    </w:p>
    <w:p w14:paraId="57F9C616" w14:textId="77777777" w:rsidR="00EF31B7" w:rsidRDefault="00EF31B7" w:rsidP="00EF31B7">
      <w:pPr>
        <w:spacing w:line="240" w:lineRule="auto"/>
        <w:jc w:val="center"/>
        <w:rPr>
          <w:rFonts w:ascii="Verdana" w:eastAsia="Verdana" w:hAnsi="Verdana" w:cs="Verdana"/>
          <w:b/>
          <w:bCs/>
          <w:highlight w:val="white"/>
          <w:lang w:val="es-CO"/>
        </w:rPr>
      </w:pPr>
    </w:p>
    <w:p w14:paraId="0AC13952" w14:textId="77777777" w:rsidR="00EF31B7" w:rsidRDefault="00EF31B7" w:rsidP="00EF31B7">
      <w:pPr>
        <w:spacing w:line="240" w:lineRule="auto"/>
        <w:jc w:val="both"/>
        <w:rPr>
          <w:rFonts w:ascii="Verdana" w:eastAsia="Verdana" w:hAnsi="Verdana" w:cs="Verdana"/>
          <w:b/>
          <w:bCs/>
          <w:highlight w:val="white"/>
          <w:lang w:val="es-CO"/>
        </w:rPr>
      </w:pPr>
    </w:p>
    <w:p w14:paraId="474A47EE" w14:textId="77777777" w:rsidR="00FB7788" w:rsidRDefault="00FB7788" w:rsidP="00EF31B7">
      <w:pPr>
        <w:spacing w:line="240" w:lineRule="auto"/>
        <w:jc w:val="both"/>
        <w:rPr>
          <w:rFonts w:ascii="Verdana" w:eastAsia="Verdana" w:hAnsi="Verdana" w:cs="Verdana"/>
          <w:b/>
          <w:bCs/>
          <w:highlight w:val="white"/>
          <w:lang w:val="es-CO"/>
        </w:rPr>
      </w:pPr>
    </w:p>
    <w:p w14:paraId="28D1CD2C" w14:textId="77777777" w:rsidR="00FB7788" w:rsidRDefault="00FB7788" w:rsidP="00EF31B7">
      <w:pPr>
        <w:spacing w:line="240" w:lineRule="auto"/>
        <w:jc w:val="both"/>
        <w:rPr>
          <w:rFonts w:ascii="Verdana" w:eastAsia="Verdana" w:hAnsi="Verdana" w:cs="Verdana"/>
          <w:b/>
          <w:bCs/>
          <w:highlight w:val="white"/>
          <w:lang w:val="es-CO"/>
        </w:rPr>
      </w:pPr>
    </w:p>
    <w:p w14:paraId="33EDE22D" w14:textId="77777777" w:rsidR="00FB7788" w:rsidRDefault="00FB7788" w:rsidP="00EF31B7">
      <w:pPr>
        <w:spacing w:line="240" w:lineRule="auto"/>
        <w:jc w:val="both"/>
        <w:rPr>
          <w:rFonts w:ascii="Verdana" w:eastAsia="Verdana" w:hAnsi="Verdana" w:cs="Verdana"/>
          <w:b/>
          <w:bCs/>
          <w:highlight w:val="white"/>
          <w:lang w:val="es-CO"/>
        </w:rPr>
      </w:pPr>
    </w:p>
    <w:p w14:paraId="3698813C" w14:textId="77777777" w:rsidR="00EF31B7" w:rsidRDefault="00EF31B7" w:rsidP="00EF31B7">
      <w:pPr>
        <w:spacing w:line="240" w:lineRule="auto"/>
        <w:jc w:val="both"/>
        <w:rPr>
          <w:rFonts w:ascii="Verdana" w:eastAsia="Verdana" w:hAnsi="Verdana" w:cs="Verdana"/>
          <w:b/>
          <w:bCs/>
          <w:highlight w:val="white"/>
          <w:lang w:val="es-CO"/>
        </w:rPr>
      </w:pPr>
    </w:p>
    <w:p w14:paraId="0816A891" w14:textId="77777777" w:rsidR="00EF31B7" w:rsidRPr="00EF31B7" w:rsidRDefault="00EF31B7" w:rsidP="00EF31B7">
      <w:pPr>
        <w:spacing w:line="240" w:lineRule="auto"/>
        <w:jc w:val="both"/>
        <w:rPr>
          <w:rFonts w:ascii="Verdana" w:eastAsia="Verdana" w:hAnsi="Verdana" w:cs="Verdana"/>
          <w:highlight w:val="white"/>
          <w:lang w:val="es-CO"/>
        </w:rPr>
      </w:pPr>
    </w:p>
    <w:p w14:paraId="37F0F879" w14:textId="77777777" w:rsidR="00EF31B7" w:rsidRPr="00EF31B7" w:rsidRDefault="00EF31B7" w:rsidP="00EF31B7">
      <w:pPr>
        <w:spacing w:line="240" w:lineRule="auto"/>
        <w:jc w:val="center"/>
        <w:rPr>
          <w:rFonts w:ascii="Verdana" w:eastAsia="Verdana" w:hAnsi="Verdana" w:cs="Verdana"/>
          <w:highlight w:val="white"/>
          <w:lang w:val="es-CO"/>
        </w:rPr>
      </w:pPr>
      <w:bookmarkStart w:id="5" w:name="ANEXO_E"/>
      <w:r w:rsidRPr="00EF31B7">
        <w:rPr>
          <w:rFonts w:ascii="Verdana" w:eastAsia="Verdana" w:hAnsi="Verdana" w:cs="Verdana"/>
          <w:b/>
          <w:bCs/>
          <w:highlight w:val="white"/>
          <w:lang w:val="es-CO"/>
        </w:rPr>
        <w:lastRenderedPageBreak/>
        <w:t>ANEXO E.</w:t>
      </w:r>
      <w:bookmarkEnd w:id="5"/>
    </w:p>
    <w:p w14:paraId="3279118D" w14:textId="77777777" w:rsidR="00EF31B7" w:rsidRPr="00EF31B7" w:rsidRDefault="00EF31B7" w:rsidP="00EF31B7">
      <w:pPr>
        <w:spacing w:line="240" w:lineRule="auto"/>
        <w:jc w:val="center"/>
        <w:rPr>
          <w:rFonts w:ascii="Verdana" w:eastAsia="Verdana" w:hAnsi="Verdana" w:cs="Verdana"/>
          <w:highlight w:val="white"/>
          <w:lang w:val="es-CO"/>
        </w:rPr>
      </w:pPr>
      <w:r w:rsidRPr="00EF31B7">
        <w:rPr>
          <w:rFonts w:ascii="Verdana" w:eastAsia="Verdana" w:hAnsi="Verdana" w:cs="Verdana"/>
          <w:b/>
          <w:bCs/>
          <w:highlight w:val="white"/>
          <w:lang w:val="es-CO"/>
        </w:rPr>
        <w:t>NATURALEZA DE LOS CAMBIOS.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574"/>
        <w:gridCol w:w="3000"/>
        <w:gridCol w:w="4545"/>
      </w:tblGrid>
      <w:tr w:rsidR="00EF31B7" w:rsidRPr="00EF31B7" w14:paraId="44CB4F2D" w14:textId="77777777">
        <w:trPr>
          <w:tblCellSpacing w:w="15" w:type="dxa"/>
        </w:trPr>
        <w:tc>
          <w:tcPr>
            <w:tcW w:w="850" w:type="pct"/>
            <w:tcBorders>
              <w:top w:val="nil"/>
              <w:left w:val="nil"/>
              <w:bottom w:val="nil"/>
              <w:right w:val="nil"/>
            </w:tcBorders>
            <w:tcMar>
              <w:top w:w="0" w:type="dxa"/>
              <w:left w:w="0" w:type="dxa"/>
              <w:bottom w:w="0" w:type="dxa"/>
              <w:right w:w="0" w:type="dxa"/>
            </w:tcMar>
            <w:hideMark/>
          </w:tcPr>
          <w:p w14:paraId="69A30EA9"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b/>
                <w:bCs/>
                <w:highlight w:val="white"/>
                <w:lang w:val="es-CO"/>
              </w:rPr>
              <w:t>Ítem modificado</w:t>
            </w:r>
          </w:p>
        </w:tc>
        <w:tc>
          <w:tcPr>
            <w:tcW w:w="1650" w:type="pct"/>
            <w:tcBorders>
              <w:top w:val="nil"/>
              <w:left w:val="nil"/>
              <w:bottom w:val="nil"/>
              <w:right w:val="nil"/>
            </w:tcBorders>
            <w:tcMar>
              <w:top w:w="0" w:type="dxa"/>
              <w:left w:w="0" w:type="dxa"/>
              <w:bottom w:w="0" w:type="dxa"/>
              <w:right w:w="0" w:type="dxa"/>
            </w:tcMar>
            <w:hideMark/>
          </w:tcPr>
          <w:p w14:paraId="2F764B54"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b/>
                <w:bCs/>
                <w:highlight w:val="white"/>
                <w:lang w:val="es-CO"/>
              </w:rPr>
              <w:t>Nombre del ítem</w:t>
            </w:r>
          </w:p>
        </w:tc>
        <w:tc>
          <w:tcPr>
            <w:tcW w:w="2500" w:type="pct"/>
            <w:tcBorders>
              <w:top w:val="nil"/>
              <w:left w:val="nil"/>
              <w:bottom w:val="nil"/>
              <w:right w:val="nil"/>
            </w:tcBorders>
            <w:tcMar>
              <w:top w:w="0" w:type="dxa"/>
              <w:left w:w="0" w:type="dxa"/>
              <w:bottom w:w="0" w:type="dxa"/>
              <w:right w:w="0" w:type="dxa"/>
            </w:tcMar>
            <w:hideMark/>
          </w:tcPr>
          <w:p w14:paraId="68349880"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b/>
                <w:bCs/>
                <w:highlight w:val="white"/>
                <w:lang w:val="es-CO"/>
              </w:rPr>
              <w:t>Descripción del cambio</w:t>
            </w:r>
          </w:p>
        </w:tc>
      </w:tr>
      <w:tr w:rsidR="00EF31B7" w:rsidRPr="00EF31B7" w14:paraId="0FED69CA" w14:textId="77777777">
        <w:trPr>
          <w:tblCellSpacing w:w="15" w:type="dxa"/>
        </w:trPr>
        <w:tc>
          <w:tcPr>
            <w:tcW w:w="850" w:type="pct"/>
            <w:tcBorders>
              <w:top w:val="nil"/>
              <w:left w:val="nil"/>
              <w:bottom w:val="nil"/>
              <w:right w:val="nil"/>
            </w:tcBorders>
            <w:tcMar>
              <w:top w:w="0" w:type="dxa"/>
              <w:left w:w="0" w:type="dxa"/>
              <w:bottom w:w="0" w:type="dxa"/>
              <w:right w:w="0" w:type="dxa"/>
            </w:tcMar>
            <w:hideMark/>
          </w:tcPr>
          <w:p w14:paraId="46A941AC"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1.8.1. b)</w:t>
            </w:r>
          </w:p>
        </w:tc>
        <w:tc>
          <w:tcPr>
            <w:tcW w:w="1650" w:type="pct"/>
            <w:tcBorders>
              <w:top w:val="nil"/>
              <w:left w:val="nil"/>
              <w:bottom w:val="nil"/>
              <w:right w:val="nil"/>
            </w:tcBorders>
            <w:tcMar>
              <w:top w:w="0" w:type="dxa"/>
              <w:left w:w="0" w:type="dxa"/>
              <w:bottom w:w="0" w:type="dxa"/>
              <w:right w:w="0" w:type="dxa"/>
            </w:tcMar>
            <w:hideMark/>
          </w:tcPr>
          <w:p w14:paraId="66493288"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Plan de atención integral</w:t>
            </w:r>
          </w:p>
        </w:tc>
        <w:tc>
          <w:tcPr>
            <w:tcW w:w="2500" w:type="pct"/>
            <w:tcBorders>
              <w:top w:val="nil"/>
              <w:left w:val="nil"/>
              <w:bottom w:val="nil"/>
              <w:right w:val="nil"/>
            </w:tcBorders>
            <w:tcMar>
              <w:top w:w="0" w:type="dxa"/>
              <w:left w:w="0" w:type="dxa"/>
              <w:bottom w:w="0" w:type="dxa"/>
              <w:right w:w="0" w:type="dxa"/>
            </w:tcMar>
            <w:hideMark/>
          </w:tcPr>
          <w:p w14:paraId="21247D73"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Se incluye modificación en tiempo de elaboración del plan de atención para la modalidad intervención de apoyo – apoyo psicológico especializado.</w:t>
            </w:r>
          </w:p>
        </w:tc>
      </w:tr>
      <w:tr w:rsidR="00EF31B7" w:rsidRPr="00EF31B7" w14:paraId="6F405F42" w14:textId="77777777">
        <w:trPr>
          <w:tblCellSpacing w:w="15" w:type="dxa"/>
        </w:trPr>
        <w:tc>
          <w:tcPr>
            <w:tcW w:w="850" w:type="pct"/>
            <w:tcBorders>
              <w:top w:val="nil"/>
              <w:left w:val="nil"/>
              <w:bottom w:val="nil"/>
              <w:right w:val="nil"/>
            </w:tcBorders>
            <w:tcMar>
              <w:top w:w="0" w:type="dxa"/>
              <w:left w:w="0" w:type="dxa"/>
              <w:bottom w:w="0" w:type="dxa"/>
              <w:right w:w="0" w:type="dxa"/>
            </w:tcMar>
            <w:hideMark/>
          </w:tcPr>
          <w:p w14:paraId="22002906"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1.8.3.</w:t>
            </w:r>
          </w:p>
        </w:tc>
        <w:tc>
          <w:tcPr>
            <w:tcW w:w="1650" w:type="pct"/>
            <w:tcBorders>
              <w:top w:val="nil"/>
              <w:left w:val="nil"/>
              <w:bottom w:val="nil"/>
              <w:right w:val="nil"/>
            </w:tcBorders>
            <w:tcMar>
              <w:top w:w="0" w:type="dxa"/>
              <w:left w:w="0" w:type="dxa"/>
              <w:bottom w:w="0" w:type="dxa"/>
              <w:right w:w="0" w:type="dxa"/>
            </w:tcMar>
            <w:hideMark/>
          </w:tcPr>
          <w:p w14:paraId="7B329F52"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Herramientas de seguimiento</w:t>
            </w:r>
          </w:p>
        </w:tc>
        <w:tc>
          <w:tcPr>
            <w:tcW w:w="2500" w:type="pct"/>
            <w:tcBorders>
              <w:top w:val="nil"/>
              <w:left w:val="nil"/>
              <w:bottom w:val="nil"/>
              <w:right w:val="nil"/>
            </w:tcBorders>
            <w:tcMar>
              <w:top w:w="0" w:type="dxa"/>
              <w:left w:w="0" w:type="dxa"/>
              <w:bottom w:w="0" w:type="dxa"/>
              <w:right w:w="0" w:type="dxa"/>
            </w:tcMar>
            <w:hideMark/>
          </w:tcPr>
          <w:p w14:paraId="60170C51"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Se incluye la realización de estudio de caso, para evaluar cumplimiento de objetivos y permanencia en la modalidad.</w:t>
            </w:r>
          </w:p>
        </w:tc>
      </w:tr>
      <w:tr w:rsidR="00EF31B7" w:rsidRPr="00EF31B7" w14:paraId="7117AC83" w14:textId="77777777">
        <w:trPr>
          <w:tblCellSpacing w:w="15" w:type="dxa"/>
        </w:trPr>
        <w:tc>
          <w:tcPr>
            <w:tcW w:w="850" w:type="pct"/>
            <w:tcBorders>
              <w:top w:val="nil"/>
              <w:left w:val="nil"/>
              <w:bottom w:val="nil"/>
              <w:right w:val="nil"/>
            </w:tcBorders>
            <w:tcMar>
              <w:top w:w="0" w:type="dxa"/>
              <w:left w:w="0" w:type="dxa"/>
              <w:bottom w:w="0" w:type="dxa"/>
              <w:right w:w="0" w:type="dxa"/>
            </w:tcMar>
            <w:hideMark/>
          </w:tcPr>
          <w:p w14:paraId="13934D08"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Cuadro 7</w:t>
            </w:r>
          </w:p>
        </w:tc>
        <w:tc>
          <w:tcPr>
            <w:tcW w:w="1650" w:type="pct"/>
            <w:tcBorders>
              <w:top w:val="nil"/>
              <w:left w:val="nil"/>
              <w:bottom w:val="nil"/>
              <w:right w:val="nil"/>
            </w:tcBorders>
            <w:tcMar>
              <w:top w:w="0" w:type="dxa"/>
              <w:left w:w="0" w:type="dxa"/>
              <w:bottom w:w="0" w:type="dxa"/>
              <w:right w:w="0" w:type="dxa"/>
            </w:tcMar>
            <w:hideMark/>
          </w:tcPr>
          <w:p w14:paraId="14FEEEAC"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Informes obligatorios del proceso de atención</w:t>
            </w:r>
          </w:p>
        </w:tc>
        <w:tc>
          <w:tcPr>
            <w:tcW w:w="2500" w:type="pct"/>
            <w:tcBorders>
              <w:top w:val="nil"/>
              <w:left w:val="nil"/>
              <w:bottom w:val="nil"/>
              <w:right w:val="nil"/>
            </w:tcBorders>
            <w:tcMar>
              <w:top w:w="0" w:type="dxa"/>
              <w:left w:w="0" w:type="dxa"/>
              <w:bottom w:w="0" w:type="dxa"/>
              <w:right w:w="0" w:type="dxa"/>
            </w:tcMar>
            <w:hideMark/>
          </w:tcPr>
          <w:p w14:paraId="1316E9E5"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Se incluye las modificaciones en tiempo de los informes para la modalidad intervención de apoyo – apoyo psicológico especializado.</w:t>
            </w:r>
          </w:p>
        </w:tc>
      </w:tr>
      <w:tr w:rsidR="00EF31B7" w:rsidRPr="00EF31B7" w14:paraId="08A99854" w14:textId="77777777">
        <w:trPr>
          <w:tblCellSpacing w:w="15" w:type="dxa"/>
        </w:trPr>
        <w:tc>
          <w:tcPr>
            <w:tcW w:w="850" w:type="pct"/>
            <w:tcBorders>
              <w:top w:val="nil"/>
              <w:left w:val="nil"/>
              <w:bottom w:val="nil"/>
              <w:right w:val="nil"/>
            </w:tcBorders>
            <w:tcMar>
              <w:top w:w="0" w:type="dxa"/>
              <w:left w:w="0" w:type="dxa"/>
              <w:bottom w:w="0" w:type="dxa"/>
              <w:right w:w="0" w:type="dxa"/>
            </w:tcMar>
            <w:hideMark/>
          </w:tcPr>
          <w:p w14:paraId="344211E1"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Cuadro 18</w:t>
            </w:r>
          </w:p>
        </w:tc>
        <w:tc>
          <w:tcPr>
            <w:tcW w:w="1650" w:type="pct"/>
            <w:tcBorders>
              <w:top w:val="nil"/>
              <w:left w:val="nil"/>
              <w:bottom w:val="nil"/>
              <w:right w:val="nil"/>
            </w:tcBorders>
            <w:tcMar>
              <w:top w:w="0" w:type="dxa"/>
              <w:left w:w="0" w:type="dxa"/>
              <w:bottom w:w="0" w:type="dxa"/>
              <w:right w:w="0" w:type="dxa"/>
            </w:tcMar>
            <w:hideMark/>
          </w:tcPr>
          <w:p w14:paraId="65B4BAFB"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Talento humano: Intervención de apoyo - Apoyo psicológico especializado.</w:t>
            </w:r>
          </w:p>
        </w:tc>
        <w:tc>
          <w:tcPr>
            <w:tcW w:w="2500" w:type="pct"/>
            <w:tcBorders>
              <w:top w:val="nil"/>
              <w:left w:val="nil"/>
              <w:bottom w:val="nil"/>
              <w:right w:val="nil"/>
            </w:tcBorders>
            <w:tcMar>
              <w:top w:w="0" w:type="dxa"/>
              <w:left w:w="0" w:type="dxa"/>
              <w:bottom w:w="0" w:type="dxa"/>
              <w:right w:w="0" w:type="dxa"/>
            </w:tcMar>
            <w:hideMark/>
          </w:tcPr>
          <w:p w14:paraId="61760BA5"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Modificación de número de sesiones a 144 por mes.</w:t>
            </w:r>
          </w:p>
        </w:tc>
      </w:tr>
      <w:tr w:rsidR="00EF31B7" w:rsidRPr="00EF31B7" w14:paraId="5454BD28" w14:textId="77777777">
        <w:trPr>
          <w:tblCellSpacing w:w="15" w:type="dxa"/>
        </w:trPr>
        <w:tc>
          <w:tcPr>
            <w:tcW w:w="850" w:type="pct"/>
            <w:tcBorders>
              <w:top w:val="nil"/>
              <w:left w:val="nil"/>
              <w:bottom w:val="nil"/>
              <w:right w:val="nil"/>
            </w:tcBorders>
            <w:tcMar>
              <w:top w:w="0" w:type="dxa"/>
              <w:left w:w="0" w:type="dxa"/>
              <w:bottom w:w="0" w:type="dxa"/>
              <w:right w:w="0" w:type="dxa"/>
            </w:tcMar>
            <w:hideMark/>
          </w:tcPr>
          <w:p w14:paraId="6D458AC1"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Anexo C</w:t>
            </w:r>
          </w:p>
        </w:tc>
        <w:tc>
          <w:tcPr>
            <w:tcW w:w="1650" w:type="pct"/>
            <w:tcBorders>
              <w:top w:val="nil"/>
              <w:left w:val="nil"/>
              <w:bottom w:val="nil"/>
              <w:right w:val="nil"/>
            </w:tcBorders>
            <w:tcMar>
              <w:top w:w="0" w:type="dxa"/>
              <w:left w:w="0" w:type="dxa"/>
              <w:bottom w:w="0" w:type="dxa"/>
              <w:right w:w="0" w:type="dxa"/>
            </w:tcMar>
            <w:hideMark/>
          </w:tcPr>
          <w:p w14:paraId="1FE90FD1"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Clasificadores del costo</w:t>
            </w:r>
          </w:p>
        </w:tc>
        <w:tc>
          <w:tcPr>
            <w:tcW w:w="2500" w:type="pct"/>
            <w:tcBorders>
              <w:top w:val="nil"/>
              <w:left w:val="nil"/>
              <w:bottom w:val="nil"/>
              <w:right w:val="nil"/>
            </w:tcBorders>
            <w:tcMar>
              <w:top w:w="0" w:type="dxa"/>
              <w:left w:w="0" w:type="dxa"/>
              <w:bottom w:w="0" w:type="dxa"/>
              <w:right w:w="0" w:type="dxa"/>
            </w:tcMar>
            <w:hideMark/>
          </w:tcPr>
          <w:p w14:paraId="4B108896" w14:textId="77777777"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highlight w:val="white"/>
                <w:lang w:val="es-CO"/>
              </w:rPr>
              <w:t>Modificación de los tiempos de distribución de la sesión.</w:t>
            </w:r>
          </w:p>
        </w:tc>
      </w:tr>
    </w:tbl>
    <w:p w14:paraId="51E97921" w14:textId="46C7CDA8" w:rsidR="00EF31B7" w:rsidRPr="00EF31B7" w:rsidRDefault="00EF31B7" w:rsidP="00EF31B7">
      <w:pPr>
        <w:spacing w:line="240" w:lineRule="auto"/>
        <w:jc w:val="both"/>
        <w:rPr>
          <w:rFonts w:ascii="Verdana" w:eastAsia="Verdana" w:hAnsi="Verdana" w:cs="Verdana"/>
          <w:highlight w:val="white"/>
          <w:lang w:val="es-CO"/>
        </w:rPr>
      </w:pPr>
      <w:r w:rsidRPr="00EF31B7">
        <w:rPr>
          <w:rFonts w:ascii="Verdana" w:eastAsia="Verdana" w:hAnsi="Verdana" w:cs="Verdana"/>
          <w:noProof/>
          <w:highlight w:val="white"/>
          <w:lang w:val="es-CO"/>
        </w:rPr>
        <mc:AlternateContent>
          <mc:Choice Requires="wps">
            <w:drawing>
              <wp:inline distT="0" distB="0" distL="0" distR="0" wp14:anchorId="364996B4" wp14:editId="77755657">
                <wp:extent cx="304800" cy="304800"/>
                <wp:effectExtent l="0" t="0" r="0" b="0"/>
                <wp:docPr id="1577385406" name="Rectángulo 14"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F9A8F" id="Rectángulo 14"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29D3C1" w14:textId="77777777" w:rsidR="00EF31B7" w:rsidRDefault="00EF31B7" w:rsidP="00EF31B7">
      <w:pPr>
        <w:spacing w:line="240" w:lineRule="auto"/>
        <w:jc w:val="both"/>
        <w:rPr>
          <w:rFonts w:ascii="Verdana" w:eastAsia="Verdana" w:hAnsi="Verdana" w:cs="Verdana"/>
          <w:highlight w:val="white"/>
        </w:rPr>
      </w:pPr>
    </w:p>
    <w:sectPr w:rsidR="00EF31B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D9935BF-671C-420F-AD90-ED5DCA92814E}"/>
    <w:embedBold r:id="rId2" w:fontKey="{5D58A22B-94C4-41B6-8040-19204E0C648D}"/>
    <w:embedItalic r:id="rId3" w:fontKey="{E6CE447E-C92C-4701-A732-C6C9D2E4D58D}"/>
  </w:font>
  <w:font w:name="Calibri">
    <w:panose1 w:val="020F0502020204030204"/>
    <w:charset w:val="00"/>
    <w:family w:val="swiss"/>
    <w:pitch w:val="variable"/>
    <w:sig w:usb0="E4002EFF" w:usb1="C200247B" w:usb2="00000009" w:usb3="00000000" w:csb0="000001FF" w:csb1="00000000"/>
    <w:embedRegular r:id="rId4" w:fontKey="{BAFEDCAE-F48A-4BA9-AF31-CAE91E3BF752}"/>
  </w:font>
  <w:font w:name="Cambria">
    <w:panose1 w:val="02040503050406030204"/>
    <w:charset w:val="00"/>
    <w:family w:val="roman"/>
    <w:pitch w:val="variable"/>
    <w:sig w:usb0="E00006FF" w:usb1="420024FF" w:usb2="02000000" w:usb3="00000000" w:csb0="0000019F" w:csb1="00000000"/>
    <w:embedRegular r:id="rId5" w:fontKey="{0344CDC2-FFC0-4F54-BC09-15DD0B2873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90"/>
    <w:rsid w:val="00054F81"/>
    <w:rsid w:val="003A7790"/>
    <w:rsid w:val="00505527"/>
    <w:rsid w:val="005B65D0"/>
    <w:rsid w:val="00665FDA"/>
    <w:rsid w:val="00AB3BA7"/>
    <w:rsid w:val="00EF31B7"/>
    <w:rsid w:val="00FB77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1E756"/>
  <w15:docId w15:val="{098EFED8-151B-4354-AC68-8A6CF79D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05527"/>
    <w:rPr>
      <w:color w:val="0000FF" w:themeColor="hyperlink"/>
      <w:u w:val="single"/>
    </w:rPr>
  </w:style>
  <w:style w:type="character" w:styleId="Mencinsinresolver">
    <w:name w:val="Unresolved Mention"/>
    <w:basedOn w:val="Fuentedeprrafopredeter"/>
    <w:uiPriority w:val="99"/>
    <w:semiHidden/>
    <w:unhideWhenUsed/>
    <w:rsid w:val="00505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29BB94-24EB-4EC1-BA05-574911668A51}"/>
</file>

<file path=customXml/itemProps2.xml><?xml version="1.0" encoding="utf-8"?>
<ds:datastoreItem xmlns:ds="http://schemas.openxmlformats.org/officeDocument/2006/customXml" ds:itemID="{5ACB4D11-04FF-4137-8922-11E70179EED3}"/>
</file>

<file path=customXml/itemProps3.xml><?xml version="1.0" encoding="utf-8"?>
<ds:datastoreItem xmlns:ds="http://schemas.openxmlformats.org/officeDocument/2006/customXml" ds:itemID="{B8A7B873-6382-484B-A11D-86AADE5A0E49}"/>
</file>

<file path=docProps/app.xml><?xml version="1.0" encoding="utf-8"?>
<Properties xmlns="http://schemas.openxmlformats.org/officeDocument/2006/extended-properties" xmlns:vt="http://schemas.openxmlformats.org/officeDocument/2006/docPropsVTypes">
  <Template>Normal</Template>
  <TotalTime>5</TotalTime>
  <Pages>3</Pages>
  <Words>796</Words>
  <Characters>4381</Characters>
  <Application>Microsoft Office Word</Application>
  <DocSecurity>0</DocSecurity>
  <Lines>36</Lines>
  <Paragraphs>10</Paragraphs>
  <ScaleCrop>false</ScaleCrop>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4</cp:revision>
  <dcterms:created xsi:type="dcterms:W3CDTF">2026-02-17T16:14:00Z</dcterms:created>
  <dcterms:modified xsi:type="dcterms:W3CDTF">2026-04-16T19:39:00Z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