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5D7DBF52"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002047">
        <w:rPr>
          <w:rFonts w:ascii="Verdana" w:hAnsi="Verdana"/>
          <w:b/>
          <w:bCs/>
          <w:sz w:val="22"/>
          <w:szCs w:val="22"/>
        </w:rPr>
        <w:t>2442</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34CF02B3"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002047">
        <w:rPr>
          <w:rFonts w:ascii="Verdana" w:hAnsi="Verdana"/>
          <w:sz w:val="20"/>
          <w:szCs w:val="20"/>
        </w:rPr>
        <w:t>7</w:t>
      </w:r>
      <w:r w:rsidR="009E6ECC">
        <w:rPr>
          <w:rFonts w:ascii="Verdana" w:hAnsi="Verdana"/>
          <w:sz w:val="20"/>
          <w:szCs w:val="20"/>
        </w:rPr>
        <w:t xml:space="preserve"> de junio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5CE4BD54"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002047">
        <w:rPr>
          <w:rFonts w:ascii="Verdana" w:hAnsi="Verdana"/>
          <w:sz w:val="20"/>
          <w:szCs w:val="20"/>
        </w:rPr>
        <w:t xml:space="preserve">7 </w:t>
      </w:r>
      <w:r w:rsidR="009E6ECC">
        <w:rPr>
          <w:rFonts w:ascii="Verdana" w:hAnsi="Verdana"/>
          <w:sz w:val="20"/>
          <w:szCs w:val="20"/>
        </w:rPr>
        <w:t>de junio</w:t>
      </w:r>
      <w:r w:rsidR="00B54788">
        <w:rPr>
          <w:rFonts w:ascii="Verdana" w:hAnsi="Verdana"/>
          <w:sz w:val="20"/>
          <w:szCs w:val="20"/>
        </w:rPr>
        <w:t xml:space="preserve"> </w:t>
      </w:r>
      <w:r w:rsidR="000D6943">
        <w:rPr>
          <w:rFonts w:ascii="Verdana" w:hAnsi="Verdana"/>
          <w:sz w:val="20"/>
          <w:szCs w:val="20"/>
        </w:rPr>
        <w:t>de 2024</w:t>
      </w:r>
    </w:p>
    <w:p w14:paraId="30D368E6" w14:textId="544442B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8504C">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3458714C"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002047">
        <w:rPr>
          <w:rFonts w:ascii="Verdana" w:hAnsi="Verdana"/>
          <w:b/>
          <w:bCs/>
          <w:sz w:val="22"/>
          <w:szCs w:val="22"/>
        </w:rPr>
        <w:t>2442</w:t>
      </w:r>
      <w:r w:rsidRPr="00DB3505">
        <w:rPr>
          <w:rFonts w:ascii="Verdana" w:hAnsi="Verdana"/>
          <w:b/>
          <w:bCs/>
          <w:sz w:val="22"/>
          <w:szCs w:val="22"/>
        </w:rPr>
        <w:t xml:space="preserve"> DE 202</w:t>
      </w:r>
      <w:r w:rsidR="008D18D4">
        <w:rPr>
          <w:rFonts w:ascii="Verdana" w:hAnsi="Verdana"/>
          <w:b/>
          <w:bCs/>
          <w:sz w:val="22"/>
          <w:szCs w:val="22"/>
        </w:rPr>
        <w:t>4</w:t>
      </w:r>
    </w:p>
    <w:p w14:paraId="76C13A6D" w14:textId="408A32EF"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002047">
        <w:rPr>
          <w:rFonts w:ascii="Verdana" w:hAnsi="Verdana"/>
          <w:b/>
          <w:bCs/>
          <w:sz w:val="22"/>
          <w:szCs w:val="22"/>
        </w:rPr>
        <w:t>7</w:t>
      </w:r>
      <w:r w:rsidR="009E6ECC">
        <w:rPr>
          <w:rFonts w:ascii="Verdana" w:hAnsi="Verdana"/>
          <w:b/>
          <w:bCs/>
          <w:sz w:val="22"/>
          <w:szCs w:val="22"/>
        </w:rPr>
        <w:t xml:space="preserve"> de junio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23C56803" w14:textId="77777777" w:rsidR="00357E58" w:rsidRDefault="00357E58" w:rsidP="00357E58">
      <w:pPr>
        <w:jc w:val="center"/>
        <w:rPr>
          <w:rFonts w:ascii="Verdana" w:hAnsi="Verdana"/>
          <w:sz w:val="22"/>
          <w:szCs w:val="22"/>
        </w:rPr>
      </w:pPr>
      <w:r>
        <w:rPr>
          <w:rFonts w:ascii="Verdana" w:hAnsi="Verdana"/>
          <w:sz w:val="22"/>
          <w:szCs w:val="22"/>
        </w:rPr>
        <w:t>“</w:t>
      </w:r>
      <w:r w:rsidRPr="00357E58">
        <w:rPr>
          <w:rFonts w:ascii="Verdana" w:hAnsi="Verdana"/>
          <w:sz w:val="22"/>
          <w:szCs w:val="22"/>
        </w:rPr>
        <w:t>Por la cual se modifica el artículo 1 de la Resolución 0130 del 19 de enero de 2024</w:t>
      </w:r>
      <w:r>
        <w:rPr>
          <w:rFonts w:ascii="Verdana" w:hAnsi="Verdana"/>
          <w:sz w:val="22"/>
          <w:szCs w:val="22"/>
        </w:rPr>
        <w:t xml:space="preserve"> </w:t>
      </w:r>
      <w:r w:rsidRPr="00357E58">
        <w:rPr>
          <w:rFonts w:ascii="Verdana" w:hAnsi="Verdana"/>
          <w:sz w:val="22"/>
          <w:szCs w:val="22"/>
        </w:rPr>
        <w:t>“Por la cual se adoptan los Lineamientos de Programación y Ejecución de Metas Sociales y Financieras - Vigencia 2024 del Instituto Colombiano de Bienestar Familiar – Cecilia De la Fuente de Lleras – ICBF y se deroga la Resolución 002 del 2 de enero de 2024</w:t>
      </w:r>
      <w:r>
        <w:rPr>
          <w:rFonts w:ascii="Verdana" w:hAnsi="Verdana"/>
          <w:sz w:val="22"/>
          <w:szCs w:val="22"/>
        </w:rPr>
        <w:t>”</w:t>
      </w:r>
      <w:r w:rsidRPr="00357E58">
        <w:rPr>
          <w:rFonts w:ascii="Verdana" w:hAnsi="Verdana"/>
          <w:sz w:val="22"/>
          <w:szCs w:val="22"/>
        </w:rPr>
        <w:t>”</w:t>
      </w:r>
    </w:p>
    <w:p w14:paraId="5EE89B5C" w14:textId="5E9C0DAC" w:rsidR="00700905" w:rsidRPr="00357E58" w:rsidRDefault="004B495B" w:rsidP="00357E58">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3DAE3B58" w14:textId="77777777" w:rsidR="00710692" w:rsidRDefault="00710692" w:rsidP="00700905">
      <w:pPr>
        <w:jc w:val="center"/>
        <w:rPr>
          <w:rFonts w:ascii="Verdana" w:hAnsi="Verdana"/>
          <w:sz w:val="22"/>
          <w:szCs w:val="22"/>
        </w:rPr>
      </w:pPr>
      <w:r w:rsidRPr="00710692">
        <w:rPr>
          <w:rFonts w:ascii="Verdana" w:hAnsi="Verdana"/>
          <w:sz w:val="22"/>
          <w:szCs w:val="22"/>
        </w:rPr>
        <w:t>En uso de sus facultades legales y estatutarias y, en especial de las conferidas por los artículos 28 de la Ley 7 de 1979 y 78 de la Ley 489 de 1998 y</w:t>
      </w:r>
    </w:p>
    <w:p w14:paraId="62EE6393" w14:textId="55086241" w:rsidR="00DB3505" w:rsidRDefault="00DB3505" w:rsidP="00700905">
      <w:pPr>
        <w:jc w:val="center"/>
        <w:rPr>
          <w:rFonts w:ascii="Verdana" w:hAnsi="Verdana"/>
          <w:b/>
          <w:bCs/>
          <w:sz w:val="22"/>
          <w:szCs w:val="22"/>
        </w:rPr>
      </w:pPr>
      <w:r w:rsidRPr="00DB3505">
        <w:rPr>
          <w:rFonts w:ascii="Verdana" w:hAnsi="Verdana"/>
          <w:b/>
          <w:bCs/>
          <w:sz w:val="22"/>
          <w:szCs w:val="22"/>
        </w:rPr>
        <w:t>CONSIDERANDO:</w:t>
      </w:r>
    </w:p>
    <w:p w14:paraId="1CBBA9F4" w14:textId="562A29B1" w:rsidR="00710692" w:rsidRPr="00D9123E" w:rsidRDefault="00710692" w:rsidP="00D9123E">
      <w:pPr>
        <w:pStyle w:val="Prrafodelista"/>
        <w:numPr>
          <w:ilvl w:val="0"/>
          <w:numId w:val="7"/>
        </w:numPr>
        <w:spacing w:after="0"/>
        <w:textAlignment w:val="baseline"/>
        <w:rPr>
          <w:rFonts w:ascii="Verdana" w:hAnsi="Verdana"/>
          <w:sz w:val="22"/>
          <w:szCs w:val="22"/>
        </w:rPr>
      </w:pPr>
      <w:r w:rsidRPr="00710692">
        <w:rPr>
          <w:rFonts w:ascii="Verdana" w:hAnsi="Verdana"/>
          <w:sz w:val="22"/>
          <w:szCs w:val="22"/>
        </w:rPr>
        <w:t xml:space="preserve">Que el día 19 de enero de 2024, el Instituto Colombiano de Bienestar Familiar - ICBF expidió la Resolución 0130 </w:t>
      </w:r>
      <w:r w:rsidRPr="00D9123E">
        <w:rPr>
          <w:rFonts w:ascii="Verdana" w:hAnsi="Verdana"/>
          <w:i/>
          <w:iCs/>
          <w:sz w:val="22"/>
          <w:szCs w:val="22"/>
        </w:rPr>
        <w:t>“Por la cual se adoptan los Lineamientos de Programación y Ejecución de Metas Sociales y Financieras - Vigencia 2024 del Instituto Colombiano de Bienestar Familiar – Cecilia De la Fuente de Lleras – ICBF y se deroga la Resolución 002 del 2 de enero de 2024”.</w:t>
      </w:r>
    </w:p>
    <w:p w14:paraId="0192AE64" w14:textId="51098715" w:rsidR="00710692" w:rsidRPr="00D9123E" w:rsidRDefault="00710692" w:rsidP="00D9123E">
      <w:pPr>
        <w:pStyle w:val="Prrafodelista"/>
        <w:numPr>
          <w:ilvl w:val="0"/>
          <w:numId w:val="7"/>
        </w:numPr>
        <w:spacing w:after="0"/>
        <w:textAlignment w:val="baseline"/>
        <w:rPr>
          <w:rFonts w:ascii="Verdana" w:hAnsi="Verdana"/>
          <w:sz w:val="22"/>
          <w:szCs w:val="22"/>
        </w:rPr>
      </w:pPr>
      <w:r w:rsidRPr="00710692">
        <w:rPr>
          <w:rFonts w:ascii="Verdana" w:hAnsi="Verdana"/>
          <w:sz w:val="22"/>
          <w:szCs w:val="22"/>
        </w:rPr>
        <w:t xml:space="preserve">Que el artículo 1 de la Resolución 0130 de 2024 del ICBF, adoptó los Lineamientos de Programación y Ejecución de Metas Sociales y Financieras - Vigencia 2024 en </w:t>
      </w:r>
      <w:r w:rsidRPr="00AE513F">
        <w:rPr>
          <w:rFonts w:ascii="Verdana" w:hAnsi="Verdana"/>
          <w:b/>
          <w:bCs/>
          <w:sz w:val="22"/>
          <w:szCs w:val="22"/>
        </w:rPr>
        <w:t>79 fichas y sus correspondientes anexos</w:t>
      </w:r>
      <w:r w:rsidRPr="00710692">
        <w:rPr>
          <w:rFonts w:ascii="Verdana" w:hAnsi="Verdana"/>
          <w:sz w:val="22"/>
          <w:szCs w:val="22"/>
        </w:rPr>
        <w:t>, establecidas por cada Dependencia de Gasto de Funcionamiento e Inversión y modalidades de atención (cuando aplique) y registrados en el presupuesto de gastos del ICBF, las cuales forman parte integral del precitado acto administrativo.</w:t>
      </w:r>
    </w:p>
    <w:p w14:paraId="659BE6A0" w14:textId="0F49AB25" w:rsidR="00710692" w:rsidRPr="00D9123E" w:rsidRDefault="00710692" w:rsidP="00D9123E">
      <w:pPr>
        <w:pStyle w:val="Prrafodelista"/>
        <w:numPr>
          <w:ilvl w:val="0"/>
          <w:numId w:val="7"/>
        </w:numPr>
        <w:spacing w:after="0"/>
        <w:textAlignment w:val="baseline"/>
        <w:rPr>
          <w:rFonts w:ascii="Verdana" w:hAnsi="Verdana"/>
          <w:sz w:val="22"/>
          <w:szCs w:val="22"/>
        </w:rPr>
      </w:pPr>
      <w:r w:rsidRPr="00710692">
        <w:rPr>
          <w:rFonts w:ascii="Verdana" w:hAnsi="Verdana"/>
          <w:sz w:val="22"/>
          <w:szCs w:val="22"/>
        </w:rPr>
        <w:t xml:space="preserve">Que el artículo 3 de la Resolución en cita establece que cualquier modificación o ajuste a las fichas de Inversión en los Lineamientos de Programación y Ejecución de Metas Sociales y Financieras - Vigencia 2024, deberá realizarse mediante resolución debidamente soportada en la solicitud y justificación técnica y presupuestal que emita el responsable del proyecto de inversión o gerente del recurso del rubro y de la ficha de </w:t>
      </w:r>
      <w:r w:rsidRPr="00710692">
        <w:rPr>
          <w:rFonts w:ascii="Verdana" w:hAnsi="Verdana"/>
          <w:sz w:val="22"/>
          <w:szCs w:val="22"/>
        </w:rPr>
        <w:lastRenderedPageBreak/>
        <w:t>programación que deberá contar con el aval de la Subdirección de Programación de la Dirección de Planeación y Control de Gestión y el control de legalidad de la Oficina Asesora Jurídica.</w:t>
      </w:r>
    </w:p>
    <w:p w14:paraId="69CC4A62" w14:textId="37C182D4" w:rsidR="00710692" w:rsidRPr="00AE513F" w:rsidRDefault="00710692" w:rsidP="00AE513F">
      <w:pPr>
        <w:pStyle w:val="Prrafodelista"/>
        <w:numPr>
          <w:ilvl w:val="0"/>
          <w:numId w:val="7"/>
        </w:numPr>
        <w:spacing w:after="0"/>
        <w:textAlignment w:val="baseline"/>
        <w:rPr>
          <w:rFonts w:ascii="Verdana" w:hAnsi="Verdana"/>
          <w:sz w:val="22"/>
          <w:szCs w:val="22"/>
        </w:rPr>
      </w:pPr>
      <w:r w:rsidRPr="00710692">
        <w:rPr>
          <w:rFonts w:ascii="Verdana" w:hAnsi="Verdana"/>
          <w:sz w:val="22"/>
          <w:szCs w:val="22"/>
        </w:rPr>
        <w:t xml:space="preserve">Que el día 26 de abril de 2024, la Dirección General del ICBF expidió la Resolución 1862 </w:t>
      </w:r>
      <w:r w:rsidRPr="00D9123E">
        <w:rPr>
          <w:rFonts w:ascii="Verdana" w:hAnsi="Verdana"/>
          <w:i/>
          <w:iCs/>
          <w:sz w:val="22"/>
          <w:szCs w:val="22"/>
        </w:rPr>
        <w:t xml:space="preserve">“Por la cual se modifica el artículo 1 de la Resolución 0130 del 19 de enero de 2024 (…)”, </w:t>
      </w:r>
      <w:r w:rsidRPr="00710692">
        <w:rPr>
          <w:rFonts w:ascii="Verdana" w:hAnsi="Verdana"/>
          <w:sz w:val="22"/>
          <w:szCs w:val="22"/>
        </w:rPr>
        <w:t xml:space="preserve">en el sentido de modificar los Lineamientos de Programación y Ejecución de Metas Sociales y Financieras para la vigencia 2024, reemplazando en su totalidad algunas fichas, sin contemplar en este ajuste la denominada </w:t>
      </w:r>
      <w:r w:rsidRPr="00AE513F">
        <w:rPr>
          <w:rFonts w:ascii="Verdana" w:hAnsi="Verdana"/>
          <w:b/>
          <w:bCs/>
          <w:i/>
          <w:iCs/>
          <w:sz w:val="22"/>
          <w:szCs w:val="22"/>
        </w:rPr>
        <w:t>“I-22-144- MODALIDADES DE ACOMPAÑAMIENTO INTERCULTURAL - MAI”.</w:t>
      </w:r>
    </w:p>
    <w:p w14:paraId="265F89FF" w14:textId="63FD6907" w:rsidR="00710692" w:rsidRPr="00AE513F" w:rsidRDefault="00710692" w:rsidP="00AE513F">
      <w:pPr>
        <w:pStyle w:val="Prrafodelista"/>
        <w:numPr>
          <w:ilvl w:val="0"/>
          <w:numId w:val="7"/>
        </w:numPr>
        <w:spacing w:after="0"/>
        <w:textAlignment w:val="baseline"/>
        <w:rPr>
          <w:rFonts w:ascii="Verdana" w:hAnsi="Verdana"/>
          <w:sz w:val="22"/>
          <w:szCs w:val="22"/>
        </w:rPr>
      </w:pPr>
      <w:r w:rsidRPr="00710692">
        <w:rPr>
          <w:rFonts w:ascii="Verdana" w:hAnsi="Verdana"/>
          <w:sz w:val="22"/>
          <w:szCs w:val="22"/>
        </w:rPr>
        <w:t>Que mediante memorando con radicado No. 2024180000000050293 del 26 de abril de 2024, la Dirección de Familias y Comunidades solicitó a la Subdirección de Programación de la Dirección de Planeación y Control de Gestión -DPCG la modificación de los Lineamientos de Programación y Ejecución de Metas Sociales y Financieras adoptados para la vigencia 2024, para reemplazar la ficha denominada: “</w:t>
      </w:r>
      <w:r w:rsidRPr="00AE513F">
        <w:rPr>
          <w:rFonts w:ascii="Verdana" w:hAnsi="Verdana"/>
          <w:b/>
          <w:bCs/>
          <w:sz w:val="22"/>
          <w:szCs w:val="22"/>
        </w:rPr>
        <w:t>I-22-144-MODALIDADES DE ACOMPAÑAMIENTO INTERCULTURAL - MAI”</w:t>
      </w:r>
      <w:r w:rsidRPr="00710692">
        <w:rPr>
          <w:rFonts w:ascii="Verdana" w:hAnsi="Verdana"/>
          <w:sz w:val="22"/>
          <w:szCs w:val="22"/>
        </w:rPr>
        <w:t xml:space="preserve"> con el fin de ajustar el tiempo de operación de la modalidad y realizar la descripción del costo de acuerdo con el Anexo No. 08 Costos de Referencia de la modalidad de “</w:t>
      </w:r>
      <w:r w:rsidRPr="00AE513F">
        <w:rPr>
          <w:rFonts w:ascii="Verdana" w:hAnsi="Verdana"/>
          <w:b/>
          <w:bCs/>
          <w:sz w:val="22"/>
          <w:szCs w:val="22"/>
        </w:rPr>
        <w:t>Acompañamiento Intercultural (Étnica – Campesina) - Tejiendo Interculturalidad”.</w:t>
      </w:r>
    </w:p>
    <w:p w14:paraId="70DD3EDF" w14:textId="0E16FEAA" w:rsidR="00710692" w:rsidRPr="00AE513F" w:rsidRDefault="00710692" w:rsidP="00AE513F">
      <w:pPr>
        <w:pStyle w:val="Prrafodelista"/>
        <w:numPr>
          <w:ilvl w:val="0"/>
          <w:numId w:val="7"/>
        </w:numPr>
        <w:spacing w:after="0"/>
        <w:textAlignment w:val="baseline"/>
        <w:rPr>
          <w:rFonts w:ascii="Verdana" w:hAnsi="Verdana"/>
          <w:sz w:val="22"/>
          <w:szCs w:val="22"/>
        </w:rPr>
      </w:pPr>
      <w:r w:rsidRPr="00710692">
        <w:rPr>
          <w:rFonts w:ascii="Verdana" w:hAnsi="Verdana"/>
          <w:sz w:val="22"/>
          <w:szCs w:val="22"/>
        </w:rPr>
        <w:t xml:space="preserve">Que de conformidad con lo dispuesto en el artículo 34 del Decreto 987 de 2012, la Dirección de Familias y Comunidades del ICBF tiene entre otras, las funciones de </w:t>
      </w:r>
      <w:r w:rsidRPr="00AE513F">
        <w:rPr>
          <w:rFonts w:ascii="Verdana" w:hAnsi="Verdana"/>
          <w:i/>
          <w:iCs/>
          <w:sz w:val="22"/>
          <w:szCs w:val="22"/>
        </w:rPr>
        <w:t>“1. Liderar la implementación de las políticas, planes, programas y proyectos relativos a la familia y comunidad dentro del ICBF (…), 7. Definir los lineamientos y políticas generales que deben ser tenidos en cuenta en la implementación de los programas y proyectos de familia y comunidad (…)”.</w:t>
      </w:r>
    </w:p>
    <w:p w14:paraId="10C650FA" w14:textId="176B419C" w:rsidR="00710692" w:rsidRPr="00AE513F" w:rsidRDefault="00710692" w:rsidP="00AE513F">
      <w:pPr>
        <w:pStyle w:val="Prrafodelista"/>
        <w:numPr>
          <w:ilvl w:val="0"/>
          <w:numId w:val="7"/>
        </w:numPr>
        <w:spacing w:after="0"/>
        <w:textAlignment w:val="baseline"/>
        <w:rPr>
          <w:rFonts w:ascii="Verdana" w:hAnsi="Verdana"/>
          <w:sz w:val="22"/>
          <w:szCs w:val="22"/>
        </w:rPr>
      </w:pPr>
      <w:r w:rsidRPr="00710692">
        <w:rPr>
          <w:rFonts w:ascii="Verdana" w:hAnsi="Verdana"/>
          <w:sz w:val="22"/>
          <w:szCs w:val="22"/>
        </w:rPr>
        <w:t xml:space="preserve">Que atendiendo las anteriores funciones y teniendo en cuenta los parámetros de planeación presupuestal para la vigencia 2024, la Dirección de Familias y Comunidades del ICBF proyecta en un tiempo menor la ejecución del servicio de Tejiendo Interculturalidad correspondiente a la modalidad </w:t>
      </w:r>
      <w:r w:rsidRPr="00AE513F">
        <w:rPr>
          <w:rFonts w:ascii="Verdana" w:hAnsi="Verdana"/>
          <w:b/>
          <w:bCs/>
          <w:sz w:val="22"/>
          <w:szCs w:val="22"/>
        </w:rPr>
        <w:t>“ACOMPAÑAMIENTO INTERCULTURAL – MAI”,</w:t>
      </w:r>
      <w:r w:rsidRPr="00710692">
        <w:rPr>
          <w:rFonts w:ascii="Verdana" w:hAnsi="Verdana"/>
          <w:sz w:val="22"/>
          <w:szCs w:val="22"/>
        </w:rPr>
        <w:t xml:space="preserve"> considerando la importancia de dar respuesta inmediata a las necesidades de las familias, en especial, las conformadas por comunidades étnicas y campesinas.</w:t>
      </w:r>
    </w:p>
    <w:p w14:paraId="3699A185" w14:textId="0154388A" w:rsidR="00710692" w:rsidRPr="00D9123E" w:rsidRDefault="00710692" w:rsidP="00D9123E">
      <w:pPr>
        <w:pStyle w:val="Prrafodelista"/>
        <w:numPr>
          <w:ilvl w:val="0"/>
          <w:numId w:val="7"/>
        </w:numPr>
        <w:spacing w:after="0"/>
        <w:textAlignment w:val="baseline"/>
        <w:rPr>
          <w:rFonts w:ascii="Verdana" w:hAnsi="Verdana"/>
          <w:sz w:val="22"/>
          <w:szCs w:val="22"/>
        </w:rPr>
      </w:pPr>
      <w:r w:rsidRPr="00710692">
        <w:rPr>
          <w:rFonts w:ascii="Verdana" w:hAnsi="Verdana"/>
          <w:sz w:val="22"/>
          <w:szCs w:val="22"/>
        </w:rPr>
        <w:t xml:space="preserve">Que en el marco de las funciones y competencias conferidas por el artículo 19 del Decreto 987 de 2012, la Subdirección de Programación de la Dirección de Planeación y Control de Gestión -DPCG, realizó análisis de la viabilidad de la solicitud y el 9 de mayo de 2024 emitió concepto favorable a la modificación de los Lineamientos de Programación y Ejecución de Metas Sociales y Financieras para la vigencia 2024 adoptados mediante Resolución 0130 del 19 de enero de 2024, en el sentido de reemplazar ficha denominada </w:t>
      </w:r>
      <w:r w:rsidRPr="00C74FD6">
        <w:rPr>
          <w:rFonts w:ascii="Verdana" w:hAnsi="Verdana"/>
          <w:b/>
          <w:bCs/>
          <w:sz w:val="22"/>
          <w:szCs w:val="22"/>
        </w:rPr>
        <w:t>“I-22-144-MODALIDADES DE ACOMPAÑAMIENTO INTERCULTURAL – MAI”,</w:t>
      </w:r>
      <w:r w:rsidRPr="00710692">
        <w:rPr>
          <w:rFonts w:ascii="Verdana" w:hAnsi="Verdana"/>
          <w:sz w:val="22"/>
          <w:szCs w:val="22"/>
        </w:rPr>
        <w:t xml:space="preserve"> considerando que debido a la particularidad de cada territorio es importante que el servicio Tejiendo Interculturalidad correspondiente a la modalidad </w:t>
      </w:r>
      <w:r w:rsidRPr="00C74FD6">
        <w:rPr>
          <w:rFonts w:ascii="Verdana" w:hAnsi="Verdana"/>
          <w:b/>
          <w:bCs/>
          <w:sz w:val="22"/>
          <w:szCs w:val="22"/>
        </w:rPr>
        <w:t xml:space="preserve">“ACOMPAÑAMIENTO </w:t>
      </w:r>
      <w:r w:rsidRPr="00C74FD6">
        <w:rPr>
          <w:rFonts w:ascii="Verdana" w:hAnsi="Verdana"/>
          <w:b/>
          <w:bCs/>
          <w:sz w:val="22"/>
          <w:szCs w:val="22"/>
        </w:rPr>
        <w:lastRenderedPageBreak/>
        <w:t>INTERCULTURAL – MAI”,</w:t>
      </w:r>
      <w:r w:rsidRPr="00710692">
        <w:rPr>
          <w:rFonts w:ascii="Verdana" w:hAnsi="Verdana"/>
          <w:sz w:val="22"/>
          <w:szCs w:val="22"/>
        </w:rPr>
        <w:t xml:space="preserve"> cuente con la descripción y estructura de costos de referencia.</w:t>
      </w:r>
    </w:p>
    <w:p w14:paraId="3AFA3A4B" w14:textId="707259A6" w:rsidR="00710692" w:rsidRPr="00D9123E" w:rsidRDefault="00710692" w:rsidP="00D9123E">
      <w:pPr>
        <w:pStyle w:val="Prrafodelista"/>
        <w:numPr>
          <w:ilvl w:val="0"/>
          <w:numId w:val="7"/>
        </w:numPr>
        <w:spacing w:after="0"/>
        <w:textAlignment w:val="baseline"/>
        <w:rPr>
          <w:rFonts w:ascii="Verdana" w:hAnsi="Verdana"/>
          <w:sz w:val="22"/>
          <w:szCs w:val="22"/>
        </w:rPr>
      </w:pPr>
      <w:proofErr w:type="gramStart"/>
      <w:r w:rsidRPr="00710692">
        <w:rPr>
          <w:rFonts w:ascii="Verdana" w:hAnsi="Verdana"/>
          <w:sz w:val="22"/>
          <w:szCs w:val="22"/>
        </w:rPr>
        <w:t>Que</w:t>
      </w:r>
      <w:proofErr w:type="gramEnd"/>
      <w:r w:rsidRPr="00710692">
        <w:rPr>
          <w:rFonts w:ascii="Verdana" w:hAnsi="Verdana"/>
          <w:sz w:val="22"/>
          <w:szCs w:val="22"/>
        </w:rPr>
        <w:t xml:space="preserve"> de acuerdo con lo anterior, la modificación consiste en reducir el tiempo de operación del servicio de Tejiendo Interculturalidad e incluir la descripción y estructura de costos de referencia contenida en el </w:t>
      </w:r>
      <w:r w:rsidRPr="00C74FD6">
        <w:rPr>
          <w:rFonts w:ascii="Verdana" w:hAnsi="Verdana"/>
          <w:b/>
          <w:bCs/>
          <w:sz w:val="22"/>
          <w:szCs w:val="22"/>
        </w:rPr>
        <w:t>Anexo No. 08</w:t>
      </w:r>
      <w:r w:rsidRPr="00710692">
        <w:rPr>
          <w:rFonts w:ascii="Verdana" w:hAnsi="Verdana"/>
          <w:sz w:val="22"/>
          <w:szCs w:val="22"/>
        </w:rPr>
        <w:t xml:space="preserve"> denominado </w:t>
      </w:r>
      <w:r w:rsidRPr="00C74FD6">
        <w:rPr>
          <w:rFonts w:ascii="Verdana" w:hAnsi="Verdana"/>
          <w:b/>
          <w:bCs/>
          <w:sz w:val="22"/>
          <w:szCs w:val="22"/>
        </w:rPr>
        <w:t>“COSTOS DE REFERENCIA” de la “MODALIDAD DE ACOMPAÑAMIENTO INTERCULTURAL (ÉTNICA CAMPESINA) - TEJIENDO INTERCULTURALIDAD”,</w:t>
      </w:r>
      <w:r w:rsidRPr="00710692">
        <w:rPr>
          <w:rFonts w:ascii="Verdana" w:hAnsi="Verdana"/>
          <w:sz w:val="22"/>
          <w:szCs w:val="22"/>
        </w:rPr>
        <w:t xml:space="preserve"> la cual hará parte integral de la ficha </w:t>
      </w:r>
      <w:r w:rsidRPr="00C74FD6">
        <w:rPr>
          <w:rFonts w:ascii="Verdana" w:hAnsi="Verdana"/>
          <w:b/>
          <w:bCs/>
          <w:sz w:val="22"/>
          <w:szCs w:val="22"/>
        </w:rPr>
        <w:t>“FICHA I-22-144-MODALIDADES DE ACOMPAÑAMIENTO INTERCULTURAL – MAI”.</w:t>
      </w:r>
    </w:p>
    <w:p w14:paraId="56870E0B" w14:textId="2195B2E9" w:rsidR="00710692" w:rsidRDefault="00710692" w:rsidP="00D9123E">
      <w:pPr>
        <w:pStyle w:val="Prrafodelista"/>
        <w:numPr>
          <w:ilvl w:val="0"/>
          <w:numId w:val="7"/>
        </w:numPr>
        <w:spacing w:after="0"/>
        <w:textAlignment w:val="baseline"/>
        <w:rPr>
          <w:rFonts w:ascii="Verdana" w:hAnsi="Verdana"/>
          <w:sz w:val="22"/>
          <w:szCs w:val="22"/>
        </w:rPr>
      </w:pPr>
      <w:proofErr w:type="gramStart"/>
      <w:r w:rsidRPr="00710692">
        <w:rPr>
          <w:rFonts w:ascii="Verdana" w:hAnsi="Verdana"/>
          <w:sz w:val="22"/>
          <w:szCs w:val="22"/>
        </w:rPr>
        <w:t>Que</w:t>
      </w:r>
      <w:proofErr w:type="gramEnd"/>
      <w:r w:rsidRPr="00710692">
        <w:rPr>
          <w:rFonts w:ascii="Verdana" w:hAnsi="Verdana"/>
          <w:sz w:val="22"/>
          <w:szCs w:val="22"/>
        </w:rPr>
        <w:t xml:space="preserve"> en virtud de lo anterior, se requiere modificar el artículo 1 de la Resolución 0130 del 19 de enero de 2024 en virtud del cual se adoptaron los Lineamientos de Programación y Ejecución de Metas Sociales y Financieras para la vigencia 2024, para reemplazar en su totalidad la siguiente ficha:</w:t>
      </w:r>
    </w:p>
    <w:tbl>
      <w:tblPr>
        <w:tblStyle w:val="Tablaconcuadrcula"/>
        <w:tblW w:w="0" w:type="auto"/>
        <w:tblInd w:w="360" w:type="dxa"/>
        <w:tblLook w:val="04A0" w:firstRow="1" w:lastRow="0" w:firstColumn="1" w:lastColumn="0" w:noHBand="0" w:noVBand="1"/>
      </w:tblPr>
      <w:tblGrid>
        <w:gridCol w:w="8468"/>
      </w:tblGrid>
      <w:tr w:rsidR="00C74FD6" w14:paraId="592F99BF" w14:textId="77777777" w:rsidTr="00C74FD6">
        <w:tc>
          <w:tcPr>
            <w:tcW w:w="8828" w:type="dxa"/>
          </w:tcPr>
          <w:p w14:paraId="02999682" w14:textId="2332A881" w:rsidR="00C74FD6" w:rsidRPr="00C74FD6" w:rsidRDefault="00C74FD6" w:rsidP="00C74FD6">
            <w:pPr>
              <w:jc w:val="center"/>
              <w:textAlignment w:val="baseline"/>
              <w:rPr>
                <w:rFonts w:ascii="Verdana" w:hAnsi="Verdana"/>
                <w:b/>
                <w:bCs/>
                <w:sz w:val="22"/>
                <w:szCs w:val="22"/>
              </w:rPr>
            </w:pPr>
            <w:r w:rsidRPr="00C74FD6">
              <w:rPr>
                <w:rFonts w:ascii="Verdana" w:hAnsi="Verdana"/>
                <w:b/>
                <w:bCs/>
                <w:sz w:val="22"/>
                <w:szCs w:val="22"/>
              </w:rPr>
              <w:t>NOMBRE</w:t>
            </w:r>
          </w:p>
        </w:tc>
      </w:tr>
      <w:tr w:rsidR="00C74FD6" w14:paraId="71797ADD" w14:textId="77777777" w:rsidTr="00C74FD6">
        <w:tc>
          <w:tcPr>
            <w:tcW w:w="8828" w:type="dxa"/>
          </w:tcPr>
          <w:p w14:paraId="122A07CA" w14:textId="0BAA5EE2" w:rsidR="00C74FD6" w:rsidRPr="00C74FD6" w:rsidRDefault="00C74FD6" w:rsidP="00C74FD6">
            <w:pPr>
              <w:jc w:val="center"/>
              <w:textAlignment w:val="baseline"/>
              <w:rPr>
                <w:rFonts w:ascii="Verdana" w:hAnsi="Verdana"/>
                <w:b/>
                <w:bCs/>
                <w:sz w:val="22"/>
                <w:szCs w:val="22"/>
              </w:rPr>
            </w:pPr>
            <w:r w:rsidRPr="00C74FD6">
              <w:rPr>
                <w:rFonts w:ascii="Verdana" w:hAnsi="Verdana"/>
                <w:b/>
                <w:bCs/>
                <w:sz w:val="22"/>
                <w:szCs w:val="22"/>
              </w:rPr>
              <w:t>“I-22-144-MODALIDADES DE ACOMPAÑAMIENTO INTERCULTURAL - MAI”</w:t>
            </w:r>
          </w:p>
        </w:tc>
      </w:tr>
    </w:tbl>
    <w:p w14:paraId="29A7DDF4" w14:textId="6D14A108" w:rsidR="00710692" w:rsidRPr="00E802F1" w:rsidRDefault="00710692" w:rsidP="00C74FD6">
      <w:pPr>
        <w:spacing w:after="0"/>
        <w:jc w:val="center"/>
        <w:textAlignment w:val="baseline"/>
        <w:rPr>
          <w:rFonts w:ascii="Verdana" w:hAnsi="Verdana"/>
          <w:sz w:val="14"/>
          <w:szCs w:val="14"/>
        </w:rPr>
      </w:pPr>
      <w:r w:rsidRPr="00E802F1">
        <w:rPr>
          <w:rFonts w:ascii="Verdana" w:hAnsi="Verdana"/>
          <w:b/>
          <w:bCs/>
          <w:sz w:val="14"/>
          <w:szCs w:val="14"/>
        </w:rPr>
        <w:t>Fuente:</w:t>
      </w:r>
      <w:r w:rsidRPr="00E802F1">
        <w:rPr>
          <w:rFonts w:ascii="Verdana" w:hAnsi="Verdana"/>
          <w:sz w:val="14"/>
          <w:szCs w:val="14"/>
        </w:rPr>
        <w:t xml:space="preserve"> ICBF, Elaboración Propia Dirección de Planeación y Control de Gestión de conformidad con las solicitudes allegadas por las Direcciones misionales a la Subdirección de Programación.</w:t>
      </w:r>
    </w:p>
    <w:p w14:paraId="263F3C56" w14:textId="27FAA4B8" w:rsidR="00710692" w:rsidRPr="00710692" w:rsidRDefault="00710692" w:rsidP="00710692">
      <w:pPr>
        <w:pStyle w:val="Prrafodelista"/>
        <w:numPr>
          <w:ilvl w:val="0"/>
          <w:numId w:val="7"/>
        </w:numPr>
        <w:spacing w:after="0"/>
        <w:textAlignment w:val="baseline"/>
        <w:rPr>
          <w:rFonts w:ascii="Verdana" w:hAnsi="Verdana"/>
          <w:sz w:val="22"/>
          <w:szCs w:val="22"/>
        </w:rPr>
      </w:pPr>
      <w:r w:rsidRPr="00710692">
        <w:rPr>
          <w:rFonts w:ascii="Verdana" w:hAnsi="Verdana"/>
          <w:sz w:val="22"/>
          <w:szCs w:val="22"/>
        </w:rPr>
        <w:t>En mérito de lo expuesto,</w:t>
      </w:r>
    </w:p>
    <w:p w14:paraId="4D19E32B" w14:textId="20FD0897" w:rsidR="00DB3505" w:rsidRPr="00710692" w:rsidRDefault="00DB3505" w:rsidP="00710692">
      <w:pPr>
        <w:spacing w:after="0"/>
        <w:ind w:left="360"/>
        <w:jc w:val="center"/>
        <w:textAlignment w:val="baseline"/>
        <w:rPr>
          <w:rFonts w:ascii="Verdana" w:hAnsi="Verdana"/>
          <w:sz w:val="22"/>
          <w:szCs w:val="22"/>
        </w:rPr>
      </w:pPr>
      <w:r w:rsidRPr="00710692">
        <w:rPr>
          <w:rFonts w:ascii="Verdana" w:hAnsi="Verdana"/>
          <w:b/>
          <w:bCs/>
          <w:sz w:val="22"/>
          <w:szCs w:val="22"/>
        </w:rPr>
        <w:t>RESUELVE:</w:t>
      </w:r>
    </w:p>
    <w:p w14:paraId="1D0E9ABE" w14:textId="77777777" w:rsidR="008A435C" w:rsidRDefault="00DB3505" w:rsidP="008A435C">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008A435C" w:rsidRPr="008A435C">
        <w:rPr>
          <w:rFonts w:ascii="Verdana" w:hAnsi="Verdana"/>
          <w:sz w:val="22"/>
          <w:szCs w:val="22"/>
        </w:rPr>
        <w:t>MODIFICAR el artículo 1 de la Resolución 0130 del 19 de enero de 2024, en el sentido de reemplazar en su totalidad la siguiente ficha:</w:t>
      </w:r>
    </w:p>
    <w:tbl>
      <w:tblPr>
        <w:tblStyle w:val="Tablaconcuadrcula"/>
        <w:tblW w:w="0" w:type="auto"/>
        <w:tblLook w:val="04A0" w:firstRow="1" w:lastRow="0" w:firstColumn="1" w:lastColumn="0" w:noHBand="0" w:noVBand="1"/>
      </w:tblPr>
      <w:tblGrid>
        <w:gridCol w:w="8828"/>
      </w:tblGrid>
      <w:tr w:rsidR="00E802F1" w14:paraId="0410722A" w14:textId="77777777" w:rsidTr="00E802F1">
        <w:tc>
          <w:tcPr>
            <w:tcW w:w="8828" w:type="dxa"/>
          </w:tcPr>
          <w:p w14:paraId="59F41682" w14:textId="24C8DF08" w:rsidR="00E802F1" w:rsidRPr="00514767" w:rsidRDefault="00E802F1" w:rsidP="00514767">
            <w:pPr>
              <w:jc w:val="center"/>
              <w:rPr>
                <w:rFonts w:ascii="Verdana" w:hAnsi="Verdana"/>
                <w:b/>
                <w:bCs/>
                <w:sz w:val="22"/>
                <w:szCs w:val="22"/>
              </w:rPr>
            </w:pPr>
            <w:r w:rsidRPr="00514767">
              <w:rPr>
                <w:rFonts w:ascii="Verdana" w:hAnsi="Verdana"/>
                <w:b/>
                <w:bCs/>
                <w:sz w:val="22"/>
                <w:szCs w:val="22"/>
              </w:rPr>
              <w:t>NOMBRE</w:t>
            </w:r>
          </w:p>
        </w:tc>
      </w:tr>
      <w:tr w:rsidR="00E802F1" w14:paraId="26CDFAD9" w14:textId="77777777" w:rsidTr="00E802F1">
        <w:tc>
          <w:tcPr>
            <w:tcW w:w="8828" w:type="dxa"/>
          </w:tcPr>
          <w:p w14:paraId="05F86F2E" w14:textId="37ADF6F5" w:rsidR="00E802F1" w:rsidRPr="00514767" w:rsidRDefault="00E802F1" w:rsidP="00514767">
            <w:pPr>
              <w:jc w:val="center"/>
              <w:rPr>
                <w:rFonts w:ascii="Verdana" w:hAnsi="Verdana"/>
                <w:b/>
                <w:bCs/>
                <w:sz w:val="22"/>
                <w:szCs w:val="22"/>
              </w:rPr>
            </w:pPr>
            <w:r w:rsidRPr="00514767">
              <w:rPr>
                <w:rFonts w:ascii="Verdana" w:hAnsi="Verdana"/>
                <w:b/>
                <w:bCs/>
                <w:sz w:val="22"/>
                <w:szCs w:val="22"/>
              </w:rPr>
              <w:t>“I-22-144-MODALIDADES DE ACOMPAÑAMIENTO INTERCULTURAL - MAI” y sus correspondientes anexos.</w:t>
            </w:r>
          </w:p>
        </w:tc>
      </w:tr>
    </w:tbl>
    <w:p w14:paraId="534B08D3" w14:textId="6A67526E" w:rsidR="007A7245" w:rsidRPr="00E802F1" w:rsidRDefault="00E802F1" w:rsidP="00E802F1">
      <w:pPr>
        <w:jc w:val="center"/>
        <w:rPr>
          <w:rFonts w:ascii="Verdana" w:hAnsi="Verdana"/>
          <w:sz w:val="14"/>
          <w:szCs w:val="14"/>
        </w:rPr>
      </w:pPr>
      <w:r w:rsidRPr="00E802F1">
        <w:rPr>
          <w:rFonts w:ascii="Verdana" w:hAnsi="Verdana"/>
          <w:b/>
          <w:bCs/>
          <w:sz w:val="14"/>
          <w:szCs w:val="14"/>
        </w:rPr>
        <w:t>Fuente:</w:t>
      </w:r>
      <w:r w:rsidRPr="00E802F1">
        <w:rPr>
          <w:rFonts w:ascii="Verdana" w:hAnsi="Verdana"/>
          <w:sz w:val="14"/>
          <w:szCs w:val="14"/>
        </w:rPr>
        <w:t xml:space="preserve"> ICBF, Elaboración Propia Dirección de Planeación y Control de Gestión de conformidad con las solicitudes allegadas por las Direcciones misionales a la Subdirección de Programación.</w:t>
      </w:r>
    </w:p>
    <w:p w14:paraId="2B09E5D1" w14:textId="6CDB2C26" w:rsidR="00194767" w:rsidRDefault="00DB3505" w:rsidP="00E156F3">
      <w:pPr>
        <w:rPr>
          <w:rFonts w:ascii="Verdana" w:hAnsi="Verdana"/>
          <w:sz w:val="22"/>
          <w:szCs w:val="22"/>
        </w:rPr>
      </w:pPr>
      <w:r w:rsidRPr="00DB3505">
        <w:rPr>
          <w:rFonts w:ascii="Verdana" w:hAnsi="Verdana"/>
          <w:b/>
          <w:bCs/>
          <w:sz w:val="22"/>
          <w:szCs w:val="22"/>
        </w:rPr>
        <w:t>ARTÍCULO 2o.</w:t>
      </w:r>
      <w:bookmarkEnd w:id="1"/>
      <w:r w:rsidRPr="00DB3505">
        <w:rPr>
          <w:rFonts w:ascii="Verdana" w:hAnsi="Verdana"/>
          <w:sz w:val="22"/>
          <w:szCs w:val="22"/>
        </w:rPr>
        <w:t> </w:t>
      </w:r>
      <w:bookmarkStart w:id="2" w:name="3"/>
      <w:r w:rsidR="008A435C" w:rsidRPr="008A435C">
        <w:rPr>
          <w:rFonts w:ascii="Verdana" w:hAnsi="Verdana"/>
          <w:sz w:val="22"/>
          <w:szCs w:val="22"/>
        </w:rPr>
        <w:t>VIGENCIAS. La presente resolución rige a partir de la fecha de su expedición. Las demás disposiciones contenidas en la Resolución 0130 del 19 de enero de 2024 que no fueron objeto de la presente modificación se mantienen en su integridad.</w:t>
      </w:r>
    </w:p>
    <w:bookmarkEnd w:id="2"/>
    <w:p w14:paraId="6F2189C5" w14:textId="41DC01AA" w:rsidR="00DB3505" w:rsidRPr="00DB3505" w:rsidRDefault="00DE103B" w:rsidP="007A7245">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022B50A2"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a los</w:t>
      </w:r>
      <w:r w:rsidR="004965D9">
        <w:rPr>
          <w:rFonts w:ascii="Verdana" w:hAnsi="Verdana"/>
          <w:sz w:val="22"/>
          <w:szCs w:val="22"/>
        </w:rPr>
        <w:t xml:space="preserve"> </w:t>
      </w:r>
      <w:r w:rsidR="00514767">
        <w:rPr>
          <w:rFonts w:ascii="Verdana" w:hAnsi="Verdana"/>
          <w:sz w:val="22"/>
          <w:szCs w:val="22"/>
        </w:rPr>
        <w:t>7</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4965D9">
        <w:rPr>
          <w:rFonts w:ascii="Verdana" w:hAnsi="Verdana"/>
          <w:sz w:val="22"/>
          <w:szCs w:val="22"/>
        </w:rPr>
        <w:t>junio</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1ECFFF6B" w14:textId="25143EAF" w:rsidR="00A724C4"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 xml:space="preserve">GENERAL </w:t>
      </w:r>
    </w:p>
    <w:sectPr w:rsidR="00A724C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3277" w14:textId="77777777" w:rsidR="001D3FE9" w:rsidRDefault="001D3FE9" w:rsidP="00251F6B">
      <w:pPr>
        <w:spacing w:after="0"/>
      </w:pPr>
      <w:r>
        <w:separator/>
      </w:r>
    </w:p>
  </w:endnote>
  <w:endnote w:type="continuationSeparator" w:id="0">
    <w:p w14:paraId="56637A51" w14:textId="77777777" w:rsidR="001D3FE9" w:rsidRDefault="001D3FE9"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A6C2" w14:textId="77777777" w:rsidR="001D3FE9" w:rsidRDefault="001D3FE9" w:rsidP="00251F6B">
      <w:pPr>
        <w:spacing w:after="0"/>
      </w:pPr>
      <w:r>
        <w:separator/>
      </w:r>
    </w:p>
  </w:footnote>
  <w:footnote w:type="continuationSeparator" w:id="0">
    <w:p w14:paraId="24EAA8B9" w14:textId="77777777" w:rsidR="001D3FE9" w:rsidRDefault="001D3FE9"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7"/>
  </w:num>
  <w:num w:numId="2" w16cid:durableId="707920155">
    <w:abstractNumId w:val="1"/>
  </w:num>
  <w:num w:numId="3" w16cid:durableId="1520006266">
    <w:abstractNumId w:val="3"/>
  </w:num>
  <w:num w:numId="4" w16cid:durableId="1994868198">
    <w:abstractNumId w:val="8"/>
  </w:num>
  <w:num w:numId="5" w16cid:durableId="101999986">
    <w:abstractNumId w:val="5"/>
  </w:num>
  <w:num w:numId="6" w16cid:durableId="1180050603">
    <w:abstractNumId w:val="4"/>
  </w:num>
  <w:num w:numId="7" w16cid:durableId="2102679533">
    <w:abstractNumId w:val="6"/>
  </w:num>
  <w:num w:numId="8" w16cid:durableId="2029526057">
    <w:abstractNumId w:val="12"/>
  </w:num>
  <w:num w:numId="9" w16cid:durableId="237833594">
    <w:abstractNumId w:val="9"/>
  </w:num>
  <w:num w:numId="10" w16cid:durableId="826289728">
    <w:abstractNumId w:val="0"/>
  </w:num>
  <w:num w:numId="11" w16cid:durableId="1064647544">
    <w:abstractNumId w:val="2"/>
  </w:num>
  <w:num w:numId="12" w16cid:durableId="1536431731">
    <w:abstractNumId w:val="11"/>
  </w:num>
  <w:num w:numId="13" w16cid:durableId="1993632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222F7"/>
    <w:rsid w:val="00036A57"/>
    <w:rsid w:val="00043942"/>
    <w:rsid w:val="0004737F"/>
    <w:rsid w:val="00047C8F"/>
    <w:rsid w:val="0005221E"/>
    <w:rsid w:val="0005541A"/>
    <w:rsid w:val="00085FC6"/>
    <w:rsid w:val="00094CC7"/>
    <w:rsid w:val="000A3044"/>
    <w:rsid w:val="000B4CB6"/>
    <w:rsid w:val="000C3F9A"/>
    <w:rsid w:val="000D0BEE"/>
    <w:rsid w:val="000D6943"/>
    <w:rsid w:val="000F567A"/>
    <w:rsid w:val="001250E7"/>
    <w:rsid w:val="00125E68"/>
    <w:rsid w:val="00143A2C"/>
    <w:rsid w:val="0014658E"/>
    <w:rsid w:val="001502B8"/>
    <w:rsid w:val="001777A2"/>
    <w:rsid w:val="00183F91"/>
    <w:rsid w:val="00194767"/>
    <w:rsid w:val="001A0A07"/>
    <w:rsid w:val="001A1F51"/>
    <w:rsid w:val="001B3B8D"/>
    <w:rsid w:val="001C78E7"/>
    <w:rsid w:val="001D35CF"/>
    <w:rsid w:val="001D3FE9"/>
    <w:rsid w:val="0020475F"/>
    <w:rsid w:val="00212507"/>
    <w:rsid w:val="0022609A"/>
    <w:rsid w:val="002333E6"/>
    <w:rsid w:val="00243CB4"/>
    <w:rsid w:val="00251F6B"/>
    <w:rsid w:val="002806F2"/>
    <w:rsid w:val="00280EDF"/>
    <w:rsid w:val="002B259D"/>
    <w:rsid w:val="002C12E4"/>
    <w:rsid w:val="002C3CA2"/>
    <w:rsid w:val="002C5CC7"/>
    <w:rsid w:val="002C672A"/>
    <w:rsid w:val="002D1558"/>
    <w:rsid w:val="002D6280"/>
    <w:rsid w:val="002E3867"/>
    <w:rsid w:val="002E7C8D"/>
    <w:rsid w:val="00305F2C"/>
    <w:rsid w:val="003468CE"/>
    <w:rsid w:val="00346F3A"/>
    <w:rsid w:val="00357E58"/>
    <w:rsid w:val="0036507E"/>
    <w:rsid w:val="00372A15"/>
    <w:rsid w:val="003773AA"/>
    <w:rsid w:val="00377856"/>
    <w:rsid w:val="003824C5"/>
    <w:rsid w:val="003875D7"/>
    <w:rsid w:val="003927C0"/>
    <w:rsid w:val="003A147B"/>
    <w:rsid w:val="003A5EDC"/>
    <w:rsid w:val="003B6C26"/>
    <w:rsid w:val="003C3330"/>
    <w:rsid w:val="003D2F74"/>
    <w:rsid w:val="003E2150"/>
    <w:rsid w:val="003F6172"/>
    <w:rsid w:val="0040689A"/>
    <w:rsid w:val="00421DDD"/>
    <w:rsid w:val="004600F2"/>
    <w:rsid w:val="00464196"/>
    <w:rsid w:val="0046582E"/>
    <w:rsid w:val="0047169E"/>
    <w:rsid w:val="0049060D"/>
    <w:rsid w:val="004965D9"/>
    <w:rsid w:val="004B495B"/>
    <w:rsid w:val="004D2937"/>
    <w:rsid w:val="004E79F7"/>
    <w:rsid w:val="004F1F6B"/>
    <w:rsid w:val="004F29E3"/>
    <w:rsid w:val="005041B1"/>
    <w:rsid w:val="00514767"/>
    <w:rsid w:val="00534960"/>
    <w:rsid w:val="005404BD"/>
    <w:rsid w:val="00543054"/>
    <w:rsid w:val="00553090"/>
    <w:rsid w:val="00571511"/>
    <w:rsid w:val="005A2590"/>
    <w:rsid w:val="005C02A7"/>
    <w:rsid w:val="005C1D40"/>
    <w:rsid w:val="005C7A00"/>
    <w:rsid w:val="005D5138"/>
    <w:rsid w:val="006053FC"/>
    <w:rsid w:val="00620E21"/>
    <w:rsid w:val="00626E74"/>
    <w:rsid w:val="00644670"/>
    <w:rsid w:val="0064600F"/>
    <w:rsid w:val="00657673"/>
    <w:rsid w:val="0067686D"/>
    <w:rsid w:val="00677306"/>
    <w:rsid w:val="00680D84"/>
    <w:rsid w:val="0068226F"/>
    <w:rsid w:val="006860F2"/>
    <w:rsid w:val="00692A8A"/>
    <w:rsid w:val="00692A92"/>
    <w:rsid w:val="00693221"/>
    <w:rsid w:val="006976BF"/>
    <w:rsid w:val="006A1FBF"/>
    <w:rsid w:val="006A45F2"/>
    <w:rsid w:val="006B545B"/>
    <w:rsid w:val="006B7EFC"/>
    <w:rsid w:val="006C104F"/>
    <w:rsid w:val="006C2C20"/>
    <w:rsid w:val="006C543E"/>
    <w:rsid w:val="006D1939"/>
    <w:rsid w:val="006D42FA"/>
    <w:rsid w:val="006D5ECF"/>
    <w:rsid w:val="006E16E1"/>
    <w:rsid w:val="006F6902"/>
    <w:rsid w:val="00700905"/>
    <w:rsid w:val="0070634D"/>
    <w:rsid w:val="00710692"/>
    <w:rsid w:val="007136E8"/>
    <w:rsid w:val="007171D3"/>
    <w:rsid w:val="00723AE3"/>
    <w:rsid w:val="007417F4"/>
    <w:rsid w:val="007504D1"/>
    <w:rsid w:val="007637F1"/>
    <w:rsid w:val="00765F4C"/>
    <w:rsid w:val="007871FD"/>
    <w:rsid w:val="007A7245"/>
    <w:rsid w:val="007B4741"/>
    <w:rsid w:val="007C0628"/>
    <w:rsid w:val="007C16F4"/>
    <w:rsid w:val="007C63E7"/>
    <w:rsid w:val="007D4E9B"/>
    <w:rsid w:val="007E0C98"/>
    <w:rsid w:val="007E727D"/>
    <w:rsid w:val="0083116C"/>
    <w:rsid w:val="0083332F"/>
    <w:rsid w:val="00833ACF"/>
    <w:rsid w:val="0083436E"/>
    <w:rsid w:val="00836C34"/>
    <w:rsid w:val="008410BC"/>
    <w:rsid w:val="00863A26"/>
    <w:rsid w:val="00871E0C"/>
    <w:rsid w:val="00877266"/>
    <w:rsid w:val="008A435C"/>
    <w:rsid w:val="008D18D4"/>
    <w:rsid w:val="008D4B05"/>
    <w:rsid w:val="008E292B"/>
    <w:rsid w:val="009138DA"/>
    <w:rsid w:val="00933C0C"/>
    <w:rsid w:val="00942A54"/>
    <w:rsid w:val="009513A7"/>
    <w:rsid w:val="00964FFA"/>
    <w:rsid w:val="0098549C"/>
    <w:rsid w:val="009865E9"/>
    <w:rsid w:val="00987325"/>
    <w:rsid w:val="00991E3D"/>
    <w:rsid w:val="00996F5A"/>
    <w:rsid w:val="009B2D5D"/>
    <w:rsid w:val="009B324D"/>
    <w:rsid w:val="009B3A01"/>
    <w:rsid w:val="009B3ED8"/>
    <w:rsid w:val="009B403E"/>
    <w:rsid w:val="009B65B7"/>
    <w:rsid w:val="009C1748"/>
    <w:rsid w:val="009C4B7C"/>
    <w:rsid w:val="009E02DF"/>
    <w:rsid w:val="009E0399"/>
    <w:rsid w:val="009E6ECC"/>
    <w:rsid w:val="009F6A39"/>
    <w:rsid w:val="00A063FF"/>
    <w:rsid w:val="00A071B1"/>
    <w:rsid w:val="00A14EC4"/>
    <w:rsid w:val="00A47455"/>
    <w:rsid w:val="00A51A14"/>
    <w:rsid w:val="00A724C4"/>
    <w:rsid w:val="00A9582E"/>
    <w:rsid w:val="00A9702F"/>
    <w:rsid w:val="00A97813"/>
    <w:rsid w:val="00A97A1B"/>
    <w:rsid w:val="00AA16D9"/>
    <w:rsid w:val="00AA427E"/>
    <w:rsid w:val="00AD38C3"/>
    <w:rsid w:val="00AD4A99"/>
    <w:rsid w:val="00AE12C5"/>
    <w:rsid w:val="00AE513F"/>
    <w:rsid w:val="00AF4327"/>
    <w:rsid w:val="00AF44A3"/>
    <w:rsid w:val="00AF4EF6"/>
    <w:rsid w:val="00B019EC"/>
    <w:rsid w:val="00B24E8E"/>
    <w:rsid w:val="00B31145"/>
    <w:rsid w:val="00B54788"/>
    <w:rsid w:val="00B64762"/>
    <w:rsid w:val="00B75E38"/>
    <w:rsid w:val="00B760A4"/>
    <w:rsid w:val="00B82553"/>
    <w:rsid w:val="00B87F74"/>
    <w:rsid w:val="00BA17B0"/>
    <w:rsid w:val="00BA6A0C"/>
    <w:rsid w:val="00BC10E6"/>
    <w:rsid w:val="00BD55E6"/>
    <w:rsid w:val="00BD717B"/>
    <w:rsid w:val="00BE115D"/>
    <w:rsid w:val="00C07D73"/>
    <w:rsid w:val="00C07F46"/>
    <w:rsid w:val="00C12114"/>
    <w:rsid w:val="00C24066"/>
    <w:rsid w:val="00C2424F"/>
    <w:rsid w:val="00C26A2A"/>
    <w:rsid w:val="00C37698"/>
    <w:rsid w:val="00C4037E"/>
    <w:rsid w:val="00C5648C"/>
    <w:rsid w:val="00C56CEF"/>
    <w:rsid w:val="00C74FD6"/>
    <w:rsid w:val="00C91445"/>
    <w:rsid w:val="00CA3A9F"/>
    <w:rsid w:val="00CA78A1"/>
    <w:rsid w:val="00CC1628"/>
    <w:rsid w:val="00D0270B"/>
    <w:rsid w:val="00D14EBB"/>
    <w:rsid w:val="00D35493"/>
    <w:rsid w:val="00D5214B"/>
    <w:rsid w:val="00D635BC"/>
    <w:rsid w:val="00D84A62"/>
    <w:rsid w:val="00D902B0"/>
    <w:rsid w:val="00D9123E"/>
    <w:rsid w:val="00DA586D"/>
    <w:rsid w:val="00DB2214"/>
    <w:rsid w:val="00DB3505"/>
    <w:rsid w:val="00DB41D7"/>
    <w:rsid w:val="00DC6652"/>
    <w:rsid w:val="00DC6B48"/>
    <w:rsid w:val="00DE103B"/>
    <w:rsid w:val="00DE63C8"/>
    <w:rsid w:val="00DF1B4B"/>
    <w:rsid w:val="00E07225"/>
    <w:rsid w:val="00E156F3"/>
    <w:rsid w:val="00E45DA5"/>
    <w:rsid w:val="00E4659F"/>
    <w:rsid w:val="00E76D4A"/>
    <w:rsid w:val="00E802F1"/>
    <w:rsid w:val="00E8504C"/>
    <w:rsid w:val="00E96AE6"/>
    <w:rsid w:val="00EA785D"/>
    <w:rsid w:val="00EB34F6"/>
    <w:rsid w:val="00EC53B9"/>
    <w:rsid w:val="00ED496F"/>
    <w:rsid w:val="00EE32E6"/>
    <w:rsid w:val="00F43995"/>
    <w:rsid w:val="00F44C1C"/>
    <w:rsid w:val="00F45621"/>
    <w:rsid w:val="00F473A0"/>
    <w:rsid w:val="00F770E5"/>
    <w:rsid w:val="00F83E5C"/>
    <w:rsid w:val="00F96ED6"/>
    <w:rsid w:val="00FA53D1"/>
    <w:rsid w:val="00FB09B8"/>
    <w:rsid w:val="00FB13D2"/>
    <w:rsid w:val="00FC2A30"/>
    <w:rsid w:val="00FC2FED"/>
    <w:rsid w:val="00FC3A5D"/>
    <w:rsid w:val="00FC5A9D"/>
    <w:rsid w:val="00FC5C59"/>
    <w:rsid w:val="00FC6259"/>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F538E47D-F610-4780-97AD-8D07F95A7955}"/>
</file>

<file path=customXml/itemProps3.xml><?xml version="1.0" encoding="utf-8"?>
<ds:datastoreItem xmlns:ds="http://schemas.openxmlformats.org/officeDocument/2006/customXml" ds:itemID="{DD17B66C-49DD-4D9D-8EFA-4A05507CA818}"/>
</file>

<file path=customXml/itemProps4.xml><?xml version="1.0" encoding="utf-8"?>
<ds:datastoreItem xmlns:ds="http://schemas.openxmlformats.org/officeDocument/2006/customXml" ds:itemID="{82681F30-7C91-426D-A38A-020CE4234BB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409</TotalTime>
  <Pages>3</Pages>
  <Words>1105</Words>
  <Characters>6082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227</cp:revision>
  <dcterms:created xsi:type="dcterms:W3CDTF">2026-03-03T16:25:00Z</dcterms:created>
  <dcterms:modified xsi:type="dcterms:W3CDTF">2026-03-23T03:53:00Z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