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A8D0" w14:textId="515E8FA7" w:rsidR="00E04191" w:rsidRPr="00DE103B" w:rsidRDefault="00E53C27" w:rsidP="00E04191">
      <w:pPr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B</w:t>
      </w:r>
      <w:r w:rsidR="00E04191" w:rsidRPr="00DB3505">
        <w:rPr>
          <w:rFonts w:ascii="Verdana" w:hAnsi="Verdana"/>
          <w:b/>
          <w:bCs/>
        </w:rPr>
        <w:t xml:space="preserve">RESOLUCIÓN </w:t>
      </w:r>
      <w:r w:rsidR="00E04191">
        <w:rPr>
          <w:rFonts w:ascii="Verdana" w:hAnsi="Verdana"/>
          <w:b/>
          <w:bCs/>
        </w:rPr>
        <w:t>2363</w:t>
      </w:r>
      <w:r w:rsidR="00E04191" w:rsidRPr="00DB3505">
        <w:rPr>
          <w:rFonts w:ascii="Verdana" w:hAnsi="Verdana"/>
          <w:b/>
          <w:bCs/>
        </w:rPr>
        <w:t xml:space="preserve"> DE 202</w:t>
      </w:r>
      <w:r w:rsidR="00E04191">
        <w:rPr>
          <w:rFonts w:ascii="Verdana" w:hAnsi="Verdana"/>
          <w:b/>
          <w:bCs/>
        </w:rPr>
        <w:t>6</w:t>
      </w:r>
    </w:p>
    <w:p w14:paraId="31C90995" w14:textId="72A01538" w:rsidR="00E04191" w:rsidRPr="00251F6B" w:rsidRDefault="00E04191" w:rsidP="00E04191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>
        <w:rPr>
          <w:rFonts w:ascii="Verdana" w:hAnsi="Verdana"/>
          <w:sz w:val="20"/>
          <w:szCs w:val="20"/>
        </w:rPr>
        <w:t xml:space="preserve">30 de abril </w:t>
      </w:r>
      <w:r w:rsidRPr="00251F6B">
        <w:rPr>
          <w:rFonts w:ascii="Verdana" w:hAnsi="Verdana"/>
          <w:sz w:val="20"/>
          <w:szCs w:val="20"/>
        </w:rPr>
        <w:t>de 20</w:t>
      </w:r>
      <w:r>
        <w:rPr>
          <w:rFonts w:ascii="Verdana" w:hAnsi="Verdana"/>
          <w:sz w:val="20"/>
          <w:szCs w:val="20"/>
        </w:rPr>
        <w:t>26</w:t>
      </w:r>
    </w:p>
    <w:p w14:paraId="088160B0" w14:textId="22CE713E" w:rsidR="00E04191" w:rsidRPr="00251F6B" w:rsidRDefault="00E04191" w:rsidP="00E04191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 xml:space="preserve">30 de abril </w:t>
      </w:r>
      <w:r w:rsidRPr="00251F6B">
        <w:rPr>
          <w:rFonts w:ascii="Verdana" w:hAnsi="Verdana"/>
          <w:sz w:val="20"/>
          <w:szCs w:val="20"/>
        </w:rPr>
        <w:t>de 20</w:t>
      </w:r>
      <w:r>
        <w:rPr>
          <w:rFonts w:ascii="Verdana" w:hAnsi="Verdana"/>
          <w:sz w:val="20"/>
          <w:szCs w:val="20"/>
        </w:rPr>
        <w:t>26</w:t>
      </w:r>
    </w:p>
    <w:p w14:paraId="66670552" w14:textId="77777777" w:rsidR="00E04191" w:rsidRDefault="00E04191" w:rsidP="00E04191">
      <w:pPr>
        <w:rPr>
          <w:rFonts w:ascii="Verdana" w:hAnsi="Verdana"/>
          <w:sz w:val="20"/>
          <w:szCs w:val="20"/>
        </w:rPr>
      </w:pPr>
      <w:r w:rsidRPr="03E22822">
        <w:rPr>
          <w:rFonts w:ascii="Verdana" w:hAnsi="Verdana"/>
          <w:sz w:val="20"/>
          <w:szCs w:val="20"/>
        </w:rPr>
        <w:t>Estado de la vigencia: Vigente</w:t>
      </w:r>
    </w:p>
    <w:p w14:paraId="1943FC46" w14:textId="77777777" w:rsidR="00E04191" w:rsidRDefault="00E04191" w:rsidP="00E04191">
      <w:pPr>
        <w:rPr>
          <w:rFonts w:ascii="Verdana" w:hAnsi="Verdana"/>
          <w:sz w:val="20"/>
          <w:szCs w:val="20"/>
        </w:rPr>
      </w:pPr>
    </w:p>
    <w:p w14:paraId="6031C8F8" w14:textId="77777777" w:rsidR="00E04191" w:rsidRPr="00251F6B" w:rsidRDefault="00E04191" w:rsidP="00E04191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>
        <w:rPr>
          <w:rFonts w:ascii="Verdana" w:hAnsi="Verdana"/>
          <w:sz w:val="20"/>
          <w:szCs w:val="20"/>
        </w:rPr>
        <w:t xml:space="preserve">N/A </w:t>
      </w:r>
    </w:p>
    <w:p w14:paraId="70F7AD21" w14:textId="77777777" w:rsidR="00E04191" w:rsidRPr="00251F6B" w:rsidRDefault="00E04191" w:rsidP="00E04191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>Número del Diario Oficial: N</w:t>
      </w:r>
      <w:r>
        <w:rPr>
          <w:rFonts w:ascii="Verdana" w:hAnsi="Verdana"/>
          <w:sz w:val="20"/>
          <w:szCs w:val="20"/>
        </w:rPr>
        <w:t>/A</w:t>
      </w:r>
    </w:p>
    <w:p w14:paraId="2F45DEF2" w14:textId="77777777" w:rsidR="00E04191" w:rsidRDefault="00E04191" w:rsidP="00E04191">
      <w:pPr>
        <w:jc w:val="center"/>
        <w:rPr>
          <w:rFonts w:ascii="Verdana" w:hAnsi="Verdana"/>
          <w:b/>
          <w:bCs/>
        </w:rPr>
      </w:pPr>
      <w:r w:rsidRPr="00DB3505">
        <w:rPr>
          <w:rFonts w:ascii="Verdana" w:hAnsi="Verdana"/>
          <w:b/>
          <w:bCs/>
        </w:rPr>
        <w:t xml:space="preserve">RESOLUCIÓN </w:t>
      </w:r>
      <w:r>
        <w:rPr>
          <w:rFonts w:ascii="Verdana" w:hAnsi="Verdana"/>
          <w:b/>
          <w:bCs/>
        </w:rPr>
        <w:t>2363</w:t>
      </w:r>
      <w:r w:rsidRPr="00DB3505">
        <w:rPr>
          <w:rFonts w:ascii="Verdana" w:hAnsi="Verdana"/>
          <w:b/>
          <w:bCs/>
        </w:rPr>
        <w:t xml:space="preserve"> DE 202</w:t>
      </w:r>
      <w:r>
        <w:rPr>
          <w:rFonts w:ascii="Verdana" w:hAnsi="Verdana"/>
          <w:b/>
          <w:bCs/>
        </w:rPr>
        <w:t>6</w:t>
      </w:r>
    </w:p>
    <w:p w14:paraId="1858F416" w14:textId="7A8A7BF2" w:rsidR="00E04191" w:rsidRPr="00E04191" w:rsidRDefault="00E04191" w:rsidP="00E04191">
      <w:pPr>
        <w:jc w:val="center"/>
        <w:rPr>
          <w:rFonts w:ascii="Verdana" w:hAnsi="Verdana"/>
        </w:rPr>
      </w:pPr>
      <w:r w:rsidRPr="00E04191">
        <w:rPr>
          <w:rFonts w:ascii="Verdana" w:hAnsi="Verdana"/>
        </w:rPr>
        <w:t>(30 de abril)</w:t>
      </w:r>
    </w:p>
    <w:p w14:paraId="3D4922BE" w14:textId="77777777" w:rsidR="00E04191" w:rsidRPr="00E04191" w:rsidRDefault="00E04191" w:rsidP="00E04191">
      <w:pPr>
        <w:spacing w:after="0"/>
        <w:jc w:val="both"/>
        <w:rPr>
          <w:rFonts w:ascii="Verdana" w:eastAsia="Times New Roman" w:hAnsi="Verdana" w:cs="Arial"/>
          <w:b/>
          <w:noProof/>
          <w:spacing w:val="-3"/>
          <w:lang w:eastAsia="es-CO"/>
        </w:rPr>
      </w:pPr>
    </w:p>
    <w:p w14:paraId="169783D0" w14:textId="77777777" w:rsidR="00E04191" w:rsidRDefault="00E04191" w:rsidP="00555067">
      <w:pPr>
        <w:spacing w:after="0"/>
        <w:jc w:val="center"/>
        <w:rPr>
          <w:rFonts w:ascii="Verdana" w:eastAsia="Times New Roman" w:hAnsi="Verdana" w:cs="Arial"/>
          <w:b/>
          <w:noProof/>
          <w:spacing w:val="-3"/>
          <w:lang w:val="es-CO" w:eastAsia="es-CO"/>
        </w:rPr>
      </w:pPr>
    </w:p>
    <w:p w14:paraId="4D9AB680" w14:textId="39C6B195" w:rsidR="00BF56FB" w:rsidRPr="00DA43DB" w:rsidRDefault="00BF56FB" w:rsidP="00555067">
      <w:pPr>
        <w:spacing w:after="0"/>
        <w:jc w:val="center"/>
        <w:rPr>
          <w:rFonts w:ascii="Verdana" w:eastAsia="Times New Roman" w:hAnsi="Verdana" w:cs="Arial"/>
          <w:b/>
          <w:noProof/>
          <w:spacing w:val="-3"/>
          <w:lang w:val="es-CO" w:eastAsia="es-CO"/>
        </w:rPr>
      </w:pPr>
      <w:r w:rsidRPr="00DA43DB">
        <w:rPr>
          <w:rFonts w:ascii="Verdana" w:eastAsia="Times New Roman" w:hAnsi="Verdana" w:cs="Arial"/>
          <w:b/>
          <w:noProof/>
          <w:spacing w:val="-3"/>
          <w:lang w:val="es-CO" w:eastAsia="es-CO"/>
        </w:rPr>
        <w:t>LA DIRECTORA GENERAL DEL INSTITUTO COLOMBIANO DE BIENESTAR FAMILIAR -</w:t>
      </w:r>
      <w:r w:rsidR="006E667D" w:rsidRPr="00DA43DB">
        <w:rPr>
          <w:rFonts w:ascii="Verdana" w:eastAsia="Times New Roman" w:hAnsi="Verdana" w:cs="Arial"/>
          <w:b/>
          <w:noProof/>
          <w:spacing w:val="-3"/>
          <w:lang w:val="es-CO" w:eastAsia="es-CO"/>
        </w:rPr>
        <w:t xml:space="preserve"> </w:t>
      </w:r>
      <w:r w:rsidRPr="00DA43DB">
        <w:rPr>
          <w:rFonts w:ascii="Verdana" w:eastAsia="Times New Roman" w:hAnsi="Verdana" w:cs="Arial"/>
          <w:b/>
          <w:noProof/>
          <w:spacing w:val="-3"/>
          <w:lang w:val="es-CO" w:eastAsia="es-CO"/>
        </w:rPr>
        <w:t>CECILIA DE LA FUENTE DE LLERAS</w:t>
      </w:r>
      <w:r w:rsidR="006E667D" w:rsidRPr="00DA43DB">
        <w:rPr>
          <w:rFonts w:ascii="Verdana" w:eastAsia="Times New Roman" w:hAnsi="Verdana" w:cs="Arial"/>
          <w:b/>
          <w:noProof/>
          <w:spacing w:val="-3"/>
          <w:lang w:val="es-CO" w:eastAsia="es-CO"/>
        </w:rPr>
        <w:t xml:space="preserve"> </w:t>
      </w:r>
      <w:r w:rsidRPr="00DA43DB">
        <w:rPr>
          <w:rFonts w:ascii="Verdana" w:eastAsia="Times New Roman" w:hAnsi="Verdana" w:cs="Arial"/>
          <w:b/>
          <w:noProof/>
          <w:spacing w:val="-3"/>
          <w:lang w:val="es-CO" w:eastAsia="es-CO"/>
        </w:rPr>
        <w:t>-</w:t>
      </w:r>
      <w:r w:rsidR="006E667D" w:rsidRPr="00DA43DB">
        <w:rPr>
          <w:rFonts w:ascii="Verdana" w:eastAsia="Times New Roman" w:hAnsi="Verdana" w:cs="Arial"/>
          <w:b/>
          <w:noProof/>
          <w:spacing w:val="-3"/>
          <w:lang w:val="es-CO" w:eastAsia="es-CO"/>
        </w:rPr>
        <w:t xml:space="preserve"> ICBF</w:t>
      </w:r>
    </w:p>
    <w:p w14:paraId="43582777" w14:textId="77777777" w:rsidR="00BF56FB" w:rsidRPr="00DA43DB" w:rsidRDefault="00BF56FB" w:rsidP="00BF56FB">
      <w:pPr>
        <w:spacing w:after="0"/>
        <w:rPr>
          <w:rFonts w:ascii="Verdana" w:eastAsia="Times New Roman" w:hAnsi="Verdana" w:cs="Arial"/>
          <w:lang w:eastAsia="es-ES"/>
        </w:rPr>
      </w:pPr>
    </w:p>
    <w:p w14:paraId="27EEC757" w14:textId="672CFF60" w:rsidR="00BF56FB" w:rsidRPr="00DA43DB" w:rsidRDefault="00BF56FB" w:rsidP="00BF56FB">
      <w:pPr>
        <w:spacing w:after="0"/>
        <w:jc w:val="center"/>
        <w:rPr>
          <w:rFonts w:ascii="Verdana" w:eastAsia="Times New Roman" w:hAnsi="Verdana" w:cs="Arial"/>
          <w:lang w:eastAsia="es-ES"/>
        </w:rPr>
      </w:pPr>
      <w:r w:rsidRPr="00DA43DB">
        <w:rPr>
          <w:rFonts w:ascii="Verdana" w:eastAsia="Times New Roman" w:hAnsi="Verdana" w:cs="Arial"/>
          <w:lang w:eastAsia="es-ES"/>
        </w:rPr>
        <w:t xml:space="preserve">En uso de sus facultades legales y estatutarias y en especial de las conferidas </w:t>
      </w:r>
      <w:r w:rsidR="009D16FB" w:rsidRPr="00DA43DB">
        <w:rPr>
          <w:rFonts w:ascii="Verdana" w:eastAsia="Times New Roman" w:hAnsi="Verdana" w:cs="Arial"/>
          <w:lang w:eastAsia="es-ES"/>
        </w:rPr>
        <w:t>por</w:t>
      </w:r>
      <w:r w:rsidRPr="00DA43DB">
        <w:rPr>
          <w:rFonts w:ascii="Verdana" w:eastAsia="Times New Roman" w:hAnsi="Verdana" w:cs="Arial"/>
          <w:lang w:eastAsia="es-ES"/>
        </w:rPr>
        <w:t xml:space="preserve"> el artículo 78 de la Ley 489 de 1998, el literal b) del artículo 28 </w:t>
      </w:r>
      <w:r w:rsidRPr="00DA43DB">
        <w:rPr>
          <w:rStyle w:val="normaltextrun"/>
          <w:rFonts w:ascii="Verdana" w:hAnsi="Verdana" w:cs="Arial"/>
          <w:color w:val="000000"/>
          <w:shd w:val="clear" w:color="auto" w:fill="FFFFFF"/>
        </w:rPr>
        <w:t xml:space="preserve">de la Ley 7 de 1979 </w:t>
      </w:r>
      <w:r w:rsidRPr="00DA43DB">
        <w:rPr>
          <w:rFonts w:ascii="Verdana" w:eastAsia="Times New Roman" w:hAnsi="Verdana" w:cs="Arial"/>
          <w:lang w:eastAsia="es-ES"/>
        </w:rPr>
        <w:t>y,</w:t>
      </w:r>
    </w:p>
    <w:p w14:paraId="02E585B4" w14:textId="6DFF9839" w:rsidR="00526A26" w:rsidRPr="00DA43DB" w:rsidRDefault="00BF56FB" w:rsidP="00526A26">
      <w:pPr>
        <w:spacing w:after="0" w:line="240" w:lineRule="auto"/>
        <w:jc w:val="both"/>
        <w:rPr>
          <w:rFonts w:ascii="Verdana" w:hAnsi="Verdana" w:cs="Arial"/>
        </w:rPr>
      </w:pPr>
      <w:r w:rsidRPr="00DA43DB">
        <w:rPr>
          <w:rFonts w:ascii="Verdana" w:hAnsi="Verdana" w:cs="Arial"/>
        </w:rPr>
        <w:t xml:space="preserve">                                                                    </w:t>
      </w:r>
    </w:p>
    <w:p w14:paraId="14853B43" w14:textId="7F4D770D" w:rsidR="00BF56FB" w:rsidRDefault="00BF56FB" w:rsidP="00BF56FB">
      <w:pPr>
        <w:spacing w:line="240" w:lineRule="auto"/>
        <w:jc w:val="center"/>
        <w:rPr>
          <w:rFonts w:ascii="Verdana" w:hAnsi="Verdana" w:cs="Arial"/>
          <w:b/>
        </w:rPr>
      </w:pPr>
      <w:r w:rsidRPr="00DA43DB">
        <w:rPr>
          <w:rFonts w:ascii="Verdana" w:hAnsi="Verdana" w:cs="Arial"/>
          <w:b/>
        </w:rPr>
        <w:t>CONSIDERANDO</w:t>
      </w:r>
      <w:bookmarkStart w:id="0" w:name="_Hlk9263143"/>
      <w:r w:rsidR="00C27AAE" w:rsidRPr="00DA43DB">
        <w:rPr>
          <w:rFonts w:ascii="Verdana" w:hAnsi="Verdana" w:cs="Arial"/>
          <w:b/>
        </w:rPr>
        <w:t>:</w:t>
      </w:r>
    </w:p>
    <w:p w14:paraId="66C35A5D" w14:textId="12B9D705" w:rsidR="00844416" w:rsidRPr="00DA00E4" w:rsidRDefault="00844416" w:rsidP="001C483F">
      <w:pPr>
        <w:spacing w:after="0"/>
        <w:jc w:val="both"/>
        <w:rPr>
          <w:rFonts w:ascii="Verdana" w:hAnsi="Verdana" w:cs="Arial"/>
        </w:rPr>
      </w:pPr>
      <w:bookmarkStart w:id="1" w:name="_Hlk100051487"/>
      <w:r w:rsidRPr="00DA00E4">
        <w:rPr>
          <w:rFonts w:ascii="Verdana" w:hAnsi="Verdana" w:cs="Arial"/>
        </w:rPr>
        <w:t xml:space="preserve">Que mediante </w:t>
      </w:r>
      <w:r w:rsidR="00AD3B58">
        <w:rPr>
          <w:rFonts w:ascii="Verdana" w:hAnsi="Verdana" w:cs="Arial"/>
        </w:rPr>
        <w:t>la</w:t>
      </w:r>
      <w:r w:rsidR="00AD3B58" w:rsidRPr="00DA00E4">
        <w:rPr>
          <w:rFonts w:ascii="Verdana" w:hAnsi="Verdana" w:cs="Arial"/>
        </w:rPr>
        <w:t xml:space="preserve"> </w:t>
      </w:r>
      <w:r w:rsidR="00322180" w:rsidRPr="00DA00E4">
        <w:rPr>
          <w:rFonts w:ascii="Verdana" w:hAnsi="Verdana" w:cs="Arial"/>
        </w:rPr>
        <w:t>Ley</w:t>
      </w:r>
      <w:r w:rsidRPr="00DA00E4">
        <w:rPr>
          <w:rFonts w:ascii="Verdana" w:hAnsi="Verdana" w:cs="Arial"/>
        </w:rPr>
        <w:t xml:space="preserve"> </w:t>
      </w:r>
      <w:r w:rsidR="00902A66" w:rsidRPr="00DA00E4">
        <w:rPr>
          <w:rFonts w:ascii="Verdana" w:hAnsi="Verdana" w:cs="Arial"/>
        </w:rPr>
        <w:t>2559</w:t>
      </w:r>
      <w:r w:rsidRPr="00DA00E4">
        <w:rPr>
          <w:rFonts w:ascii="Verdana" w:hAnsi="Verdana" w:cs="Arial"/>
        </w:rPr>
        <w:t xml:space="preserve"> del </w:t>
      </w:r>
      <w:r w:rsidR="00902A66" w:rsidRPr="00DA00E4">
        <w:rPr>
          <w:rFonts w:ascii="Verdana" w:hAnsi="Verdana" w:cs="Arial"/>
        </w:rPr>
        <w:t>2025</w:t>
      </w:r>
      <w:r w:rsidRPr="00DA00E4">
        <w:rPr>
          <w:rFonts w:ascii="Verdana" w:hAnsi="Verdana" w:cs="Arial"/>
        </w:rPr>
        <w:t>, se decretó el Presupuesto de Rentas y Recursos de Capital y el presupuesto de gastos para la Vigencia Fiscal del 1° de enero al 31 de diciembre de 202</w:t>
      </w:r>
      <w:r w:rsidR="00902A66" w:rsidRPr="00DA00E4">
        <w:rPr>
          <w:rFonts w:ascii="Verdana" w:hAnsi="Verdana" w:cs="Arial"/>
        </w:rPr>
        <w:t>6</w:t>
      </w:r>
      <w:r w:rsidRPr="00DA00E4">
        <w:rPr>
          <w:rFonts w:ascii="Verdana" w:hAnsi="Verdana" w:cs="Arial"/>
        </w:rPr>
        <w:t xml:space="preserve">. </w:t>
      </w:r>
    </w:p>
    <w:p w14:paraId="7F3B5BC1" w14:textId="77777777" w:rsidR="00844416" w:rsidRPr="00DA00E4" w:rsidRDefault="00844416" w:rsidP="001C483F">
      <w:pPr>
        <w:spacing w:after="0"/>
        <w:jc w:val="both"/>
        <w:rPr>
          <w:rFonts w:ascii="Verdana" w:hAnsi="Verdana" w:cs="Arial"/>
        </w:rPr>
      </w:pPr>
    </w:p>
    <w:p w14:paraId="40419ED7" w14:textId="0F372CAB" w:rsidR="001C483F" w:rsidRPr="00DA00E4" w:rsidRDefault="00844416" w:rsidP="001C483F">
      <w:pPr>
        <w:spacing w:after="0"/>
        <w:jc w:val="both"/>
        <w:rPr>
          <w:rFonts w:ascii="Verdana" w:hAnsi="Verdana" w:cs="Arial"/>
        </w:rPr>
      </w:pPr>
      <w:r w:rsidRPr="00DA00E4">
        <w:rPr>
          <w:rFonts w:ascii="Verdana" w:hAnsi="Verdana" w:cs="Arial"/>
        </w:rPr>
        <w:t xml:space="preserve">Que a través del Decreto </w:t>
      </w:r>
      <w:r w:rsidR="00902A66" w:rsidRPr="00DA00E4">
        <w:rPr>
          <w:rFonts w:ascii="Verdana" w:hAnsi="Verdana" w:cs="Arial"/>
        </w:rPr>
        <w:t>1477</w:t>
      </w:r>
      <w:r w:rsidRPr="00DA00E4">
        <w:rPr>
          <w:rFonts w:ascii="Verdana" w:hAnsi="Verdana" w:cs="Arial"/>
        </w:rPr>
        <w:t xml:space="preserve"> del </w:t>
      </w:r>
      <w:r w:rsidR="00902A66" w:rsidRPr="00DA00E4">
        <w:rPr>
          <w:rFonts w:ascii="Verdana" w:hAnsi="Verdana" w:cs="Arial"/>
        </w:rPr>
        <w:t>2025</w:t>
      </w:r>
      <w:r w:rsidRPr="00DA00E4">
        <w:rPr>
          <w:rFonts w:ascii="Verdana" w:hAnsi="Verdana" w:cs="Arial"/>
        </w:rPr>
        <w:t>, el Ministerio de Hacienda y Crédito Público liquidó el Presupuesto General de la Nación para la Vigencia Fiscal de 202</w:t>
      </w:r>
      <w:r w:rsidR="00902A66" w:rsidRPr="00DA00E4">
        <w:rPr>
          <w:rFonts w:ascii="Verdana" w:hAnsi="Verdana" w:cs="Arial"/>
        </w:rPr>
        <w:t>6</w:t>
      </w:r>
      <w:r w:rsidRPr="00DA00E4">
        <w:rPr>
          <w:rFonts w:ascii="Verdana" w:hAnsi="Verdana" w:cs="Arial"/>
        </w:rPr>
        <w:t>, detallando las apropiaciones, clasificando y definiendo los gastos. Este Decreto incluye el Presupuesto del Instituto Colombiano de Bienestar Familiar -ICBF para la Vigencia Fiscal 202</w:t>
      </w:r>
      <w:r w:rsidR="00D403EF" w:rsidRPr="00DA00E4">
        <w:rPr>
          <w:rFonts w:ascii="Verdana" w:hAnsi="Verdana" w:cs="Arial"/>
        </w:rPr>
        <w:t>6</w:t>
      </w:r>
      <w:r w:rsidR="009D16FB" w:rsidRPr="00DA00E4">
        <w:rPr>
          <w:rFonts w:ascii="Verdana" w:hAnsi="Verdana" w:cs="Arial"/>
        </w:rPr>
        <w:t>.</w:t>
      </w:r>
    </w:p>
    <w:p w14:paraId="7384C01B" w14:textId="77777777" w:rsidR="00BF56FB" w:rsidRPr="00DA00E4" w:rsidRDefault="00BF56FB" w:rsidP="00BF56FB">
      <w:pPr>
        <w:spacing w:after="0"/>
        <w:jc w:val="both"/>
        <w:rPr>
          <w:rFonts w:ascii="Verdana" w:eastAsia="Arial" w:hAnsi="Verdana" w:cs="Arial"/>
          <w:color w:val="000000"/>
        </w:rPr>
      </w:pPr>
    </w:p>
    <w:p w14:paraId="46CAB04A" w14:textId="3F136085" w:rsidR="00BF56FB" w:rsidRPr="00DA00E4" w:rsidRDefault="00BF56FB" w:rsidP="00BF56FB">
      <w:pPr>
        <w:spacing w:after="0"/>
        <w:jc w:val="both"/>
        <w:rPr>
          <w:rFonts w:ascii="Verdana" w:eastAsia="Arial" w:hAnsi="Verdana" w:cs="Arial"/>
          <w:b/>
          <w:bCs/>
          <w:color w:val="000000"/>
        </w:rPr>
      </w:pPr>
      <w:r w:rsidRPr="00DA00E4">
        <w:rPr>
          <w:rFonts w:ascii="Verdana" w:eastAsia="Arial" w:hAnsi="Verdana" w:cs="Arial"/>
          <w:color w:val="000000"/>
        </w:rPr>
        <w:t xml:space="preserve">Que por medio de la Resolución </w:t>
      </w:r>
      <w:r w:rsidR="00324008" w:rsidRPr="00DA00E4">
        <w:rPr>
          <w:rFonts w:ascii="Verdana" w:eastAsia="Arial" w:hAnsi="Verdana" w:cs="Arial"/>
          <w:color w:val="000000"/>
        </w:rPr>
        <w:t>8300</w:t>
      </w:r>
      <w:r w:rsidRPr="00DA00E4">
        <w:rPr>
          <w:rFonts w:ascii="Verdana" w:eastAsia="Arial" w:hAnsi="Verdana" w:cs="Arial"/>
          <w:color w:val="000000"/>
        </w:rPr>
        <w:t xml:space="preserve"> del </w:t>
      </w:r>
      <w:r w:rsidR="00324008" w:rsidRPr="00DA00E4">
        <w:rPr>
          <w:rFonts w:ascii="Verdana" w:eastAsia="Arial" w:hAnsi="Verdana" w:cs="Arial"/>
          <w:color w:val="000000"/>
        </w:rPr>
        <w:t>2025</w:t>
      </w:r>
      <w:r w:rsidRPr="00DA00E4">
        <w:rPr>
          <w:rFonts w:ascii="Verdana" w:eastAsia="Arial" w:hAnsi="Verdana" w:cs="Arial"/>
          <w:color w:val="000000"/>
        </w:rPr>
        <w:t xml:space="preserve">, la Dirección General del ICBF </w:t>
      </w:r>
      <w:r w:rsidR="001C483F" w:rsidRPr="00DA00E4">
        <w:rPr>
          <w:rFonts w:ascii="Verdana" w:eastAsia="Arial" w:hAnsi="Verdana" w:cs="Arial"/>
          <w:color w:val="000000"/>
        </w:rPr>
        <w:t xml:space="preserve">consolidó el presupuesto de </w:t>
      </w:r>
      <w:r w:rsidR="009D16FB" w:rsidRPr="00DA00E4">
        <w:rPr>
          <w:rFonts w:ascii="Verdana" w:eastAsia="Arial" w:hAnsi="Verdana" w:cs="Arial"/>
          <w:color w:val="000000"/>
        </w:rPr>
        <w:t>i</w:t>
      </w:r>
      <w:r w:rsidR="001C483F" w:rsidRPr="00DA00E4">
        <w:rPr>
          <w:rFonts w:ascii="Verdana" w:eastAsia="Arial" w:hAnsi="Verdana" w:cs="Arial"/>
          <w:color w:val="000000"/>
        </w:rPr>
        <w:t xml:space="preserve">ngresos y </w:t>
      </w:r>
      <w:r w:rsidRPr="00DA00E4">
        <w:rPr>
          <w:rFonts w:ascii="Verdana" w:eastAsia="Arial" w:hAnsi="Verdana" w:cs="Arial"/>
          <w:color w:val="000000"/>
        </w:rPr>
        <w:t>desagregó</w:t>
      </w:r>
      <w:r w:rsidR="001C483F" w:rsidRPr="00DA00E4">
        <w:rPr>
          <w:rFonts w:ascii="Verdana" w:eastAsia="Arial" w:hAnsi="Verdana" w:cs="Arial"/>
          <w:color w:val="000000"/>
        </w:rPr>
        <w:t>,</w:t>
      </w:r>
      <w:r w:rsidRPr="00DA00E4">
        <w:rPr>
          <w:rFonts w:ascii="Verdana" w:eastAsia="Arial" w:hAnsi="Verdana" w:cs="Arial"/>
          <w:color w:val="000000"/>
        </w:rPr>
        <w:t xml:space="preserve"> distribuyó</w:t>
      </w:r>
      <w:r w:rsidR="001C483F" w:rsidRPr="00DA00E4">
        <w:rPr>
          <w:rFonts w:ascii="Verdana" w:eastAsia="Arial" w:hAnsi="Verdana" w:cs="Arial"/>
          <w:color w:val="000000"/>
        </w:rPr>
        <w:t>, asignó y comunicó</w:t>
      </w:r>
      <w:r w:rsidRPr="00DA00E4">
        <w:rPr>
          <w:rFonts w:ascii="Verdana" w:eastAsia="Arial" w:hAnsi="Verdana" w:cs="Arial"/>
          <w:color w:val="000000"/>
        </w:rPr>
        <w:t xml:space="preserve"> el Presupuesto Gastos </w:t>
      </w:r>
      <w:r w:rsidR="007D7D2B" w:rsidRPr="00DA00E4">
        <w:rPr>
          <w:rFonts w:ascii="Verdana" w:eastAsia="Arial" w:hAnsi="Verdana" w:cs="Arial"/>
          <w:color w:val="000000"/>
        </w:rPr>
        <w:t>del Instituto Colombiano de Bienestar Familiar a Nivel de la Unidad Ejecutora, Sedes Regionales y Sede de la Dirección General, para la Vigencia fiscal del año 202</w:t>
      </w:r>
      <w:r w:rsidR="00324008" w:rsidRPr="00DA00E4">
        <w:rPr>
          <w:rFonts w:ascii="Verdana" w:eastAsia="Arial" w:hAnsi="Verdana" w:cs="Arial"/>
          <w:color w:val="000000"/>
        </w:rPr>
        <w:t>6</w:t>
      </w:r>
      <w:r w:rsidR="003E216C" w:rsidRPr="00DA00E4">
        <w:rPr>
          <w:rFonts w:ascii="Verdana" w:eastAsia="Arial" w:hAnsi="Verdana" w:cs="Arial"/>
          <w:color w:val="000000"/>
        </w:rPr>
        <w:t xml:space="preserve"> por valor de</w:t>
      </w:r>
      <w:r w:rsidR="00FF2B86" w:rsidRPr="00DA00E4">
        <w:rPr>
          <w:rFonts w:ascii="Verdana" w:eastAsia="Arial" w:hAnsi="Verdana" w:cs="Arial"/>
          <w:color w:val="000000"/>
        </w:rPr>
        <w:t xml:space="preserve"> </w:t>
      </w:r>
      <w:r w:rsidR="001C1EA5" w:rsidRPr="00DA00E4">
        <w:rPr>
          <w:rFonts w:ascii="Verdana" w:eastAsia="Arial" w:hAnsi="Verdana" w:cs="Arial"/>
          <w:b/>
          <w:bCs/>
          <w:color w:val="000000"/>
        </w:rPr>
        <w:t>DIEZ BILLONES</w:t>
      </w:r>
      <w:r w:rsidR="00BF4407">
        <w:rPr>
          <w:rFonts w:ascii="Verdana" w:eastAsia="Arial" w:hAnsi="Verdana" w:cs="Arial"/>
          <w:b/>
          <w:bCs/>
          <w:color w:val="000000"/>
        </w:rPr>
        <w:t>,</w:t>
      </w:r>
      <w:r w:rsidR="001C1EA5" w:rsidRPr="00DA00E4">
        <w:rPr>
          <w:rFonts w:ascii="Verdana" w:eastAsia="Arial" w:hAnsi="Verdana" w:cs="Arial"/>
          <w:b/>
          <w:bCs/>
          <w:color w:val="000000"/>
        </w:rPr>
        <w:t xml:space="preserve"> SEISCIENTOS OCHENTA Y SEIS MIL OCHOCIENTOS TRES MILLONES</w:t>
      </w:r>
      <w:r w:rsidR="00BF4407">
        <w:rPr>
          <w:rFonts w:ascii="Verdana" w:eastAsia="Arial" w:hAnsi="Verdana" w:cs="Arial"/>
          <w:b/>
          <w:bCs/>
          <w:color w:val="000000"/>
        </w:rPr>
        <w:t>,</w:t>
      </w:r>
      <w:r w:rsidR="001C1EA5" w:rsidRPr="00DA00E4">
        <w:rPr>
          <w:rFonts w:ascii="Verdana" w:eastAsia="Arial" w:hAnsi="Verdana" w:cs="Arial"/>
          <w:b/>
          <w:bCs/>
          <w:color w:val="000000"/>
        </w:rPr>
        <w:t xml:space="preserve"> VEINTID</w:t>
      </w:r>
      <w:r w:rsidR="00497584">
        <w:rPr>
          <w:rFonts w:ascii="Verdana" w:eastAsia="Arial" w:hAnsi="Verdana" w:cs="Arial"/>
          <w:b/>
          <w:bCs/>
          <w:color w:val="000000"/>
        </w:rPr>
        <w:t>Ó</w:t>
      </w:r>
      <w:r w:rsidR="001C1EA5" w:rsidRPr="00DA00E4">
        <w:rPr>
          <w:rFonts w:ascii="Verdana" w:eastAsia="Arial" w:hAnsi="Verdana" w:cs="Arial"/>
          <w:b/>
          <w:bCs/>
          <w:color w:val="000000"/>
        </w:rPr>
        <w:t>S MIL</w:t>
      </w:r>
      <w:r w:rsidR="00497584">
        <w:rPr>
          <w:rFonts w:ascii="Verdana" w:eastAsia="Arial" w:hAnsi="Verdana" w:cs="Arial"/>
          <w:b/>
          <w:bCs/>
          <w:color w:val="000000"/>
        </w:rPr>
        <w:t>,</w:t>
      </w:r>
      <w:r w:rsidR="001C1EA5" w:rsidRPr="00DA00E4">
        <w:rPr>
          <w:rFonts w:ascii="Verdana" w:eastAsia="Arial" w:hAnsi="Verdana" w:cs="Arial"/>
          <w:b/>
          <w:bCs/>
          <w:color w:val="000000"/>
        </w:rPr>
        <w:t xml:space="preserve"> CIENTO CINCUENTA Y SIETE </w:t>
      </w:r>
      <w:r w:rsidR="00EC3DCB" w:rsidRPr="00DA00E4">
        <w:rPr>
          <w:rFonts w:ascii="Verdana" w:eastAsia="Arial" w:hAnsi="Verdana" w:cs="Arial"/>
          <w:b/>
          <w:bCs/>
          <w:color w:val="000000"/>
        </w:rPr>
        <w:t>PESOS MCTE</w:t>
      </w:r>
      <w:r w:rsidR="00EC3DCB" w:rsidRPr="00DA00E4" w:rsidDel="00497584">
        <w:rPr>
          <w:rFonts w:ascii="Verdana" w:eastAsia="Arial" w:hAnsi="Verdana" w:cs="Arial"/>
          <w:b/>
          <w:bCs/>
          <w:color w:val="000000"/>
        </w:rPr>
        <w:t xml:space="preserve"> </w:t>
      </w:r>
      <w:r w:rsidR="001C1EA5" w:rsidRPr="00DA00E4">
        <w:rPr>
          <w:rFonts w:ascii="Verdana" w:eastAsia="Arial" w:hAnsi="Verdana" w:cs="Arial"/>
          <w:b/>
          <w:bCs/>
          <w:color w:val="000000"/>
        </w:rPr>
        <w:t>($10.686.803.022.157)</w:t>
      </w:r>
      <w:r w:rsidR="00DB29EC">
        <w:rPr>
          <w:rFonts w:ascii="Verdana" w:eastAsia="Arial" w:hAnsi="Verdana" w:cs="Arial"/>
          <w:b/>
          <w:bCs/>
          <w:color w:val="000000"/>
        </w:rPr>
        <w:t>.</w:t>
      </w:r>
      <w:r w:rsidR="00497584" w:rsidRPr="00497584">
        <w:rPr>
          <w:rFonts w:ascii="Verdana" w:eastAsia="Arial" w:hAnsi="Verdana" w:cs="Arial"/>
          <w:b/>
          <w:bCs/>
          <w:color w:val="000000"/>
        </w:rPr>
        <w:t xml:space="preserve"> </w:t>
      </w:r>
    </w:p>
    <w:p w14:paraId="147AC26D" w14:textId="77777777" w:rsidR="009A4201" w:rsidRPr="00051965" w:rsidRDefault="009A4201" w:rsidP="00BF56FB">
      <w:pPr>
        <w:spacing w:after="0"/>
        <w:jc w:val="both"/>
        <w:rPr>
          <w:rFonts w:ascii="Verdana" w:eastAsia="Arial" w:hAnsi="Verdana" w:cs="Arial"/>
          <w:color w:val="000000"/>
        </w:rPr>
      </w:pPr>
    </w:p>
    <w:p w14:paraId="0BD96F12" w14:textId="2E2A8F2F" w:rsidR="003D255C" w:rsidRPr="00051965" w:rsidRDefault="009A4201" w:rsidP="003D255C">
      <w:pPr>
        <w:spacing w:after="0" w:line="240" w:lineRule="auto"/>
        <w:jc w:val="both"/>
        <w:rPr>
          <w:rFonts w:ascii="Verdana" w:eastAsia="Arial" w:hAnsi="Verdana" w:cs="Arial"/>
          <w:color w:val="000000"/>
        </w:rPr>
      </w:pPr>
      <w:r w:rsidRPr="00051965">
        <w:rPr>
          <w:rFonts w:ascii="Verdana" w:eastAsia="Arial" w:hAnsi="Verdana" w:cs="Arial"/>
          <w:color w:val="000000"/>
        </w:rPr>
        <w:t xml:space="preserve">Que </w:t>
      </w:r>
      <w:r w:rsidR="003D255C" w:rsidRPr="00051965">
        <w:rPr>
          <w:rFonts w:ascii="Verdana" w:eastAsia="Arial" w:hAnsi="Verdana" w:cs="Arial"/>
          <w:color w:val="000000"/>
        </w:rPr>
        <w:t>a través del</w:t>
      </w:r>
      <w:r w:rsidRPr="00051965">
        <w:rPr>
          <w:rFonts w:ascii="Verdana" w:eastAsia="Arial" w:hAnsi="Verdana" w:cs="Arial"/>
          <w:color w:val="000000"/>
        </w:rPr>
        <w:t xml:space="preserve"> Decreto </w:t>
      </w:r>
      <w:r w:rsidR="003D255C" w:rsidRPr="00051965">
        <w:rPr>
          <w:rFonts w:ascii="Verdana" w:eastAsia="Arial" w:hAnsi="Verdana" w:cs="Arial"/>
          <w:color w:val="000000"/>
        </w:rPr>
        <w:t>Legislativo 0150 de 2026 del 11 de febrero de 2026 se declaró “</w:t>
      </w:r>
      <w:r w:rsidR="003D255C" w:rsidRPr="00051965">
        <w:rPr>
          <w:rFonts w:ascii="Verdana" w:eastAsia="Arial" w:hAnsi="Verdana" w:cs="Arial"/>
          <w:i/>
          <w:iCs/>
          <w:color w:val="000000"/>
        </w:rPr>
        <w:t>el Estado de Emergencia Económica, Social y Ecológica en parte del territorio nacional”</w:t>
      </w:r>
      <w:r w:rsidR="003D255C" w:rsidRPr="00051965">
        <w:rPr>
          <w:rFonts w:ascii="Verdana" w:eastAsia="Arial" w:hAnsi="Verdana" w:cs="Arial"/>
          <w:color w:val="000000"/>
        </w:rPr>
        <w:t>.</w:t>
      </w:r>
    </w:p>
    <w:p w14:paraId="5D666C48" w14:textId="77777777" w:rsidR="003D255C" w:rsidRPr="00051965" w:rsidRDefault="003D255C" w:rsidP="003D255C">
      <w:pPr>
        <w:spacing w:after="0" w:line="240" w:lineRule="auto"/>
        <w:jc w:val="both"/>
        <w:rPr>
          <w:rFonts w:ascii="Verdana" w:eastAsia="Arial" w:hAnsi="Verdana" w:cs="Arial"/>
          <w:color w:val="000000"/>
        </w:rPr>
      </w:pPr>
    </w:p>
    <w:p w14:paraId="4BD58745" w14:textId="7E115236" w:rsidR="009A4201" w:rsidRPr="00DA00E4" w:rsidRDefault="003D255C" w:rsidP="00DA43DB">
      <w:pPr>
        <w:spacing w:after="0" w:line="240" w:lineRule="auto"/>
        <w:jc w:val="both"/>
        <w:rPr>
          <w:rFonts w:ascii="Verdana" w:hAnsi="Verdana"/>
          <w:b/>
          <w:bCs/>
        </w:rPr>
      </w:pPr>
      <w:r w:rsidRPr="00DA00E4">
        <w:rPr>
          <w:rFonts w:ascii="Verdana" w:eastAsia="Times New Roman" w:hAnsi="Verdana"/>
          <w:color w:val="333333"/>
          <w:szCs w:val="25"/>
          <w:shd w:val="clear" w:color="auto" w:fill="FFFFFF"/>
          <w:lang w:val="es-CO" w:eastAsia="es-MX"/>
        </w:rPr>
        <w:t xml:space="preserve">Que </w:t>
      </w:r>
      <w:r w:rsidRPr="00DA00E4">
        <w:rPr>
          <w:rFonts w:ascii="Verdana" w:hAnsi="Verdana"/>
        </w:rPr>
        <w:t>en el marco de la emergencia económica, social y e</w:t>
      </w:r>
      <w:r w:rsidR="00AE61A8" w:rsidRPr="00DA00E4">
        <w:rPr>
          <w:rFonts w:ascii="Verdana" w:hAnsi="Verdana"/>
        </w:rPr>
        <w:t xml:space="preserve">cológica </w:t>
      </w:r>
      <w:r w:rsidRPr="00DA00E4">
        <w:rPr>
          <w:rFonts w:ascii="Verdana" w:hAnsi="Verdana"/>
        </w:rPr>
        <w:t>declarada</w:t>
      </w:r>
      <w:r w:rsidR="00AE61A8" w:rsidRPr="00DA00E4">
        <w:rPr>
          <w:rFonts w:ascii="Verdana" w:hAnsi="Verdana"/>
        </w:rPr>
        <w:t>,</w:t>
      </w:r>
      <w:r w:rsidRPr="00DA00E4">
        <w:rPr>
          <w:rFonts w:ascii="Verdana" w:hAnsi="Verdana"/>
        </w:rPr>
        <w:t xml:space="preserve"> se expidió el Decreto </w:t>
      </w:r>
      <w:r w:rsidR="009A4201" w:rsidRPr="00DA00E4">
        <w:rPr>
          <w:rFonts w:ascii="Verdana" w:hAnsi="Verdana"/>
        </w:rPr>
        <w:t>Legislativo 0241 del 12 de marzo de 2026</w:t>
      </w:r>
      <w:r w:rsidR="00C67768" w:rsidRPr="00DA00E4">
        <w:rPr>
          <w:rFonts w:ascii="Verdana" w:hAnsi="Verdana"/>
        </w:rPr>
        <w:t xml:space="preserve"> “</w:t>
      </w:r>
      <w:r w:rsidR="00C67768" w:rsidRPr="00DA00E4">
        <w:rPr>
          <w:rFonts w:ascii="Verdana" w:hAnsi="Verdana"/>
          <w:i/>
          <w:iCs/>
        </w:rPr>
        <w:t xml:space="preserve">Por el cual se adiciona el Presupuesto General de la Nación de la vigencia fiscal de 2026, en el marco de la declaratoria de Emergencia Económica, Social y Ecológica en las departamentos de </w:t>
      </w:r>
      <w:r w:rsidR="00C67768" w:rsidRPr="00DA00E4">
        <w:rPr>
          <w:rFonts w:ascii="Verdana" w:hAnsi="Verdana"/>
          <w:i/>
          <w:iCs/>
        </w:rPr>
        <w:lastRenderedPageBreak/>
        <w:t>Córdoba, Antioquia, La Guajira, Sucre, Bolívar, Cesar, Magdalena y Ch</w:t>
      </w:r>
      <w:r w:rsidR="00731C46" w:rsidRPr="00DA00E4">
        <w:rPr>
          <w:rFonts w:ascii="Verdana" w:hAnsi="Verdana"/>
          <w:i/>
          <w:iCs/>
        </w:rPr>
        <w:t>o</w:t>
      </w:r>
      <w:r w:rsidR="00C67768" w:rsidRPr="00DA00E4">
        <w:rPr>
          <w:rFonts w:ascii="Verdana" w:hAnsi="Verdana"/>
          <w:i/>
          <w:iCs/>
        </w:rPr>
        <w:t>c</w:t>
      </w:r>
      <w:r w:rsidR="00731C46" w:rsidRPr="00DA00E4">
        <w:rPr>
          <w:rFonts w:ascii="Verdana" w:hAnsi="Verdana"/>
          <w:i/>
          <w:iCs/>
        </w:rPr>
        <w:t>ó</w:t>
      </w:r>
      <w:r w:rsidR="00C67768" w:rsidRPr="00DA00E4">
        <w:rPr>
          <w:rFonts w:ascii="Verdana" w:hAnsi="Verdana"/>
        </w:rPr>
        <w:t>”</w:t>
      </w:r>
      <w:r w:rsidR="00AE61A8" w:rsidRPr="00DA00E4">
        <w:rPr>
          <w:rFonts w:ascii="Verdana" w:hAnsi="Verdana"/>
        </w:rPr>
        <w:t xml:space="preserve"> decretando </w:t>
      </w:r>
      <w:r w:rsidR="009A4201" w:rsidRPr="00DA00E4">
        <w:rPr>
          <w:rFonts w:ascii="Verdana" w:hAnsi="Verdana"/>
        </w:rPr>
        <w:t xml:space="preserve">la adición de recursos al Presupuesto General de la Nación para la vigencia fiscal 2026, </w:t>
      </w:r>
      <w:r w:rsidR="00AE61A8" w:rsidRPr="00DA00E4">
        <w:rPr>
          <w:rFonts w:ascii="Verdana" w:hAnsi="Verdana"/>
        </w:rPr>
        <w:t xml:space="preserve">generando </w:t>
      </w:r>
      <w:r w:rsidR="009A4201" w:rsidRPr="00DA00E4">
        <w:rPr>
          <w:rFonts w:ascii="Verdana" w:hAnsi="Verdana"/>
        </w:rPr>
        <w:t xml:space="preserve">efectos jurídicos y presupuestales </w:t>
      </w:r>
      <w:r w:rsidR="00AE61A8" w:rsidRPr="00DA00E4">
        <w:rPr>
          <w:rFonts w:ascii="Verdana" w:hAnsi="Verdana"/>
        </w:rPr>
        <w:t>en la vigencia actual y que en virtud de dicha adición, le fueron asignados</w:t>
      </w:r>
      <w:r w:rsidR="009A4201" w:rsidRPr="00DA00E4">
        <w:rPr>
          <w:rFonts w:ascii="Verdana" w:hAnsi="Verdana"/>
        </w:rPr>
        <w:t xml:space="preserve"> recursos al Instituto Colombiano de Bienestar Familiar para el desarrollo de acciones orientadas a la atención de poblaciones afectadas y la mitigación de impactos sociales derivados de la referida situación excepcional.</w:t>
      </w:r>
    </w:p>
    <w:p w14:paraId="68D9D0AF" w14:textId="77777777" w:rsidR="00BF56FB" w:rsidRPr="00DA00E4" w:rsidRDefault="00BF56FB" w:rsidP="00BF56FB">
      <w:pPr>
        <w:spacing w:after="0"/>
        <w:jc w:val="both"/>
        <w:rPr>
          <w:rFonts w:ascii="Verdana" w:eastAsia="Arial" w:hAnsi="Verdana" w:cs="Arial"/>
          <w:color w:val="000000"/>
          <w:lang w:val="es-CO"/>
        </w:rPr>
      </w:pPr>
    </w:p>
    <w:p w14:paraId="1354FBC3" w14:textId="4ED3365A" w:rsidR="00F657CE" w:rsidRPr="00555067" w:rsidRDefault="00F63F24" w:rsidP="00DA00E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Que </w:t>
      </w:r>
      <w:r w:rsidR="00BF56FB" w:rsidRPr="00DA00E4">
        <w:rPr>
          <w:rFonts w:ascii="Verdana" w:hAnsi="Verdana"/>
        </w:rPr>
        <w:t>mediante</w:t>
      </w:r>
      <w:r w:rsidR="00E402E9" w:rsidRPr="00DA00E4">
        <w:rPr>
          <w:rFonts w:ascii="Verdana" w:hAnsi="Verdana"/>
        </w:rPr>
        <w:t xml:space="preserve"> </w:t>
      </w:r>
      <w:r w:rsidR="00B4434D" w:rsidRPr="00DA00E4">
        <w:rPr>
          <w:rFonts w:ascii="Verdana" w:hAnsi="Verdana"/>
        </w:rPr>
        <w:t>la sección 4602 d</w:t>
      </w:r>
      <w:r w:rsidR="00E402E9" w:rsidRPr="00DA00E4">
        <w:rPr>
          <w:rFonts w:ascii="Verdana" w:hAnsi="Verdana"/>
        </w:rPr>
        <w:t xml:space="preserve">el </w:t>
      </w:r>
      <w:r w:rsidR="00EB3060" w:rsidRPr="00DA00E4">
        <w:rPr>
          <w:rFonts w:ascii="Verdana" w:hAnsi="Verdana"/>
        </w:rPr>
        <w:t>Artículo</w:t>
      </w:r>
      <w:r w:rsidR="00E402E9" w:rsidRPr="00DA00E4">
        <w:rPr>
          <w:rFonts w:ascii="Verdana" w:hAnsi="Verdana"/>
        </w:rPr>
        <w:t xml:space="preserve"> </w:t>
      </w:r>
      <w:r w:rsidR="00EB3060" w:rsidRPr="00DA00E4">
        <w:rPr>
          <w:rFonts w:ascii="Verdana" w:hAnsi="Verdana"/>
        </w:rPr>
        <w:t>2</w:t>
      </w:r>
      <w:r w:rsidR="00B4434D" w:rsidRPr="00DA00E4">
        <w:rPr>
          <w:rFonts w:ascii="Verdana" w:hAnsi="Verdana"/>
        </w:rPr>
        <w:t xml:space="preserve"> del</w:t>
      </w:r>
      <w:r w:rsidR="00BF56FB" w:rsidRPr="00DA00E4">
        <w:rPr>
          <w:rFonts w:ascii="Verdana" w:hAnsi="Verdana"/>
        </w:rPr>
        <w:t xml:space="preserve"> </w:t>
      </w:r>
      <w:r w:rsidR="00D95121" w:rsidRPr="00DA00E4">
        <w:rPr>
          <w:rFonts w:ascii="Verdana" w:hAnsi="Verdana"/>
        </w:rPr>
        <w:t xml:space="preserve">Decreto </w:t>
      </w:r>
      <w:r w:rsidR="00651C02" w:rsidRPr="00DA00E4">
        <w:rPr>
          <w:rFonts w:ascii="Verdana" w:hAnsi="Verdana"/>
        </w:rPr>
        <w:t>0241</w:t>
      </w:r>
      <w:r w:rsidR="00D95121" w:rsidRPr="00DA00E4">
        <w:rPr>
          <w:rFonts w:ascii="Verdana" w:hAnsi="Verdana"/>
        </w:rPr>
        <w:t xml:space="preserve"> de</w:t>
      </w:r>
      <w:r w:rsidR="00A406AE" w:rsidRPr="00DA00E4">
        <w:rPr>
          <w:rFonts w:ascii="Verdana" w:hAnsi="Verdana"/>
        </w:rPr>
        <w:t>l 12</w:t>
      </w:r>
      <w:r w:rsidR="00D95121" w:rsidRPr="00DA00E4">
        <w:rPr>
          <w:rFonts w:ascii="Verdana" w:hAnsi="Verdana"/>
        </w:rPr>
        <w:t xml:space="preserve"> de marzo</w:t>
      </w:r>
      <w:r w:rsidR="00BF56FB" w:rsidRPr="00DA00E4">
        <w:rPr>
          <w:rFonts w:ascii="Verdana" w:hAnsi="Verdana"/>
        </w:rPr>
        <w:t xml:space="preserve"> 202</w:t>
      </w:r>
      <w:r w:rsidR="00A406AE" w:rsidRPr="00DA00E4">
        <w:rPr>
          <w:rFonts w:ascii="Verdana" w:hAnsi="Verdana"/>
        </w:rPr>
        <w:t>6</w:t>
      </w:r>
      <w:r w:rsidR="00BF56FB" w:rsidRPr="00DA00E4">
        <w:rPr>
          <w:rFonts w:ascii="Verdana" w:hAnsi="Verdana"/>
        </w:rPr>
        <w:t xml:space="preserve">, el </w:t>
      </w:r>
      <w:bookmarkStart w:id="2" w:name="_Hlk26517638"/>
      <w:r w:rsidR="00240294" w:rsidRPr="00DA00E4">
        <w:rPr>
          <w:rFonts w:ascii="Verdana" w:hAnsi="Verdana"/>
        </w:rPr>
        <w:t>Ministerio de Hacienda y Crédito Público</w:t>
      </w:r>
      <w:r w:rsidR="00F657CE" w:rsidRPr="00DA00E4">
        <w:rPr>
          <w:rFonts w:ascii="Verdana" w:hAnsi="Verdana"/>
        </w:rPr>
        <w:t xml:space="preserve"> </w:t>
      </w:r>
      <w:r w:rsidR="00D52494" w:rsidRPr="00DA00E4">
        <w:rPr>
          <w:rFonts w:ascii="Verdana" w:hAnsi="Verdana"/>
        </w:rPr>
        <w:t xml:space="preserve">distribuyó en los departamentos de Córdoba, Antioquia, La Guajira, Sucre, Bolivar, Cesar, Magdalena y Chocó, la suma de </w:t>
      </w:r>
      <w:r w:rsidR="00D52494" w:rsidRPr="00DA00E4">
        <w:rPr>
          <w:rFonts w:ascii="Verdana" w:hAnsi="Verdana"/>
          <w:b/>
          <w:bCs/>
        </w:rPr>
        <w:t>DOSCIENTOS OCHENTA MIL MILLONES DE PESOS M/CTE</w:t>
      </w:r>
      <w:r w:rsidR="00D52494" w:rsidRPr="00DA00E4">
        <w:rPr>
          <w:rFonts w:ascii="Verdana" w:hAnsi="Verdana"/>
        </w:rPr>
        <w:t xml:space="preserve"> </w:t>
      </w:r>
      <w:r w:rsidR="00D52494" w:rsidRPr="00DA00E4">
        <w:rPr>
          <w:rFonts w:ascii="Verdana" w:hAnsi="Verdana"/>
          <w:b/>
          <w:bCs/>
        </w:rPr>
        <w:t>(</w:t>
      </w:r>
      <w:r w:rsidR="003F29EE">
        <w:rPr>
          <w:rFonts w:ascii="Verdana" w:hAnsi="Verdana"/>
          <w:b/>
          <w:bCs/>
        </w:rPr>
        <w:t>$</w:t>
      </w:r>
      <w:r w:rsidR="00D52494" w:rsidRPr="00DA00E4">
        <w:rPr>
          <w:rFonts w:ascii="Verdana" w:hAnsi="Verdana"/>
          <w:b/>
          <w:bCs/>
        </w:rPr>
        <w:t xml:space="preserve">280.000.000.000) </w:t>
      </w:r>
      <w:r w:rsidR="00D52494" w:rsidRPr="00DA00E4">
        <w:rPr>
          <w:rFonts w:ascii="Verdana" w:hAnsi="Verdana"/>
        </w:rPr>
        <w:t xml:space="preserve">como parte de la </w:t>
      </w:r>
      <w:r w:rsidR="00A406AE" w:rsidRPr="00DA00E4">
        <w:rPr>
          <w:rFonts w:ascii="Verdana" w:hAnsi="Verdana"/>
        </w:rPr>
        <w:t>adici</w:t>
      </w:r>
      <w:r w:rsidR="00D52494" w:rsidRPr="00DA00E4">
        <w:rPr>
          <w:rFonts w:ascii="Verdana" w:hAnsi="Verdana"/>
        </w:rPr>
        <w:t>ón</w:t>
      </w:r>
      <w:r w:rsidR="00A406AE" w:rsidRPr="00DA00E4">
        <w:rPr>
          <w:rFonts w:ascii="Verdana" w:hAnsi="Verdana"/>
        </w:rPr>
        <w:t xml:space="preserve"> </w:t>
      </w:r>
      <w:r w:rsidR="00D52494" w:rsidRPr="00DA00E4">
        <w:rPr>
          <w:rFonts w:ascii="Verdana" w:hAnsi="Verdana"/>
        </w:rPr>
        <w:t>a</w:t>
      </w:r>
      <w:r w:rsidR="00A406AE" w:rsidRPr="00DA00E4">
        <w:rPr>
          <w:rFonts w:ascii="Verdana" w:hAnsi="Verdana"/>
        </w:rPr>
        <w:t xml:space="preserve">l Presupuesto General de la Nación </w:t>
      </w:r>
      <w:r w:rsidR="00655476" w:rsidRPr="00DA00E4">
        <w:rPr>
          <w:rFonts w:ascii="Verdana" w:hAnsi="Verdana"/>
        </w:rPr>
        <w:t>de la vigencia fiscal 2026</w:t>
      </w:r>
      <w:r w:rsidR="00D52494" w:rsidRPr="00DA00E4">
        <w:rPr>
          <w:rFonts w:ascii="Verdana" w:hAnsi="Verdana"/>
        </w:rPr>
        <w:t xml:space="preserve"> ordenada </w:t>
      </w:r>
      <w:r w:rsidR="00655476" w:rsidRPr="00DA00E4">
        <w:rPr>
          <w:rFonts w:ascii="Verdana" w:hAnsi="Verdana"/>
        </w:rPr>
        <w:t>en el marco de la declaratoria de Emergencia Económica, Social y Ecológica</w:t>
      </w:r>
      <w:r w:rsidR="00731C46" w:rsidRPr="00DA00E4">
        <w:rPr>
          <w:rFonts w:ascii="Verdana" w:hAnsi="Verdana"/>
        </w:rPr>
        <w:t>.</w:t>
      </w:r>
    </w:p>
    <w:p w14:paraId="254C6E2D" w14:textId="77777777" w:rsidR="00843ED0" w:rsidRPr="00DA00E4" w:rsidRDefault="00843ED0" w:rsidP="00BF56FB">
      <w:pPr>
        <w:pStyle w:val="Default"/>
        <w:spacing w:line="276" w:lineRule="auto"/>
        <w:jc w:val="both"/>
        <w:rPr>
          <w:rFonts w:ascii="Verdana" w:hAnsi="Verdana"/>
          <w:b/>
          <w:bCs/>
          <w:sz w:val="22"/>
          <w:szCs w:val="22"/>
          <w:lang w:val="es-ES"/>
        </w:rPr>
      </w:pPr>
    </w:p>
    <w:p w14:paraId="44833B46" w14:textId="161DB80F" w:rsidR="00731C46" w:rsidRPr="00DA00E4" w:rsidRDefault="00731C46" w:rsidP="00843ED0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  <w:r w:rsidRPr="00DA00E4">
        <w:rPr>
          <w:rFonts w:ascii="Verdana" w:hAnsi="Verdana"/>
          <w:sz w:val="22"/>
          <w:szCs w:val="22"/>
        </w:rPr>
        <w:t>Que mediante Decreto 0366 del 7 de abril de 2026 “</w:t>
      </w:r>
      <w:r w:rsidRPr="00DA00E4">
        <w:rPr>
          <w:rFonts w:ascii="Verdana" w:hAnsi="Verdana"/>
          <w:i/>
          <w:iCs/>
          <w:sz w:val="22"/>
          <w:szCs w:val="22"/>
        </w:rPr>
        <w:t>se liquidan los recursos adicionados en el Decreto 0241 del 2026 al Presupuesto General de la Nación de la vigencia fiscal de 2026</w:t>
      </w:r>
      <w:r w:rsidRPr="00DA00E4">
        <w:rPr>
          <w:rFonts w:ascii="Verdana" w:hAnsi="Verdana"/>
          <w:sz w:val="22"/>
          <w:szCs w:val="22"/>
        </w:rPr>
        <w:t>”</w:t>
      </w:r>
      <w:r w:rsidR="00DA00E4">
        <w:rPr>
          <w:rFonts w:ascii="Verdana" w:hAnsi="Verdana"/>
          <w:sz w:val="22"/>
          <w:szCs w:val="22"/>
        </w:rPr>
        <w:t>.</w:t>
      </w:r>
    </w:p>
    <w:p w14:paraId="6CDDE71E" w14:textId="77777777" w:rsidR="00731C46" w:rsidRPr="00DA00E4" w:rsidRDefault="00731C46" w:rsidP="00843ED0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DC0D6A7" w14:textId="4353524B" w:rsidR="00843ED0" w:rsidRPr="00DA00E4" w:rsidRDefault="00843ED0" w:rsidP="00843ED0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  <w:r w:rsidRPr="00DA00E4">
        <w:rPr>
          <w:rFonts w:ascii="Verdana" w:hAnsi="Verdana"/>
          <w:sz w:val="22"/>
          <w:szCs w:val="22"/>
        </w:rPr>
        <w:t xml:space="preserve">Que mediante memorando radicado No. 202613000000050613 del 24 de abril de 2026, el </w:t>
      </w:r>
      <w:proofErr w:type="gramStart"/>
      <w:r w:rsidRPr="00DA00E4">
        <w:rPr>
          <w:rFonts w:ascii="Verdana" w:hAnsi="Verdana"/>
          <w:sz w:val="22"/>
          <w:szCs w:val="22"/>
        </w:rPr>
        <w:t>Director</w:t>
      </w:r>
      <w:proofErr w:type="gramEnd"/>
      <w:r w:rsidRPr="00DA00E4">
        <w:rPr>
          <w:rFonts w:ascii="Verdana" w:hAnsi="Verdana"/>
          <w:sz w:val="22"/>
          <w:szCs w:val="22"/>
        </w:rPr>
        <w:t xml:space="preserve"> de Planeación y Control de Gestión solicitó realizar la desagregación de los recursos asignados al Instituto Colombiano de Bienestar Familiar (ICBF), de conformidad con la adición efectuada a través de la Sección 4602 del artículo 2° del Decreto 0241 del 12 de marzo de 2026</w:t>
      </w:r>
      <w:r w:rsidR="00DA00E4">
        <w:rPr>
          <w:rFonts w:ascii="Verdana" w:hAnsi="Verdana"/>
          <w:sz w:val="22"/>
          <w:szCs w:val="22"/>
        </w:rPr>
        <w:t>, recursos liquidados mediante Decreto 0366 de 2026</w:t>
      </w:r>
      <w:r w:rsidR="00D52494" w:rsidRPr="00DA00E4">
        <w:rPr>
          <w:rFonts w:ascii="Verdana" w:hAnsi="Verdana"/>
          <w:sz w:val="22"/>
          <w:szCs w:val="22"/>
        </w:rPr>
        <w:t>.</w:t>
      </w:r>
    </w:p>
    <w:p w14:paraId="68D58EAF" w14:textId="77777777" w:rsidR="00843ED0" w:rsidRPr="00DA00E4" w:rsidRDefault="00843ED0" w:rsidP="00843ED0">
      <w:pPr>
        <w:pStyle w:val="Default"/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24857B51" w14:textId="1FE616A9" w:rsidR="007C5D08" w:rsidRPr="00DA00E4" w:rsidRDefault="007C5D08" w:rsidP="001C483F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  <w:bookmarkStart w:id="3" w:name="_Hlk26518105"/>
      <w:bookmarkStart w:id="4" w:name="_Hlk26517613"/>
      <w:bookmarkEnd w:id="2"/>
      <w:r w:rsidRPr="00DA00E4">
        <w:rPr>
          <w:rFonts w:ascii="Verdana" w:hAnsi="Verdana"/>
          <w:sz w:val="22"/>
          <w:szCs w:val="22"/>
        </w:rPr>
        <w:t>Que en virtud de lo anterior se requiere modificar parcialmente el artículo</w:t>
      </w:r>
      <w:r w:rsidR="003E6C81" w:rsidRPr="00DA00E4">
        <w:rPr>
          <w:rFonts w:ascii="Verdana" w:hAnsi="Verdana"/>
          <w:sz w:val="22"/>
          <w:szCs w:val="22"/>
        </w:rPr>
        <w:t xml:space="preserve"> primero y</w:t>
      </w:r>
      <w:r w:rsidRPr="00DA00E4">
        <w:rPr>
          <w:rFonts w:ascii="Verdana" w:hAnsi="Verdana"/>
          <w:sz w:val="22"/>
          <w:szCs w:val="22"/>
        </w:rPr>
        <w:t xml:space="preserve"> segundo de </w:t>
      </w:r>
      <w:r w:rsidR="00E96FF8" w:rsidRPr="00DA00E4">
        <w:rPr>
          <w:rFonts w:ascii="Verdana" w:hAnsi="Verdana"/>
          <w:sz w:val="22"/>
          <w:szCs w:val="22"/>
        </w:rPr>
        <w:t xml:space="preserve">la </w:t>
      </w:r>
      <w:r w:rsidR="00674BB3" w:rsidRPr="00DA00E4">
        <w:rPr>
          <w:rFonts w:ascii="Verdana" w:hAnsi="Verdana"/>
          <w:sz w:val="22"/>
          <w:szCs w:val="22"/>
        </w:rPr>
        <w:t>R</w:t>
      </w:r>
      <w:r w:rsidRPr="00DA00E4">
        <w:rPr>
          <w:rFonts w:ascii="Verdana" w:hAnsi="Verdana"/>
          <w:sz w:val="22"/>
          <w:szCs w:val="22"/>
        </w:rPr>
        <w:t xml:space="preserve">esolución </w:t>
      </w:r>
      <w:r w:rsidR="004C2200" w:rsidRPr="00DA00E4">
        <w:rPr>
          <w:rFonts w:ascii="Verdana" w:hAnsi="Verdana"/>
          <w:sz w:val="22"/>
          <w:szCs w:val="22"/>
        </w:rPr>
        <w:t>8300</w:t>
      </w:r>
      <w:r w:rsidRPr="00DA00E4">
        <w:rPr>
          <w:rFonts w:ascii="Verdana" w:hAnsi="Verdana"/>
          <w:sz w:val="22"/>
          <w:szCs w:val="22"/>
        </w:rPr>
        <w:t xml:space="preserve"> </w:t>
      </w:r>
      <w:r w:rsidR="00E96FF8" w:rsidRPr="00DA00E4">
        <w:rPr>
          <w:rFonts w:ascii="Verdana" w:hAnsi="Verdana"/>
          <w:sz w:val="22"/>
          <w:szCs w:val="22"/>
        </w:rPr>
        <w:t>de</w:t>
      </w:r>
      <w:r w:rsidRPr="00DA00E4">
        <w:rPr>
          <w:rFonts w:ascii="Verdana" w:hAnsi="Verdana"/>
          <w:sz w:val="22"/>
          <w:szCs w:val="22"/>
        </w:rPr>
        <w:t xml:space="preserve"> 202</w:t>
      </w:r>
      <w:r w:rsidR="004C2200" w:rsidRPr="00DA00E4">
        <w:rPr>
          <w:rFonts w:ascii="Verdana" w:hAnsi="Verdana"/>
          <w:sz w:val="22"/>
          <w:szCs w:val="22"/>
        </w:rPr>
        <w:t>5</w:t>
      </w:r>
      <w:r w:rsidRPr="00DA00E4">
        <w:rPr>
          <w:rFonts w:ascii="Verdana" w:hAnsi="Verdana"/>
          <w:sz w:val="22"/>
          <w:szCs w:val="22"/>
        </w:rPr>
        <w:t xml:space="preserve">, en el sentido de </w:t>
      </w:r>
      <w:r w:rsidR="00081E6F" w:rsidRPr="00DA00E4">
        <w:rPr>
          <w:rFonts w:ascii="Verdana" w:hAnsi="Verdana"/>
          <w:sz w:val="22"/>
          <w:szCs w:val="22"/>
        </w:rPr>
        <w:t>adicionar</w:t>
      </w:r>
      <w:r w:rsidR="004F735E" w:rsidRPr="00DA00E4">
        <w:rPr>
          <w:rFonts w:ascii="Verdana" w:hAnsi="Verdana"/>
          <w:sz w:val="22"/>
          <w:szCs w:val="22"/>
        </w:rPr>
        <w:t xml:space="preserve"> el presupuesto asignado</w:t>
      </w:r>
      <w:r w:rsidR="00E96FF8" w:rsidRPr="00DA00E4">
        <w:rPr>
          <w:rFonts w:ascii="Verdana" w:hAnsi="Verdana"/>
          <w:sz w:val="22"/>
          <w:szCs w:val="22"/>
        </w:rPr>
        <w:t>.</w:t>
      </w:r>
    </w:p>
    <w:p w14:paraId="50B58C28" w14:textId="77777777" w:rsidR="001F5EBB" w:rsidRPr="00DA00E4" w:rsidRDefault="001F5EBB" w:rsidP="001C483F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</w:p>
    <w:bookmarkEnd w:id="3"/>
    <w:bookmarkEnd w:id="4"/>
    <w:p w14:paraId="6E8E2609" w14:textId="77777777" w:rsidR="00BF56FB" w:rsidRPr="00DA00E4" w:rsidRDefault="00BF56FB" w:rsidP="00BF56FB">
      <w:pPr>
        <w:spacing w:after="0" w:line="240" w:lineRule="auto"/>
        <w:jc w:val="both"/>
        <w:rPr>
          <w:rFonts w:ascii="Verdana" w:hAnsi="Verdana" w:cs="Arial"/>
        </w:rPr>
      </w:pPr>
      <w:r w:rsidRPr="00DA00E4">
        <w:rPr>
          <w:rFonts w:ascii="Verdana" w:hAnsi="Verdana" w:cs="Arial"/>
        </w:rPr>
        <w:t>En mérito de lo expuesto,</w:t>
      </w:r>
      <w:bookmarkEnd w:id="0"/>
      <w:bookmarkEnd w:id="1"/>
    </w:p>
    <w:p w14:paraId="5145F3DF" w14:textId="77777777" w:rsidR="00297362" w:rsidRPr="00DA43DB" w:rsidRDefault="00297362" w:rsidP="00BF56FB">
      <w:pPr>
        <w:spacing w:after="0" w:line="240" w:lineRule="auto"/>
        <w:jc w:val="both"/>
        <w:rPr>
          <w:rFonts w:ascii="Verdana" w:hAnsi="Verdana" w:cs="Arial"/>
        </w:rPr>
      </w:pPr>
    </w:p>
    <w:p w14:paraId="163E8A46" w14:textId="77777777" w:rsidR="00BF56FB" w:rsidRDefault="00BF56FB" w:rsidP="00BF56FB">
      <w:pPr>
        <w:spacing w:after="0" w:line="240" w:lineRule="auto"/>
        <w:jc w:val="center"/>
        <w:rPr>
          <w:rFonts w:ascii="Verdana" w:hAnsi="Verdana" w:cs="Arial"/>
          <w:b/>
        </w:rPr>
      </w:pPr>
      <w:r w:rsidRPr="00DA43DB">
        <w:rPr>
          <w:rFonts w:ascii="Verdana" w:hAnsi="Verdana" w:cs="Arial"/>
          <w:b/>
        </w:rPr>
        <w:t>RESUELVE:</w:t>
      </w:r>
    </w:p>
    <w:p w14:paraId="0B878BEE" w14:textId="77777777" w:rsidR="00297362" w:rsidRPr="00DA43DB" w:rsidRDefault="00297362" w:rsidP="00BF56FB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7CA591ED" w14:textId="02BBB3C3" w:rsidR="0058129C" w:rsidRPr="00DA43DB" w:rsidRDefault="00C72293" w:rsidP="00E851E0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  <w:r w:rsidRPr="00DA43DB">
        <w:rPr>
          <w:rFonts w:ascii="Verdana" w:hAnsi="Verdana"/>
          <w:b/>
          <w:sz w:val="22"/>
          <w:szCs w:val="22"/>
        </w:rPr>
        <w:t xml:space="preserve">ARTÍCULO </w:t>
      </w:r>
      <w:r w:rsidR="00555067">
        <w:rPr>
          <w:rFonts w:ascii="Verdana" w:hAnsi="Verdana"/>
          <w:b/>
          <w:sz w:val="22"/>
          <w:szCs w:val="22"/>
        </w:rPr>
        <w:t>1°.</w:t>
      </w:r>
      <w:r w:rsidR="00EA4F5F" w:rsidRPr="00DA43DB">
        <w:rPr>
          <w:rFonts w:ascii="Verdana" w:hAnsi="Verdana"/>
          <w:b/>
          <w:sz w:val="22"/>
          <w:szCs w:val="22"/>
        </w:rPr>
        <w:t xml:space="preserve"> </w:t>
      </w:r>
      <w:r w:rsidR="00BE63AC">
        <w:rPr>
          <w:rFonts w:ascii="Verdana" w:hAnsi="Verdana"/>
          <w:b/>
          <w:sz w:val="22"/>
          <w:szCs w:val="22"/>
        </w:rPr>
        <w:t>Adici</w:t>
      </w:r>
      <w:r w:rsidR="0015790F">
        <w:rPr>
          <w:rFonts w:ascii="Verdana" w:hAnsi="Verdana"/>
          <w:b/>
          <w:sz w:val="22"/>
          <w:szCs w:val="22"/>
        </w:rPr>
        <w:t xml:space="preserve">ónese </w:t>
      </w:r>
      <w:r w:rsidR="00A97870" w:rsidRPr="00DA43DB">
        <w:rPr>
          <w:rFonts w:ascii="Verdana" w:hAnsi="Verdana"/>
          <w:sz w:val="22"/>
          <w:szCs w:val="22"/>
        </w:rPr>
        <w:t xml:space="preserve">el artículo primero de la Resolución </w:t>
      </w:r>
      <w:r w:rsidR="00455A52" w:rsidRPr="00DA43DB">
        <w:rPr>
          <w:rFonts w:ascii="Verdana" w:hAnsi="Verdana"/>
          <w:sz w:val="22"/>
          <w:szCs w:val="22"/>
        </w:rPr>
        <w:t>8300</w:t>
      </w:r>
      <w:r w:rsidR="00A97870" w:rsidRPr="00DA43DB">
        <w:rPr>
          <w:rFonts w:ascii="Verdana" w:hAnsi="Verdana"/>
          <w:sz w:val="22"/>
          <w:szCs w:val="22"/>
        </w:rPr>
        <w:t xml:space="preserve"> de</w:t>
      </w:r>
      <w:r w:rsidR="00455A52" w:rsidRPr="00DA43DB">
        <w:rPr>
          <w:rFonts w:ascii="Verdana" w:hAnsi="Verdana"/>
          <w:sz w:val="22"/>
          <w:szCs w:val="22"/>
        </w:rPr>
        <w:t>l</w:t>
      </w:r>
      <w:r w:rsidR="00A97870" w:rsidRPr="00DA43DB">
        <w:rPr>
          <w:rFonts w:ascii="Verdana" w:hAnsi="Verdana"/>
          <w:sz w:val="22"/>
          <w:szCs w:val="22"/>
        </w:rPr>
        <w:t xml:space="preserve"> 202</w:t>
      </w:r>
      <w:r w:rsidR="00455A52" w:rsidRPr="00DA43DB">
        <w:rPr>
          <w:rFonts w:ascii="Verdana" w:hAnsi="Verdana"/>
          <w:sz w:val="22"/>
          <w:szCs w:val="22"/>
        </w:rPr>
        <w:t>5</w:t>
      </w:r>
      <w:r w:rsidR="00A97870" w:rsidRPr="00DA43DB">
        <w:rPr>
          <w:rFonts w:ascii="Verdana" w:hAnsi="Verdana"/>
          <w:sz w:val="22"/>
          <w:szCs w:val="22"/>
        </w:rPr>
        <w:t xml:space="preserve">, </w:t>
      </w:r>
      <w:r w:rsidR="00084DAA">
        <w:rPr>
          <w:rFonts w:ascii="Verdana" w:hAnsi="Verdana"/>
          <w:sz w:val="22"/>
          <w:szCs w:val="22"/>
        </w:rPr>
        <w:t xml:space="preserve">con los siguientes </w:t>
      </w:r>
      <w:r w:rsidR="00A97870" w:rsidRPr="00DA43DB">
        <w:rPr>
          <w:rFonts w:ascii="Verdana" w:hAnsi="Verdana"/>
          <w:sz w:val="22"/>
          <w:szCs w:val="22"/>
        </w:rPr>
        <w:t xml:space="preserve">recursos asignados, </w:t>
      </w:r>
      <w:r w:rsidR="00BA6CBE">
        <w:rPr>
          <w:rFonts w:ascii="Verdana" w:hAnsi="Verdana"/>
          <w:sz w:val="22"/>
          <w:szCs w:val="22"/>
        </w:rPr>
        <w:t>en la</w:t>
      </w:r>
      <w:r w:rsidR="00A97870" w:rsidRPr="00DA43DB">
        <w:rPr>
          <w:rFonts w:ascii="Verdana" w:hAnsi="Verdana"/>
          <w:sz w:val="22"/>
          <w:szCs w:val="22"/>
        </w:rPr>
        <w:t xml:space="preserve"> suma de</w:t>
      </w:r>
      <w:r w:rsidR="00A97870" w:rsidRPr="00DA43DB">
        <w:rPr>
          <w:rFonts w:ascii="Verdana" w:hAnsi="Verdana"/>
          <w:b/>
          <w:bCs/>
          <w:sz w:val="22"/>
          <w:szCs w:val="22"/>
        </w:rPr>
        <w:t xml:space="preserve"> </w:t>
      </w:r>
      <w:r w:rsidR="00455A52" w:rsidRPr="00DA43DB">
        <w:rPr>
          <w:rFonts w:ascii="Verdana" w:hAnsi="Verdana"/>
          <w:b/>
          <w:bCs/>
          <w:sz w:val="22"/>
          <w:szCs w:val="22"/>
          <w:lang w:val="es-ES"/>
        </w:rPr>
        <w:t>DOSCIENTOS OCHENTA MIL MILLONES DE PESOS M/CTE</w:t>
      </w:r>
      <w:r w:rsidR="00455A52" w:rsidRPr="00DA43DB">
        <w:rPr>
          <w:rFonts w:ascii="Verdana" w:hAnsi="Verdana"/>
          <w:sz w:val="22"/>
          <w:szCs w:val="22"/>
          <w:lang w:val="es-ES"/>
        </w:rPr>
        <w:t xml:space="preserve"> </w:t>
      </w:r>
      <w:r w:rsidR="00455A52" w:rsidRPr="00DA43DB">
        <w:rPr>
          <w:rFonts w:ascii="Verdana" w:hAnsi="Verdana"/>
          <w:b/>
          <w:bCs/>
          <w:sz w:val="22"/>
          <w:szCs w:val="22"/>
          <w:lang w:val="es-ES"/>
        </w:rPr>
        <w:t>(</w:t>
      </w:r>
      <w:r w:rsidR="003F29EE">
        <w:rPr>
          <w:rFonts w:ascii="Verdana" w:hAnsi="Verdana"/>
          <w:b/>
          <w:bCs/>
          <w:sz w:val="22"/>
          <w:szCs w:val="22"/>
          <w:lang w:val="es-ES"/>
        </w:rPr>
        <w:t>$</w:t>
      </w:r>
      <w:r w:rsidR="00455A52" w:rsidRPr="00DA43DB">
        <w:rPr>
          <w:rFonts w:ascii="Verdana" w:hAnsi="Verdana"/>
          <w:b/>
          <w:bCs/>
          <w:sz w:val="22"/>
          <w:szCs w:val="22"/>
          <w:lang w:val="es-ES"/>
        </w:rPr>
        <w:t>280.000.000.000)</w:t>
      </w:r>
      <w:r w:rsidR="00A97870" w:rsidRPr="00DA43DB">
        <w:rPr>
          <w:rFonts w:ascii="Verdana" w:hAnsi="Verdana"/>
          <w:sz w:val="22"/>
          <w:szCs w:val="22"/>
        </w:rPr>
        <w:t>,</w:t>
      </w:r>
      <w:r w:rsidR="0058129C" w:rsidRPr="00DA43DB">
        <w:rPr>
          <w:rFonts w:ascii="Verdana" w:hAnsi="Verdana"/>
          <w:sz w:val="22"/>
          <w:szCs w:val="22"/>
        </w:rPr>
        <w:t xml:space="preserve"> de conformidad con el siguiente detalle:</w:t>
      </w:r>
    </w:p>
    <w:p w14:paraId="03A5705D" w14:textId="77777777" w:rsidR="00581674" w:rsidRPr="002D5B25" w:rsidRDefault="00581674" w:rsidP="002D5B25">
      <w:pPr>
        <w:spacing w:after="0"/>
        <w:rPr>
          <w:rFonts w:ascii="Verdana" w:hAnsi="Verdana" w:cs="Arial"/>
          <w:b/>
          <w:bCs/>
          <w:sz w:val="16"/>
          <w:szCs w:val="16"/>
        </w:rPr>
      </w:pPr>
    </w:p>
    <w:p w14:paraId="0ADAC1EA" w14:textId="6F85D0B7" w:rsidR="0058129C" w:rsidRPr="002D5B25" w:rsidRDefault="00581674" w:rsidP="00051965">
      <w:pPr>
        <w:spacing w:after="0"/>
        <w:jc w:val="center"/>
        <w:rPr>
          <w:rFonts w:ascii="Verdana" w:hAnsi="Verdana" w:cs="Arial"/>
          <w:b/>
          <w:bCs/>
          <w:i/>
          <w:iCs/>
          <w:sz w:val="16"/>
          <w:szCs w:val="16"/>
        </w:rPr>
      </w:pPr>
      <w:r w:rsidRPr="002D5B25">
        <w:rPr>
          <w:rFonts w:ascii="Verdana" w:hAnsi="Verdana" w:cs="Arial"/>
          <w:b/>
          <w:bCs/>
          <w:i/>
          <w:iCs/>
          <w:sz w:val="16"/>
          <w:szCs w:val="16"/>
        </w:rPr>
        <w:t>Tabla N°1</w:t>
      </w:r>
    </w:p>
    <w:p w14:paraId="36AA82BB" w14:textId="328AC514" w:rsidR="00601C12" w:rsidRPr="002D5B25" w:rsidRDefault="00601C12" w:rsidP="00051965">
      <w:pPr>
        <w:spacing w:after="0"/>
        <w:jc w:val="center"/>
        <w:rPr>
          <w:rFonts w:ascii="Verdana" w:hAnsi="Verdana" w:cs="Arial"/>
          <w:i/>
          <w:iCs/>
          <w:sz w:val="16"/>
          <w:szCs w:val="16"/>
        </w:rPr>
      </w:pPr>
      <w:r w:rsidRPr="002D5B25">
        <w:rPr>
          <w:rFonts w:ascii="Verdana" w:hAnsi="Verdana" w:cs="Arial"/>
          <w:i/>
          <w:iCs/>
          <w:sz w:val="16"/>
          <w:szCs w:val="16"/>
        </w:rPr>
        <w:t xml:space="preserve">Adición de recursos </w:t>
      </w:r>
      <w:r w:rsidR="007971E2" w:rsidRPr="002D5B25">
        <w:rPr>
          <w:rFonts w:ascii="Verdana" w:hAnsi="Verdana" w:cs="Arial"/>
          <w:i/>
          <w:iCs/>
          <w:sz w:val="16"/>
          <w:szCs w:val="16"/>
        </w:rPr>
        <w:t>- Ingresos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76"/>
        <w:gridCol w:w="5151"/>
        <w:gridCol w:w="2089"/>
      </w:tblGrid>
      <w:tr w:rsidR="008A1486" w:rsidRPr="00DA43DB" w14:paraId="73528F88" w14:textId="77777777" w:rsidTr="002E593D">
        <w:trPr>
          <w:jc w:val="center"/>
        </w:trPr>
        <w:tc>
          <w:tcPr>
            <w:tcW w:w="1476" w:type="dxa"/>
            <w:shd w:val="clear" w:color="auto" w:fill="DBDBDB" w:themeFill="accent3" w:themeFillTint="66"/>
          </w:tcPr>
          <w:p w14:paraId="66F3AA43" w14:textId="66B3CFF9" w:rsidR="008A1486" w:rsidRPr="00DA43DB" w:rsidRDefault="00594590" w:rsidP="00594590">
            <w:pPr>
              <w:pStyle w:val="Default"/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A43DB">
              <w:rPr>
                <w:rFonts w:ascii="Verdana" w:hAnsi="Verdana"/>
                <w:b/>
                <w:bCs/>
                <w:sz w:val="18"/>
                <w:szCs w:val="18"/>
              </w:rPr>
              <w:t>RUBRO</w:t>
            </w:r>
          </w:p>
        </w:tc>
        <w:tc>
          <w:tcPr>
            <w:tcW w:w="5151" w:type="dxa"/>
            <w:shd w:val="clear" w:color="auto" w:fill="DBDBDB" w:themeFill="accent3" w:themeFillTint="66"/>
          </w:tcPr>
          <w:p w14:paraId="2CD7BD1C" w14:textId="445FA955" w:rsidR="008A1486" w:rsidRPr="00DA43DB" w:rsidRDefault="00594590" w:rsidP="00594590">
            <w:pPr>
              <w:pStyle w:val="Default"/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A43DB">
              <w:rPr>
                <w:rFonts w:ascii="Verdana" w:hAnsi="Verdana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2089" w:type="dxa"/>
            <w:shd w:val="clear" w:color="auto" w:fill="DBDBDB" w:themeFill="accent3" w:themeFillTint="66"/>
          </w:tcPr>
          <w:p w14:paraId="6B7E9CCF" w14:textId="23372EEF" w:rsidR="008A1486" w:rsidRPr="00DA43DB" w:rsidRDefault="00594590" w:rsidP="00594590">
            <w:pPr>
              <w:pStyle w:val="Default"/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A43DB">
              <w:rPr>
                <w:rFonts w:ascii="Verdana" w:hAnsi="Verdana"/>
                <w:b/>
                <w:bCs/>
                <w:sz w:val="18"/>
                <w:szCs w:val="18"/>
              </w:rPr>
              <w:t>VALOR</w:t>
            </w:r>
          </w:p>
        </w:tc>
      </w:tr>
      <w:tr w:rsidR="002E593D" w:rsidRPr="00DA43DB" w14:paraId="522E0C18" w14:textId="77777777" w:rsidTr="002E593D">
        <w:trPr>
          <w:jc w:val="center"/>
        </w:trPr>
        <w:tc>
          <w:tcPr>
            <w:tcW w:w="1476" w:type="dxa"/>
          </w:tcPr>
          <w:p w14:paraId="4159489F" w14:textId="30FD778C" w:rsidR="002E593D" w:rsidRPr="00DA43DB" w:rsidRDefault="002E593D" w:rsidP="002E593D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A43DB">
              <w:rPr>
                <w:rFonts w:ascii="Verdana" w:hAnsi="Verdana"/>
                <w:sz w:val="18"/>
                <w:szCs w:val="18"/>
                <w:lang w:eastAsia="en-US"/>
              </w:rPr>
              <w:t>1-0-00-1</w:t>
            </w:r>
          </w:p>
        </w:tc>
        <w:tc>
          <w:tcPr>
            <w:tcW w:w="5151" w:type="dxa"/>
          </w:tcPr>
          <w:p w14:paraId="1943CB1D" w14:textId="06E002F7" w:rsidR="002E593D" w:rsidRPr="00DA43DB" w:rsidRDefault="002E593D" w:rsidP="002E593D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A43DB">
              <w:rPr>
                <w:rFonts w:ascii="Verdana" w:hAnsi="Verdana"/>
                <w:sz w:val="18"/>
                <w:szCs w:val="18"/>
                <w:lang w:eastAsia="en-US"/>
              </w:rPr>
              <w:t>Ingresos Corrientes</w:t>
            </w:r>
          </w:p>
        </w:tc>
        <w:tc>
          <w:tcPr>
            <w:tcW w:w="2089" w:type="dxa"/>
          </w:tcPr>
          <w:p w14:paraId="58D3D8B9" w14:textId="5ADE6DAF" w:rsidR="002E593D" w:rsidRPr="00DA43DB" w:rsidRDefault="002E593D" w:rsidP="002E593D">
            <w:pPr>
              <w:pStyle w:val="Default"/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DA43DB">
              <w:rPr>
                <w:rFonts w:ascii="Verdana" w:hAnsi="Verdana"/>
                <w:sz w:val="18"/>
                <w:szCs w:val="18"/>
                <w:lang w:eastAsia="en-US"/>
              </w:rPr>
              <w:t>$280.000.000.000</w:t>
            </w:r>
          </w:p>
        </w:tc>
      </w:tr>
    </w:tbl>
    <w:p w14:paraId="19D86C50" w14:textId="75D3D20D" w:rsidR="0058129C" w:rsidRPr="002D5B25" w:rsidRDefault="002D5B25" w:rsidP="002D5B25">
      <w:pPr>
        <w:pStyle w:val="Default"/>
        <w:spacing w:line="276" w:lineRule="auto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b/>
          <w:bCs/>
          <w:sz w:val="18"/>
          <w:szCs w:val="18"/>
        </w:rPr>
        <w:t xml:space="preserve">      </w:t>
      </w:r>
      <w:r w:rsidR="007971E2" w:rsidRPr="002D5B25">
        <w:rPr>
          <w:rFonts w:ascii="Verdana" w:hAnsi="Verdana"/>
          <w:b/>
          <w:bCs/>
          <w:i/>
          <w:iCs/>
          <w:sz w:val="16"/>
          <w:szCs w:val="16"/>
        </w:rPr>
        <w:t>Fuente:</w:t>
      </w:r>
      <w:r w:rsidR="007971E2" w:rsidRPr="002D5B25">
        <w:rPr>
          <w:rFonts w:ascii="Verdana" w:hAnsi="Verdana"/>
          <w:i/>
          <w:iCs/>
          <w:sz w:val="16"/>
          <w:szCs w:val="16"/>
        </w:rPr>
        <w:t xml:space="preserve"> Grupo de Tesorería – Dirección Financiera</w:t>
      </w:r>
    </w:p>
    <w:p w14:paraId="00A43435" w14:textId="77777777" w:rsidR="007971E2" w:rsidRPr="002D5B25" w:rsidRDefault="007971E2" w:rsidP="00E851E0">
      <w:pPr>
        <w:pStyle w:val="Default"/>
        <w:spacing w:line="276" w:lineRule="auto"/>
        <w:jc w:val="both"/>
        <w:rPr>
          <w:rFonts w:ascii="Verdana" w:hAnsi="Verdana"/>
          <w:b/>
          <w:i/>
          <w:iCs/>
          <w:sz w:val="16"/>
          <w:szCs w:val="16"/>
        </w:rPr>
      </w:pPr>
    </w:p>
    <w:p w14:paraId="000B39AD" w14:textId="64423162" w:rsidR="00BF56FB" w:rsidRPr="00DA43DB" w:rsidRDefault="00BF56FB" w:rsidP="00E851E0">
      <w:pPr>
        <w:pStyle w:val="Default"/>
        <w:spacing w:line="276" w:lineRule="auto"/>
        <w:jc w:val="both"/>
        <w:rPr>
          <w:rFonts w:ascii="Verdana" w:hAnsi="Verdana"/>
          <w:sz w:val="22"/>
          <w:szCs w:val="22"/>
        </w:rPr>
      </w:pPr>
      <w:r w:rsidRPr="00DA43DB">
        <w:rPr>
          <w:rFonts w:ascii="Verdana" w:hAnsi="Verdana"/>
          <w:b/>
          <w:sz w:val="22"/>
          <w:szCs w:val="22"/>
        </w:rPr>
        <w:t xml:space="preserve">ARTÍCULO </w:t>
      </w:r>
      <w:r w:rsidR="00555067">
        <w:rPr>
          <w:rFonts w:ascii="Verdana" w:hAnsi="Verdana"/>
          <w:b/>
          <w:sz w:val="22"/>
          <w:szCs w:val="22"/>
        </w:rPr>
        <w:t>2°.</w:t>
      </w:r>
      <w:r w:rsidRPr="00DA43DB">
        <w:rPr>
          <w:rFonts w:ascii="Verdana" w:hAnsi="Verdana"/>
          <w:sz w:val="22"/>
          <w:szCs w:val="22"/>
        </w:rPr>
        <w:t xml:space="preserve"> </w:t>
      </w:r>
      <w:bookmarkStart w:id="5" w:name="_Hlk26518386"/>
      <w:r w:rsidR="00A91AB7">
        <w:rPr>
          <w:rFonts w:ascii="Verdana" w:hAnsi="Verdana"/>
          <w:sz w:val="22"/>
          <w:szCs w:val="22"/>
        </w:rPr>
        <w:t>Adiciónese el</w:t>
      </w:r>
      <w:r w:rsidR="007C5D08" w:rsidRPr="00DA43DB">
        <w:rPr>
          <w:rFonts w:ascii="Verdana" w:hAnsi="Verdana"/>
          <w:sz w:val="22"/>
          <w:szCs w:val="22"/>
        </w:rPr>
        <w:t xml:space="preserve"> artículo segundo de </w:t>
      </w:r>
      <w:r w:rsidR="00231890" w:rsidRPr="00DA43DB">
        <w:rPr>
          <w:rFonts w:ascii="Verdana" w:hAnsi="Verdana"/>
          <w:sz w:val="22"/>
          <w:szCs w:val="22"/>
        </w:rPr>
        <w:t xml:space="preserve">la </w:t>
      </w:r>
      <w:r w:rsidR="004E22A3" w:rsidRPr="00DA43DB">
        <w:rPr>
          <w:rFonts w:ascii="Verdana" w:hAnsi="Verdana"/>
          <w:sz w:val="22"/>
          <w:szCs w:val="22"/>
        </w:rPr>
        <w:t xml:space="preserve">Resolución 8300 del 2025, </w:t>
      </w:r>
      <w:r w:rsidR="00ED2B39">
        <w:rPr>
          <w:rFonts w:ascii="Verdana" w:hAnsi="Verdana"/>
          <w:sz w:val="22"/>
          <w:szCs w:val="22"/>
        </w:rPr>
        <w:t>con la siguiente desagregación de recursos</w:t>
      </w:r>
      <w:r w:rsidR="004E22A3" w:rsidRPr="00DA43DB">
        <w:rPr>
          <w:rFonts w:ascii="Verdana" w:hAnsi="Verdana"/>
          <w:sz w:val="22"/>
          <w:szCs w:val="22"/>
        </w:rPr>
        <w:t xml:space="preserve">, </w:t>
      </w:r>
      <w:r w:rsidR="00D57397">
        <w:rPr>
          <w:rFonts w:ascii="Verdana" w:hAnsi="Verdana"/>
          <w:sz w:val="22"/>
          <w:szCs w:val="22"/>
        </w:rPr>
        <w:t>en</w:t>
      </w:r>
      <w:r w:rsidR="004E22A3" w:rsidRPr="00DA43DB">
        <w:rPr>
          <w:rFonts w:ascii="Verdana" w:hAnsi="Verdana"/>
          <w:sz w:val="22"/>
          <w:szCs w:val="22"/>
        </w:rPr>
        <w:t xml:space="preserve"> la suma de</w:t>
      </w:r>
      <w:r w:rsidR="004E22A3" w:rsidRPr="00DA43DB">
        <w:rPr>
          <w:rFonts w:ascii="Verdana" w:hAnsi="Verdana"/>
          <w:b/>
          <w:bCs/>
          <w:sz w:val="22"/>
          <w:szCs w:val="22"/>
        </w:rPr>
        <w:t xml:space="preserve"> </w:t>
      </w:r>
      <w:r w:rsidR="004E22A3" w:rsidRPr="00DA43DB">
        <w:rPr>
          <w:rFonts w:ascii="Verdana" w:hAnsi="Verdana"/>
          <w:b/>
          <w:bCs/>
          <w:sz w:val="22"/>
          <w:szCs w:val="22"/>
          <w:lang w:val="es-ES"/>
        </w:rPr>
        <w:t>DOSCIENTOS OCHENTA MIL MILLONES DE PESOS M/CTE</w:t>
      </w:r>
      <w:r w:rsidR="004E22A3" w:rsidRPr="00DA43DB">
        <w:rPr>
          <w:rFonts w:ascii="Verdana" w:hAnsi="Verdana"/>
          <w:sz w:val="22"/>
          <w:szCs w:val="22"/>
          <w:lang w:val="es-ES"/>
        </w:rPr>
        <w:t xml:space="preserve"> </w:t>
      </w:r>
      <w:r w:rsidR="004E22A3" w:rsidRPr="00DA43DB">
        <w:rPr>
          <w:rFonts w:ascii="Verdana" w:hAnsi="Verdana"/>
          <w:b/>
          <w:bCs/>
          <w:sz w:val="22"/>
          <w:szCs w:val="22"/>
          <w:lang w:val="es-ES"/>
        </w:rPr>
        <w:t>(</w:t>
      </w:r>
      <w:r w:rsidR="003F29EE">
        <w:rPr>
          <w:rFonts w:ascii="Verdana" w:hAnsi="Verdana"/>
          <w:b/>
          <w:bCs/>
          <w:sz w:val="22"/>
          <w:szCs w:val="22"/>
          <w:lang w:val="es-ES"/>
        </w:rPr>
        <w:t>$</w:t>
      </w:r>
      <w:r w:rsidR="004E22A3" w:rsidRPr="00DA43DB">
        <w:rPr>
          <w:rFonts w:ascii="Verdana" w:hAnsi="Verdana"/>
          <w:b/>
          <w:bCs/>
          <w:sz w:val="22"/>
          <w:szCs w:val="22"/>
          <w:lang w:val="es-ES"/>
        </w:rPr>
        <w:t>280.000.000.000)</w:t>
      </w:r>
      <w:r w:rsidR="004E22A3" w:rsidRPr="00DA43DB">
        <w:rPr>
          <w:rFonts w:ascii="Verdana" w:hAnsi="Verdana"/>
          <w:sz w:val="22"/>
          <w:szCs w:val="22"/>
        </w:rPr>
        <w:t>, de conformidad con el siguiente detalle</w:t>
      </w:r>
      <w:r w:rsidRPr="00DA43DB">
        <w:rPr>
          <w:rFonts w:ascii="Verdana" w:hAnsi="Verdana"/>
          <w:sz w:val="22"/>
          <w:szCs w:val="22"/>
        </w:rPr>
        <w:t xml:space="preserve">: </w:t>
      </w:r>
      <w:bookmarkEnd w:id="5"/>
    </w:p>
    <w:p w14:paraId="0318A78B" w14:textId="77777777" w:rsidR="00DA00E4" w:rsidRPr="002D5B25" w:rsidRDefault="00DA00E4" w:rsidP="002D5B25">
      <w:pPr>
        <w:spacing w:after="0"/>
        <w:rPr>
          <w:rFonts w:ascii="Verdana" w:hAnsi="Verdana" w:cs="Arial"/>
          <w:i/>
          <w:iCs/>
          <w:sz w:val="16"/>
          <w:szCs w:val="16"/>
        </w:rPr>
      </w:pPr>
    </w:p>
    <w:p w14:paraId="1BADAE19" w14:textId="77777777" w:rsidR="002D5B25" w:rsidRDefault="00581674" w:rsidP="00051965">
      <w:pPr>
        <w:spacing w:after="0"/>
        <w:jc w:val="center"/>
        <w:rPr>
          <w:rFonts w:ascii="Verdana" w:hAnsi="Verdana" w:cs="Arial"/>
          <w:b/>
          <w:bCs/>
          <w:i/>
          <w:iCs/>
          <w:sz w:val="16"/>
          <w:szCs w:val="16"/>
        </w:rPr>
      </w:pPr>
      <w:r w:rsidRPr="002D5B25">
        <w:rPr>
          <w:rFonts w:ascii="Verdana" w:hAnsi="Verdana" w:cs="Arial"/>
          <w:b/>
          <w:bCs/>
          <w:i/>
          <w:iCs/>
          <w:sz w:val="16"/>
          <w:szCs w:val="16"/>
        </w:rPr>
        <w:t>Tabla N°2</w:t>
      </w:r>
    </w:p>
    <w:p w14:paraId="1F2098B0" w14:textId="3C942DCC" w:rsidR="007971E2" w:rsidRPr="002D5B25" w:rsidRDefault="007971E2" w:rsidP="00051965">
      <w:pPr>
        <w:spacing w:after="0"/>
        <w:jc w:val="center"/>
        <w:rPr>
          <w:rFonts w:ascii="Verdana" w:hAnsi="Verdana" w:cs="Arial"/>
          <w:b/>
          <w:bCs/>
          <w:i/>
          <w:iCs/>
          <w:sz w:val="16"/>
          <w:szCs w:val="16"/>
        </w:rPr>
      </w:pPr>
      <w:r w:rsidRPr="002D5B25">
        <w:rPr>
          <w:rFonts w:ascii="Verdana" w:hAnsi="Verdana" w:cs="Arial"/>
          <w:i/>
          <w:iCs/>
          <w:sz w:val="16"/>
          <w:szCs w:val="16"/>
        </w:rPr>
        <w:t xml:space="preserve">Desagregación </w:t>
      </w:r>
      <w:r w:rsidR="0044779C" w:rsidRPr="002D5B25">
        <w:rPr>
          <w:rFonts w:ascii="Verdana" w:hAnsi="Verdana" w:cs="Arial"/>
          <w:i/>
          <w:iCs/>
          <w:sz w:val="16"/>
          <w:szCs w:val="16"/>
        </w:rPr>
        <w:t xml:space="preserve">adición de recursos </w:t>
      </w:r>
      <w:r w:rsidR="00890A47" w:rsidRPr="002D5B25">
        <w:rPr>
          <w:rFonts w:ascii="Verdana" w:hAnsi="Verdana" w:cs="Arial"/>
          <w:i/>
          <w:iCs/>
          <w:sz w:val="16"/>
          <w:szCs w:val="16"/>
        </w:rPr>
        <w:t>–</w:t>
      </w:r>
      <w:r w:rsidR="0044779C" w:rsidRPr="002D5B25">
        <w:rPr>
          <w:rFonts w:ascii="Verdana" w:hAnsi="Verdana" w:cs="Arial"/>
          <w:i/>
          <w:iCs/>
          <w:sz w:val="16"/>
          <w:szCs w:val="16"/>
        </w:rPr>
        <w:t xml:space="preserve"> </w:t>
      </w:r>
      <w:r w:rsidR="002D5B25" w:rsidRPr="002D5B25">
        <w:rPr>
          <w:rFonts w:ascii="Verdana" w:hAnsi="Verdana" w:cs="Arial"/>
          <w:i/>
          <w:iCs/>
          <w:sz w:val="16"/>
          <w:szCs w:val="16"/>
        </w:rPr>
        <w:t>g</w:t>
      </w:r>
      <w:r w:rsidR="0044779C" w:rsidRPr="002D5B25">
        <w:rPr>
          <w:rFonts w:ascii="Verdana" w:hAnsi="Verdana" w:cs="Arial"/>
          <w:i/>
          <w:iCs/>
          <w:sz w:val="16"/>
          <w:szCs w:val="16"/>
        </w:rPr>
        <w:t>astos</w:t>
      </w:r>
    </w:p>
    <w:tbl>
      <w:tblPr>
        <w:tblStyle w:val="Tablaconcuadrcula"/>
        <w:tblW w:w="5356" w:type="pct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710"/>
        <w:gridCol w:w="708"/>
        <w:gridCol w:w="711"/>
        <w:gridCol w:w="851"/>
        <w:gridCol w:w="849"/>
        <w:gridCol w:w="709"/>
        <w:gridCol w:w="568"/>
        <w:gridCol w:w="568"/>
        <w:gridCol w:w="2148"/>
        <w:gridCol w:w="1683"/>
      </w:tblGrid>
      <w:tr w:rsidR="00353858" w:rsidRPr="00DA43DB" w14:paraId="4EE66F44" w14:textId="77777777" w:rsidTr="00DA00E4">
        <w:trPr>
          <w:trHeight w:val="340"/>
          <w:tblHeader/>
          <w:jc w:val="center"/>
        </w:trPr>
        <w:tc>
          <w:tcPr>
            <w:tcW w:w="278" w:type="pct"/>
            <w:shd w:val="clear" w:color="auto" w:fill="EDEDED" w:themeFill="accent3" w:themeFillTint="33"/>
            <w:vAlign w:val="center"/>
          </w:tcPr>
          <w:p w14:paraId="39F5CECA" w14:textId="6EB9BC5C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lastRenderedPageBreak/>
              <w:t>TIPO</w:t>
            </w:r>
          </w:p>
        </w:tc>
        <w:tc>
          <w:tcPr>
            <w:tcW w:w="353" w:type="pct"/>
            <w:shd w:val="clear" w:color="auto" w:fill="E7E6E6" w:themeFill="background2"/>
            <w:vAlign w:val="center"/>
          </w:tcPr>
          <w:p w14:paraId="276C212A" w14:textId="0717615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PROG</w:t>
            </w:r>
          </w:p>
        </w:tc>
        <w:tc>
          <w:tcPr>
            <w:tcW w:w="352" w:type="pct"/>
            <w:shd w:val="clear" w:color="auto" w:fill="EDEDED" w:themeFill="accent3" w:themeFillTint="33"/>
            <w:vAlign w:val="center"/>
          </w:tcPr>
          <w:p w14:paraId="260AE8DC" w14:textId="72B1BB5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SUB PROG</w:t>
            </w:r>
          </w:p>
        </w:tc>
        <w:tc>
          <w:tcPr>
            <w:tcW w:w="353" w:type="pct"/>
            <w:shd w:val="clear" w:color="auto" w:fill="EDEDED" w:themeFill="accent3" w:themeFillTint="33"/>
            <w:vAlign w:val="center"/>
          </w:tcPr>
          <w:p w14:paraId="0B9412B9" w14:textId="7FC4BB8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2"/>
                <w:szCs w:val="12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PROY</w:t>
            </w:r>
          </w:p>
        </w:tc>
        <w:tc>
          <w:tcPr>
            <w:tcW w:w="423" w:type="pct"/>
            <w:shd w:val="clear" w:color="auto" w:fill="EDEDED" w:themeFill="accent3" w:themeFillTint="33"/>
            <w:vAlign w:val="center"/>
          </w:tcPr>
          <w:p w14:paraId="4A9EEBAB" w14:textId="61544CD5" w:rsidR="00353858" w:rsidRPr="00DA43DB" w:rsidRDefault="00DA43DB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SUB PROY</w:t>
            </w:r>
          </w:p>
        </w:tc>
        <w:tc>
          <w:tcPr>
            <w:tcW w:w="422" w:type="pct"/>
            <w:shd w:val="clear" w:color="auto" w:fill="EDEDED" w:themeFill="accent3" w:themeFillTint="33"/>
            <w:vAlign w:val="center"/>
          </w:tcPr>
          <w:p w14:paraId="4DC3DC42" w14:textId="0F187A0E" w:rsidR="00353858" w:rsidRPr="00DA43DB" w:rsidRDefault="00DA43DB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eastAsia="es-CO"/>
              </w:rPr>
              <w:t>SUB</w:t>
            </w:r>
            <w:r>
              <w:rPr>
                <w:rFonts w:ascii="Verdana" w:hAnsi="Verdana" w:cs="Arial"/>
                <w:bCs/>
                <w:sz w:val="12"/>
                <w:szCs w:val="12"/>
                <w:lang w:eastAsia="es-CO"/>
              </w:rPr>
              <w:t xml:space="preserve"> </w:t>
            </w:r>
            <w:r w:rsidRPr="00DA43DB">
              <w:rPr>
                <w:rFonts w:ascii="Verdana" w:hAnsi="Verdana" w:cs="Arial"/>
                <w:bCs/>
                <w:sz w:val="12"/>
                <w:szCs w:val="12"/>
                <w:lang w:eastAsia="es-CO"/>
              </w:rPr>
              <w:t>ORD</w:t>
            </w:r>
            <w:r>
              <w:rPr>
                <w:rFonts w:ascii="Verdana" w:hAnsi="Verdana" w:cs="Arial"/>
                <w:bCs/>
                <w:sz w:val="12"/>
                <w:szCs w:val="12"/>
                <w:lang w:eastAsia="es-CO"/>
              </w:rPr>
              <w:t>INAL</w:t>
            </w: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6DE5A159" w14:textId="72A8406A" w:rsidR="00353858" w:rsidRPr="00DA43DB" w:rsidRDefault="00DA43DB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eastAsia="es-CO"/>
              </w:rPr>
              <w:t>ÍTEM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4D289C74" w14:textId="0E53AC6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eastAsia="es-CO"/>
              </w:rPr>
              <w:t>DEP</w:t>
            </w:r>
          </w:p>
        </w:tc>
        <w:tc>
          <w:tcPr>
            <w:tcW w:w="282" w:type="pct"/>
            <w:shd w:val="clear" w:color="auto" w:fill="EDEDED" w:themeFill="accent3" w:themeFillTint="33"/>
            <w:vAlign w:val="center"/>
          </w:tcPr>
          <w:p w14:paraId="48607167" w14:textId="576B5F0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REC</w:t>
            </w:r>
          </w:p>
        </w:tc>
        <w:tc>
          <w:tcPr>
            <w:tcW w:w="1067" w:type="pct"/>
            <w:shd w:val="clear" w:color="auto" w:fill="EDEDED" w:themeFill="accent3" w:themeFillTint="33"/>
            <w:vAlign w:val="center"/>
          </w:tcPr>
          <w:p w14:paraId="36EB4DA4" w14:textId="24791889" w:rsidR="00353858" w:rsidRPr="00DA43DB" w:rsidRDefault="00C84ACB" w:rsidP="00122B71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DESCRIPCIÓN</w:t>
            </w:r>
          </w:p>
        </w:tc>
        <w:tc>
          <w:tcPr>
            <w:tcW w:w="836" w:type="pct"/>
            <w:shd w:val="clear" w:color="auto" w:fill="EDEDED" w:themeFill="accent3" w:themeFillTint="33"/>
            <w:vAlign w:val="center"/>
          </w:tcPr>
          <w:p w14:paraId="7C0E6284" w14:textId="0C06CAD7" w:rsidR="00353858" w:rsidRPr="00DA43DB" w:rsidRDefault="00353858" w:rsidP="00C84ACB">
            <w:pPr>
              <w:pStyle w:val="Textoindependiente2"/>
              <w:jc w:val="center"/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2"/>
                <w:szCs w:val="12"/>
                <w:lang w:val="es-CO" w:eastAsia="es-CO"/>
              </w:rPr>
              <w:t>VALOR</w:t>
            </w:r>
          </w:p>
        </w:tc>
      </w:tr>
      <w:tr w:rsidR="00353858" w:rsidRPr="00DA43DB" w14:paraId="44544F43" w14:textId="77777777" w:rsidTr="00C84ACB">
        <w:trPr>
          <w:trHeight w:val="340"/>
          <w:jc w:val="center"/>
        </w:trPr>
        <w:tc>
          <w:tcPr>
            <w:tcW w:w="278" w:type="pct"/>
            <w:shd w:val="clear" w:color="auto" w:fill="FFFFFF" w:themeFill="background1"/>
            <w:vAlign w:val="center"/>
          </w:tcPr>
          <w:p w14:paraId="794773B8" w14:textId="5F3A90BC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0DDD0EE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452F48E3" w14:textId="5EA591F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420C0DCC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637A2313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5FA0732E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296F9F67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14:paraId="65FE59DA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14:paraId="361535DC" w14:textId="2A06E7F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sz w:val="14"/>
                <w:szCs w:val="14"/>
                <w:lang w:val="es-CO" w:eastAsia="es-CO"/>
              </w:rPr>
              <w:t>10</w:t>
            </w:r>
          </w:p>
        </w:tc>
        <w:tc>
          <w:tcPr>
            <w:tcW w:w="1067" w:type="pct"/>
            <w:shd w:val="clear" w:color="auto" w:fill="FFFFFF" w:themeFill="background1"/>
            <w:vAlign w:val="center"/>
          </w:tcPr>
          <w:p w14:paraId="66C0154E" w14:textId="3E91237F" w:rsidR="00353858" w:rsidRPr="00DA43DB" w:rsidRDefault="00353858" w:rsidP="00911DD1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4"/>
                <w:szCs w:val="14"/>
              </w:rPr>
            </w:pPr>
            <w:r w:rsidRPr="00DA43DB">
              <w:rPr>
                <w:rFonts w:ascii="Verdana" w:hAnsi="Verdana" w:cs="Calibri"/>
                <w:b/>
                <w:sz w:val="14"/>
                <w:szCs w:val="14"/>
              </w:rPr>
              <w:t>Inversión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14:paraId="71FE501D" w14:textId="1CC2B52E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sz w:val="14"/>
                <w:szCs w:val="14"/>
                <w:lang w:val="es-CO" w:eastAsia="es-CO"/>
              </w:rPr>
              <w:t>280.000.000.000</w:t>
            </w:r>
          </w:p>
        </w:tc>
      </w:tr>
      <w:tr w:rsidR="00353858" w:rsidRPr="00DA43DB" w14:paraId="5C8A060C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1719860" w14:textId="2540393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23292562" w14:textId="0D4D6F9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2DEF8F51" w14:textId="66032ED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5A59D464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3" w:type="pct"/>
            <w:vAlign w:val="center"/>
          </w:tcPr>
          <w:p w14:paraId="4335E27C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053E86F1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4ACB8180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056CDB82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6CB01AC2" w14:textId="69C9FFF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3AFF8594" w14:textId="67C380F5" w:rsidR="00353858" w:rsidRPr="00DA43DB" w:rsidRDefault="00353858" w:rsidP="003845DB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Calibri"/>
                <w:color w:val="000000"/>
                <w:sz w:val="14"/>
                <w:szCs w:val="14"/>
              </w:rPr>
              <w:t>Desarrollo integral de la primera infancia a la juventud, y fortalecimiento de las capacidades de las familias de niñas, niños y adolescentes - sector igualdad y equidad</w:t>
            </w:r>
          </w:p>
        </w:tc>
        <w:tc>
          <w:tcPr>
            <w:tcW w:w="836" w:type="pct"/>
            <w:vAlign w:val="center"/>
          </w:tcPr>
          <w:p w14:paraId="77B45767" w14:textId="5268EA38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sz w:val="14"/>
                <w:szCs w:val="14"/>
                <w:lang w:val="es-CO" w:eastAsia="es-CO"/>
              </w:rPr>
              <w:t>280.000.000.000</w:t>
            </w:r>
          </w:p>
        </w:tc>
      </w:tr>
      <w:tr w:rsidR="00353858" w:rsidRPr="00DA43DB" w14:paraId="53901A5E" w14:textId="77777777" w:rsidTr="00C84ACB">
        <w:trPr>
          <w:trHeight w:val="397"/>
          <w:jc w:val="center"/>
        </w:trPr>
        <w:tc>
          <w:tcPr>
            <w:tcW w:w="278" w:type="pct"/>
            <w:vAlign w:val="center"/>
          </w:tcPr>
          <w:p w14:paraId="1C1BC0DC" w14:textId="2BE0272F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2DCAFE68" w14:textId="27AE1C45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6FC27895" w14:textId="175EE02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298E2F8" w14:textId="3607F22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3" w:type="pct"/>
            <w:vAlign w:val="center"/>
          </w:tcPr>
          <w:p w14:paraId="0E47FADF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7A6FE804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3224EBB2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FB70C60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4C990F00" w14:textId="3C2DAF9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26E148F2" w14:textId="28BB7B8B" w:rsidR="00353858" w:rsidRPr="00DA43DB" w:rsidRDefault="00353858" w:rsidP="00890A47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Calibri"/>
                <w:color w:val="000000"/>
                <w:sz w:val="14"/>
                <w:szCs w:val="14"/>
              </w:rPr>
              <w:t>Intersubsectorial desarrollo social</w:t>
            </w:r>
          </w:p>
        </w:tc>
        <w:tc>
          <w:tcPr>
            <w:tcW w:w="836" w:type="pct"/>
            <w:vAlign w:val="center"/>
          </w:tcPr>
          <w:p w14:paraId="2BB82C81" w14:textId="1DEE582A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sz w:val="14"/>
                <w:szCs w:val="14"/>
                <w:lang w:val="es-CO" w:eastAsia="es-CO"/>
              </w:rPr>
              <w:t>280.000.000.000</w:t>
            </w:r>
          </w:p>
        </w:tc>
      </w:tr>
      <w:tr w:rsidR="00353858" w:rsidRPr="00DA43DB" w14:paraId="40994EB3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C654ACB" w14:textId="3EB3244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416F4AA0" w14:textId="7983744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14F3287D" w14:textId="430FF83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4F64F59D" w14:textId="703E13A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5</w:t>
            </w:r>
          </w:p>
        </w:tc>
        <w:tc>
          <w:tcPr>
            <w:tcW w:w="423" w:type="pct"/>
            <w:vAlign w:val="center"/>
          </w:tcPr>
          <w:p w14:paraId="6F2F5655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060FF3F8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2D0F1297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1E97A9FF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25A2C7C0" w14:textId="6C629FC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70D5D1C9" w14:textId="3758FE90" w:rsidR="00353858" w:rsidRPr="00DA43DB" w:rsidRDefault="00353858" w:rsidP="00890A47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Contribución con acciones de promoción y prevención en el componente de alimentación y nutrición para la población colombiana a nivel nacional</w:t>
            </w:r>
          </w:p>
        </w:tc>
        <w:tc>
          <w:tcPr>
            <w:tcW w:w="836" w:type="pct"/>
            <w:vAlign w:val="center"/>
          </w:tcPr>
          <w:p w14:paraId="55DDFF55" w14:textId="41DE7041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80.000.000.000</w:t>
            </w:r>
          </w:p>
        </w:tc>
      </w:tr>
      <w:tr w:rsidR="00353858" w:rsidRPr="00DA43DB" w14:paraId="66628AD2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57198BDD" w14:textId="56B25A14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0A178A76" w14:textId="1336940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442776EE" w14:textId="2FD96D1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90A6CCA" w14:textId="14741FC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5</w:t>
            </w:r>
          </w:p>
        </w:tc>
        <w:tc>
          <w:tcPr>
            <w:tcW w:w="423" w:type="pct"/>
            <w:vAlign w:val="center"/>
          </w:tcPr>
          <w:p w14:paraId="5FFC638A" w14:textId="5185124C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30205B</w:t>
            </w:r>
          </w:p>
        </w:tc>
        <w:tc>
          <w:tcPr>
            <w:tcW w:w="422" w:type="pct"/>
            <w:vAlign w:val="center"/>
          </w:tcPr>
          <w:p w14:paraId="70837D05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7F602B7D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2443A23D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416C1944" w14:textId="3B61714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6B122742" w14:textId="3C56D8F6" w:rsidR="00353858" w:rsidRPr="00DA43DB" w:rsidRDefault="00353858" w:rsidP="00890A47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3. Derecho humano a la alimentación / b. Entornos de desarrollo que incentiven la alimentación saludable y adecuada</w:t>
            </w:r>
          </w:p>
        </w:tc>
        <w:tc>
          <w:tcPr>
            <w:tcW w:w="836" w:type="pct"/>
            <w:vAlign w:val="center"/>
          </w:tcPr>
          <w:p w14:paraId="3278FBD9" w14:textId="0B1BDE42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80.000.000.000</w:t>
            </w:r>
          </w:p>
        </w:tc>
      </w:tr>
      <w:tr w:rsidR="00353858" w:rsidRPr="00DA43DB" w14:paraId="1B6F7864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E55ADBB" w14:textId="65F83D0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37F6D1CD" w14:textId="7F4ACCCC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12DB6A7C" w14:textId="739FAD5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0690D5B1" w14:textId="4FC9A69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5</w:t>
            </w:r>
          </w:p>
        </w:tc>
        <w:tc>
          <w:tcPr>
            <w:tcW w:w="423" w:type="pct"/>
            <w:vAlign w:val="center"/>
          </w:tcPr>
          <w:p w14:paraId="7D629514" w14:textId="0607D8E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30205B</w:t>
            </w:r>
          </w:p>
        </w:tc>
        <w:tc>
          <w:tcPr>
            <w:tcW w:w="422" w:type="pct"/>
            <w:vAlign w:val="center"/>
          </w:tcPr>
          <w:p w14:paraId="49FE1FCB" w14:textId="7B84DD5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4102016</w:t>
            </w:r>
          </w:p>
        </w:tc>
        <w:tc>
          <w:tcPr>
            <w:tcW w:w="352" w:type="pct"/>
            <w:vAlign w:val="center"/>
          </w:tcPr>
          <w:p w14:paraId="35168E95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75B84BA0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73479FE6" w14:textId="51B3B1C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DCE26C1" w14:textId="541C01A3" w:rsidR="00353858" w:rsidRPr="00DA43DB" w:rsidRDefault="00353858" w:rsidP="00890A47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atención y prevención a la desnutrición desde el sector inclusión social</w:t>
            </w:r>
          </w:p>
        </w:tc>
        <w:tc>
          <w:tcPr>
            <w:tcW w:w="836" w:type="pct"/>
            <w:vAlign w:val="center"/>
          </w:tcPr>
          <w:p w14:paraId="08B178AF" w14:textId="00B0A5A2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80.000.000.000</w:t>
            </w:r>
          </w:p>
        </w:tc>
      </w:tr>
      <w:tr w:rsidR="00353858" w:rsidRPr="00DA43DB" w14:paraId="17E9BFEA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0826617" w14:textId="2434500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559385BA" w14:textId="05EE3E1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177E16B3" w14:textId="1FCF9D6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5B399A9B" w14:textId="7AD6CEC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5</w:t>
            </w:r>
          </w:p>
        </w:tc>
        <w:tc>
          <w:tcPr>
            <w:tcW w:w="423" w:type="pct"/>
            <w:vAlign w:val="center"/>
          </w:tcPr>
          <w:p w14:paraId="4BED1462" w14:textId="1DC7E8B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30205B</w:t>
            </w:r>
          </w:p>
        </w:tc>
        <w:tc>
          <w:tcPr>
            <w:tcW w:w="422" w:type="pct"/>
            <w:vAlign w:val="center"/>
          </w:tcPr>
          <w:p w14:paraId="6133D8E7" w14:textId="193752F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4102016</w:t>
            </w:r>
          </w:p>
        </w:tc>
        <w:tc>
          <w:tcPr>
            <w:tcW w:w="352" w:type="pct"/>
            <w:vAlign w:val="center"/>
          </w:tcPr>
          <w:p w14:paraId="1D1505F0" w14:textId="27FB1FE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6568AC43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4D6F75D4" w14:textId="3A3A30A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8083668" w14:textId="017A6CD2" w:rsidR="00353858" w:rsidRPr="00DA43DB" w:rsidRDefault="00353858" w:rsidP="00890A47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servicio de atención y prevención a la desnutrición desde el sector inclusión </w:t>
            </w:r>
            <w:r w:rsidR="003F29EE" w:rsidRPr="00DA43DB">
              <w:rPr>
                <w:rFonts w:ascii="Verdana" w:hAnsi="Verdana" w:cs="Arial"/>
                <w:sz w:val="14"/>
                <w:szCs w:val="14"/>
              </w:rPr>
              <w:t>social -</w:t>
            </w:r>
            <w:r w:rsidRPr="00DA43DB">
              <w:rPr>
                <w:rFonts w:ascii="Verdana" w:hAnsi="Verdana" w:cs="Arial"/>
                <w:sz w:val="14"/>
                <w:szCs w:val="14"/>
              </w:rPr>
              <w:t xml:space="preserve"> contribución con acciones de promoción y prevención en el componente de alimentación y nutrición para la población colombiana a nivel nacional</w:t>
            </w:r>
          </w:p>
        </w:tc>
        <w:tc>
          <w:tcPr>
            <w:tcW w:w="836" w:type="pct"/>
            <w:vAlign w:val="center"/>
          </w:tcPr>
          <w:p w14:paraId="7E1C1F4D" w14:textId="13CEF73E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80.000.000.000</w:t>
            </w:r>
          </w:p>
        </w:tc>
      </w:tr>
      <w:tr w:rsidR="00353858" w:rsidRPr="00DA43DB" w14:paraId="279BC740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2D470ECE" w14:textId="1FB5A10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A0FB80D" w14:textId="15EE686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68147B93" w14:textId="7626E98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74D5A0B9" w14:textId="4DD9411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5</w:t>
            </w:r>
          </w:p>
        </w:tc>
        <w:tc>
          <w:tcPr>
            <w:tcW w:w="423" w:type="pct"/>
            <w:vAlign w:val="center"/>
          </w:tcPr>
          <w:p w14:paraId="4283CFBE" w14:textId="22A3355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30205B</w:t>
            </w:r>
          </w:p>
        </w:tc>
        <w:tc>
          <w:tcPr>
            <w:tcW w:w="422" w:type="pct"/>
            <w:vAlign w:val="center"/>
          </w:tcPr>
          <w:p w14:paraId="55C593A6" w14:textId="6A41717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4102016</w:t>
            </w:r>
          </w:p>
        </w:tc>
        <w:tc>
          <w:tcPr>
            <w:tcW w:w="352" w:type="pct"/>
            <w:vAlign w:val="center"/>
          </w:tcPr>
          <w:p w14:paraId="17BE292A" w14:textId="6BA9D00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753DEC46" w14:textId="35BA3C7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101</w:t>
            </w:r>
          </w:p>
        </w:tc>
        <w:tc>
          <w:tcPr>
            <w:tcW w:w="282" w:type="pct"/>
            <w:vAlign w:val="center"/>
          </w:tcPr>
          <w:p w14:paraId="639E2639" w14:textId="6C9F279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52D4F05" w14:textId="1A976C9B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Atención y prevención a la desnutrición</w:t>
            </w:r>
          </w:p>
        </w:tc>
        <w:tc>
          <w:tcPr>
            <w:tcW w:w="836" w:type="pct"/>
            <w:vAlign w:val="center"/>
          </w:tcPr>
          <w:p w14:paraId="763D4562" w14:textId="46D2D46E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80.000.000.000</w:t>
            </w:r>
          </w:p>
        </w:tc>
      </w:tr>
      <w:tr w:rsidR="00353858" w:rsidRPr="00DA43DB" w14:paraId="7D25626B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6D54ED1" w14:textId="433AED1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303D87AF" w14:textId="46A5534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438B23A9" w14:textId="4F77D9A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4BE3D120" w14:textId="791BC19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7DDAA472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47E391DD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005FAD38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16080C9D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166A7F32" w14:textId="7BA5786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0E9E5997" w14:textId="645EA6E5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Fortalecimiento de capacidades y disposición de condiciones y oportunidades que promuevan el desarrollo integral de las niñas, niños, adolescentes, familias y comunidades a nivel nacional</w:t>
            </w:r>
          </w:p>
        </w:tc>
        <w:tc>
          <w:tcPr>
            <w:tcW w:w="836" w:type="pct"/>
            <w:vAlign w:val="center"/>
          </w:tcPr>
          <w:p w14:paraId="6BDFA0B6" w14:textId="770A4B61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140.000.000.000</w:t>
            </w:r>
          </w:p>
        </w:tc>
      </w:tr>
      <w:tr w:rsidR="00353858" w:rsidRPr="00DA43DB" w14:paraId="704DDED7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519A0FB0" w14:textId="43E5AAD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E58B4A5" w14:textId="5CD8E04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4C16F263" w14:textId="07204D7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275D8EA4" w14:textId="38DF228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4B35F8C7" w14:textId="5C99AA9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7095C3E8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3C897E69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0AC21DDE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40788F87" w14:textId="4DD8A1C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6C27003D" w14:textId="08DD86A1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7. Actores diferenciales para el cambio / 2. Universalización de la atención integral a la primera infancia en los territorios con mayor riesgo de vulneración de derechos para la niñez</w:t>
            </w:r>
          </w:p>
        </w:tc>
        <w:tc>
          <w:tcPr>
            <w:tcW w:w="836" w:type="pct"/>
            <w:vAlign w:val="center"/>
          </w:tcPr>
          <w:p w14:paraId="2F411EF8" w14:textId="7F1BE575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140.000.000.000</w:t>
            </w:r>
          </w:p>
        </w:tc>
      </w:tr>
      <w:tr w:rsidR="00353858" w:rsidRPr="00DA43DB" w14:paraId="207EEFAB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D2E9C6D" w14:textId="04E15D4F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0033FA89" w14:textId="54C54E3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651F13D6" w14:textId="3056FF8E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7448F02D" w14:textId="1496C76D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2D32EB1B" w14:textId="776D561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15722EEC" w14:textId="43F0E9BF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4602020</w:t>
            </w:r>
          </w:p>
        </w:tc>
        <w:tc>
          <w:tcPr>
            <w:tcW w:w="352" w:type="pct"/>
            <w:vAlign w:val="center"/>
          </w:tcPr>
          <w:p w14:paraId="587ECB7B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1AE8293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2769680B" w14:textId="54007C54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1C92B37" w14:textId="0EEC062D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atención integral a la primera infancia para la promoción de derechos y prevención de vulneraciones y amenazas</w:t>
            </w:r>
          </w:p>
        </w:tc>
        <w:tc>
          <w:tcPr>
            <w:tcW w:w="836" w:type="pct"/>
            <w:vAlign w:val="center"/>
          </w:tcPr>
          <w:p w14:paraId="6D8B9FD0" w14:textId="500B1521" w:rsidR="00353858" w:rsidRPr="00DA43DB" w:rsidRDefault="00F10601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78.889.135.899</w:t>
            </w:r>
          </w:p>
        </w:tc>
      </w:tr>
      <w:tr w:rsidR="00353858" w:rsidRPr="00DA43DB" w14:paraId="4456D38F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6BE06174" w14:textId="7494EA9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A078891" w14:textId="0FF80AF5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2E0EEC08" w14:textId="39C90EB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0D81C214" w14:textId="7146D87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45FF4492" w14:textId="45EB912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6CF65D91" w14:textId="792CF82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4602020</w:t>
            </w:r>
          </w:p>
        </w:tc>
        <w:tc>
          <w:tcPr>
            <w:tcW w:w="352" w:type="pct"/>
            <w:vAlign w:val="center"/>
          </w:tcPr>
          <w:p w14:paraId="42707D49" w14:textId="597DE25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795CB43F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7336AF06" w14:textId="0ED4160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3E56F32" w14:textId="518949C3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servicio de atención integral a la primera infancia para la promoción de derechos y prevención de vulneraciones y amenazas - fortalecimiento de capacidades y disposición de condiciones y oportunidades que promuevan el desarrollo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int</w:t>
            </w:r>
            <w:proofErr w:type="spellEnd"/>
          </w:p>
        </w:tc>
        <w:tc>
          <w:tcPr>
            <w:tcW w:w="836" w:type="pct"/>
            <w:vAlign w:val="center"/>
          </w:tcPr>
          <w:p w14:paraId="63E787EF" w14:textId="55631CE5" w:rsidR="00353858" w:rsidRPr="00DA43DB" w:rsidRDefault="00F10601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78.889.135.899</w:t>
            </w:r>
          </w:p>
        </w:tc>
      </w:tr>
      <w:tr w:rsidR="00353858" w:rsidRPr="00DA43DB" w14:paraId="66269623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D01CB88" w14:textId="7311D77F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8E9CB58" w14:textId="0E8526CA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5C2AA584" w14:textId="252DCC6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6B1C9BC8" w14:textId="69076E05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439137E6" w14:textId="5D14B784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351A504A" w14:textId="7ED12CE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4602020</w:t>
            </w:r>
          </w:p>
        </w:tc>
        <w:tc>
          <w:tcPr>
            <w:tcW w:w="352" w:type="pct"/>
            <w:vAlign w:val="center"/>
          </w:tcPr>
          <w:p w14:paraId="4D8709A3" w14:textId="39B46D9D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50899B7D" w14:textId="7D47687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161</w:t>
            </w:r>
          </w:p>
        </w:tc>
        <w:tc>
          <w:tcPr>
            <w:tcW w:w="282" w:type="pct"/>
            <w:vAlign w:val="center"/>
          </w:tcPr>
          <w:p w14:paraId="4A1EEC1E" w14:textId="59DDF5D4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F550F58" w14:textId="02B07F35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educación inicial a la primera infancia</w:t>
            </w:r>
          </w:p>
        </w:tc>
        <w:tc>
          <w:tcPr>
            <w:tcW w:w="836" w:type="pct"/>
            <w:vAlign w:val="center"/>
          </w:tcPr>
          <w:p w14:paraId="1D3A71A5" w14:textId="174119C3" w:rsidR="00353858" w:rsidRPr="00DA43DB" w:rsidRDefault="00F10601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26.826.373.352</w:t>
            </w:r>
          </w:p>
        </w:tc>
      </w:tr>
      <w:tr w:rsidR="00353858" w:rsidRPr="00DA43DB" w14:paraId="0F0BE82A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215911A7" w14:textId="332C9F0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107015E" w14:textId="51DDC7A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34CC5ADA" w14:textId="4441320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EC61FA9" w14:textId="142900A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31B94E4B" w14:textId="040AAC7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2CFD5A0E" w14:textId="2885E6C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4602020</w:t>
            </w:r>
          </w:p>
        </w:tc>
        <w:tc>
          <w:tcPr>
            <w:tcW w:w="352" w:type="pct"/>
            <w:vAlign w:val="center"/>
          </w:tcPr>
          <w:p w14:paraId="0E749784" w14:textId="33F352EF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29E560EC" w14:textId="15F1642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162</w:t>
            </w:r>
          </w:p>
        </w:tc>
        <w:tc>
          <w:tcPr>
            <w:tcW w:w="282" w:type="pct"/>
            <w:vAlign w:val="center"/>
          </w:tcPr>
          <w:p w14:paraId="5FC3F987" w14:textId="18C1713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7C4887EE" w14:textId="0567C11E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educación comunitario a la primera infancia</w:t>
            </w:r>
          </w:p>
        </w:tc>
        <w:tc>
          <w:tcPr>
            <w:tcW w:w="836" w:type="pct"/>
            <w:vAlign w:val="center"/>
          </w:tcPr>
          <w:p w14:paraId="0593B824" w14:textId="661B9D19" w:rsidR="00353858" w:rsidRPr="00DA43DB" w:rsidRDefault="00F10601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32.412.762.547</w:t>
            </w:r>
          </w:p>
        </w:tc>
      </w:tr>
      <w:tr w:rsidR="00353858" w:rsidRPr="00DA43DB" w14:paraId="1E63B11C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27033C3" w14:textId="50213561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557EB361" w14:textId="2509A162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78B46DAC" w14:textId="7D80E99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CE04CBB" w14:textId="558E408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03EC757C" w14:textId="4D4DC8C4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2163B778" w14:textId="3C1BE59D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4602020</w:t>
            </w:r>
          </w:p>
        </w:tc>
        <w:tc>
          <w:tcPr>
            <w:tcW w:w="352" w:type="pct"/>
            <w:vAlign w:val="center"/>
          </w:tcPr>
          <w:p w14:paraId="09822A86" w14:textId="15448CC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61A6056F" w14:textId="201A6215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997</w:t>
            </w:r>
          </w:p>
        </w:tc>
        <w:tc>
          <w:tcPr>
            <w:tcW w:w="282" w:type="pct"/>
            <w:vAlign w:val="center"/>
          </w:tcPr>
          <w:p w14:paraId="392B5A5A" w14:textId="01D998D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F35FF2B" w14:textId="5224C54A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Infraestructura</w:t>
            </w:r>
          </w:p>
        </w:tc>
        <w:tc>
          <w:tcPr>
            <w:tcW w:w="836" w:type="pct"/>
            <w:vAlign w:val="center"/>
          </w:tcPr>
          <w:p w14:paraId="658AF19B" w14:textId="2CF2FC55" w:rsidR="00353858" w:rsidRPr="00DA43DB" w:rsidRDefault="00F10601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19.650.000.000</w:t>
            </w:r>
          </w:p>
        </w:tc>
      </w:tr>
      <w:tr w:rsidR="00353858" w:rsidRPr="00DA43DB" w14:paraId="3996D589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214A7983" w14:textId="1F1BFD6C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412452E8" w14:textId="0FD5C8C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298D7097" w14:textId="1784BBD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2251052" w14:textId="5A26BB09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52EFEDDC" w14:textId="1AE22E4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5984E31E" w14:textId="5DC2DFA6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4602021</w:t>
            </w:r>
          </w:p>
        </w:tc>
        <w:tc>
          <w:tcPr>
            <w:tcW w:w="352" w:type="pct"/>
            <w:vAlign w:val="center"/>
          </w:tcPr>
          <w:p w14:paraId="5A09D9B4" w14:textId="1C1BCB0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4AD645B1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F7F34BA" w14:textId="747BC234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0E169D43" w14:textId="0A919571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atención integral para la promoción de derechos y prevención de vulneraciones de niñas, niños y adolescentes</w:t>
            </w:r>
          </w:p>
        </w:tc>
        <w:tc>
          <w:tcPr>
            <w:tcW w:w="836" w:type="pct"/>
            <w:vAlign w:val="center"/>
          </w:tcPr>
          <w:p w14:paraId="4968B952" w14:textId="77777777" w:rsidR="00F10601" w:rsidRPr="00DA43DB" w:rsidRDefault="00F10601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37.416.214.499</w:t>
            </w:r>
          </w:p>
          <w:p w14:paraId="149BD714" w14:textId="3343C1A6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</w:p>
        </w:tc>
      </w:tr>
      <w:tr w:rsidR="00353858" w:rsidRPr="00DA43DB" w14:paraId="5A4F5E0F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D2F0A70" w14:textId="4211BC5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lastRenderedPageBreak/>
              <w:t>C</w:t>
            </w:r>
          </w:p>
        </w:tc>
        <w:tc>
          <w:tcPr>
            <w:tcW w:w="353" w:type="pct"/>
            <w:vAlign w:val="center"/>
          </w:tcPr>
          <w:p w14:paraId="60B0340A" w14:textId="3D7229A5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62C95D2A" w14:textId="5FB47DF3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620805EC" w14:textId="2A50B968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68D81DA0" w14:textId="75E5945C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45F57CBC" w14:textId="03797580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4602021</w:t>
            </w:r>
          </w:p>
        </w:tc>
        <w:tc>
          <w:tcPr>
            <w:tcW w:w="352" w:type="pct"/>
            <w:vAlign w:val="center"/>
          </w:tcPr>
          <w:p w14:paraId="75BF0A91" w14:textId="7147F8AB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4031B3B7" w14:textId="77777777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0E92DA7A" w14:textId="193C7A6F" w:rsidR="00353858" w:rsidRPr="00DA43DB" w:rsidRDefault="00353858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32D429AD" w14:textId="5955EA3B" w:rsidR="00353858" w:rsidRPr="00DA43DB" w:rsidRDefault="00353858" w:rsidP="00353858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servicio de atención integral para la promoción de derechos y prevención de vulneraciones de niñas, niños y adolescentes - fortalecimiento de capacidades y disposición de condiciones y oportunidades que promuevan el desarrollo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integ</w:t>
            </w:r>
            <w:proofErr w:type="spellEnd"/>
          </w:p>
        </w:tc>
        <w:tc>
          <w:tcPr>
            <w:tcW w:w="836" w:type="pct"/>
            <w:vAlign w:val="center"/>
          </w:tcPr>
          <w:p w14:paraId="4203E002" w14:textId="4DD3325A" w:rsidR="00F10601" w:rsidRPr="00DA43DB" w:rsidRDefault="00F10601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37.416.214.499</w:t>
            </w:r>
          </w:p>
          <w:p w14:paraId="104FA3E6" w14:textId="4FD801C3" w:rsidR="00353858" w:rsidRPr="00DA43DB" w:rsidRDefault="00353858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</w:p>
        </w:tc>
      </w:tr>
      <w:tr w:rsidR="00F10601" w:rsidRPr="00DA43DB" w14:paraId="72238C8C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301E878" w14:textId="4E4B60C8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B3FE383" w14:textId="3CCCC6F4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5D0800F7" w14:textId="16F94081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719F58D" w14:textId="732C61BD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59EDD253" w14:textId="08AE7771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13AAAB86" w14:textId="2828CD32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4602021</w:t>
            </w:r>
          </w:p>
        </w:tc>
        <w:tc>
          <w:tcPr>
            <w:tcW w:w="352" w:type="pct"/>
            <w:vAlign w:val="center"/>
          </w:tcPr>
          <w:p w14:paraId="1582E057" w14:textId="4054B1E8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58E526F8" w14:textId="3B2F3DD3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148</w:t>
            </w:r>
          </w:p>
        </w:tc>
        <w:tc>
          <w:tcPr>
            <w:tcW w:w="282" w:type="pct"/>
            <w:vAlign w:val="center"/>
          </w:tcPr>
          <w:p w14:paraId="6A14EF3A" w14:textId="0C39FAB5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02A7CEE" w14:textId="4570368C" w:rsidR="00F10601" w:rsidRPr="00DA43DB" w:rsidRDefault="00F10601" w:rsidP="00F10601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Centro de apoyo a la inclusión</w:t>
            </w:r>
          </w:p>
        </w:tc>
        <w:tc>
          <w:tcPr>
            <w:tcW w:w="836" w:type="pct"/>
            <w:vAlign w:val="center"/>
          </w:tcPr>
          <w:p w14:paraId="39078FC7" w14:textId="12DA999A" w:rsidR="00F10601" w:rsidRPr="00DA43DB" w:rsidRDefault="00F10601" w:rsidP="00C84ACB">
            <w:pPr>
              <w:spacing w:after="0" w:line="240" w:lineRule="auto"/>
              <w:jc w:val="right"/>
              <w:rPr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679.193.688</w:t>
            </w:r>
          </w:p>
        </w:tc>
      </w:tr>
      <w:tr w:rsidR="00F10601" w:rsidRPr="00DA43DB" w14:paraId="00E6E1CD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25302BC" w14:textId="2753BB09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459C91E8" w14:textId="523B1479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2296402F" w14:textId="3F8D3562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79291FD1" w14:textId="2745B8C2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39B67F79" w14:textId="38CDC13F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29452A30" w14:textId="487B4E66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4602021</w:t>
            </w:r>
          </w:p>
        </w:tc>
        <w:tc>
          <w:tcPr>
            <w:tcW w:w="352" w:type="pct"/>
            <w:vAlign w:val="center"/>
          </w:tcPr>
          <w:p w14:paraId="5D70361F" w14:textId="3D7B87F4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34D9366D" w14:textId="0E2E88BD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152</w:t>
            </w:r>
          </w:p>
        </w:tc>
        <w:tc>
          <w:tcPr>
            <w:tcW w:w="282" w:type="pct"/>
            <w:vAlign w:val="center"/>
          </w:tcPr>
          <w:p w14:paraId="0C09D469" w14:textId="471B80DE" w:rsidR="00F10601" w:rsidRPr="00DA43DB" w:rsidRDefault="00F10601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70266754" w14:textId="7F0CEAD4" w:rsidR="00F10601" w:rsidRPr="00DA43DB" w:rsidRDefault="009B0C53" w:rsidP="00F10601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Promoción</w:t>
            </w:r>
            <w:r w:rsidR="00F10601" w:rsidRPr="00DA43DB">
              <w:rPr>
                <w:rFonts w:ascii="Verdana" w:hAnsi="Verdana" w:cs="Arial"/>
                <w:sz w:val="14"/>
                <w:szCs w:val="14"/>
              </w:rPr>
              <w:t xml:space="preserve"> y </w:t>
            </w:r>
            <w:r w:rsidRPr="00DA43DB">
              <w:rPr>
                <w:rFonts w:ascii="Verdana" w:hAnsi="Verdana" w:cs="Arial"/>
                <w:sz w:val="14"/>
                <w:szCs w:val="14"/>
              </w:rPr>
              <w:t>prevención</w:t>
            </w:r>
            <w:r w:rsidR="00F10601" w:rsidRPr="00DA43DB">
              <w:rPr>
                <w:rFonts w:ascii="Verdana" w:hAnsi="Verdana" w:cs="Arial"/>
                <w:sz w:val="14"/>
                <w:szCs w:val="14"/>
              </w:rPr>
              <w:t xml:space="preserve"> para el desarrollo integral de niñas y niños</w:t>
            </w:r>
          </w:p>
        </w:tc>
        <w:tc>
          <w:tcPr>
            <w:tcW w:w="836" w:type="pct"/>
            <w:vAlign w:val="center"/>
          </w:tcPr>
          <w:p w14:paraId="0C5701A6" w14:textId="4B0BB380" w:rsidR="00F10601" w:rsidRPr="00DA43DB" w:rsidRDefault="00F10601" w:rsidP="00C84ACB">
            <w:pPr>
              <w:spacing w:after="0" w:line="240" w:lineRule="auto"/>
              <w:jc w:val="right"/>
              <w:rPr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36.737.020.811</w:t>
            </w:r>
          </w:p>
        </w:tc>
      </w:tr>
      <w:tr w:rsidR="009B0C53" w:rsidRPr="00DA43DB" w14:paraId="7C04B96C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6C3C059" w14:textId="61FC4EF6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0EB6EA41" w14:textId="276E2FC0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1A4583E0" w14:textId="492AA04E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77E0EE0E" w14:textId="0354BC16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0B198C72" w14:textId="64C0531C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6E2DA08B" w14:textId="57669069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4602022</w:t>
            </w:r>
          </w:p>
        </w:tc>
        <w:tc>
          <w:tcPr>
            <w:tcW w:w="352" w:type="pct"/>
            <w:vAlign w:val="center"/>
          </w:tcPr>
          <w:p w14:paraId="6774D800" w14:textId="77777777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088F5A3C" w14:textId="77777777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7E85684A" w14:textId="66316AA9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5EFEDD6F" w14:textId="05FBB15F" w:rsidR="009B0C53" w:rsidRPr="00DA43DB" w:rsidRDefault="009B0C53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atención integral a las familias y comunidades</w:t>
            </w:r>
          </w:p>
        </w:tc>
        <w:tc>
          <w:tcPr>
            <w:tcW w:w="836" w:type="pct"/>
            <w:vAlign w:val="center"/>
          </w:tcPr>
          <w:p w14:paraId="7281E395" w14:textId="7B2AD6D3" w:rsidR="009B0C53" w:rsidRPr="00DA43DB" w:rsidRDefault="009B0C53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23.694.649.602</w:t>
            </w:r>
          </w:p>
        </w:tc>
      </w:tr>
      <w:tr w:rsidR="009B0C53" w:rsidRPr="00DA43DB" w14:paraId="4F4EA21C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F2EA85A" w14:textId="41413F14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0BFD327B" w14:textId="7F1DADF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0B86627E" w14:textId="30A6E1ED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D7D2C07" w14:textId="0D35FFD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060EE17D" w14:textId="6BA3A9AC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03ED1CD4" w14:textId="14BEDDAB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4602022</w:t>
            </w:r>
          </w:p>
        </w:tc>
        <w:tc>
          <w:tcPr>
            <w:tcW w:w="352" w:type="pct"/>
            <w:vAlign w:val="center"/>
          </w:tcPr>
          <w:p w14:paraId="3A77AF22" w14:textId="424C836A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1C867515" w14:textId="77777777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6D467646" w14:textId="10D5B8E7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3345EDB" w14:textId="0783FECB" w:rsidR="009B0C53" w:rsidRPr="00DA43DB" w:rsidRDefault="009B0C53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servicio de atención integral a las familias y comunidades - fortalecimiento de capacidades y disposición de condiciones y oportunidades que promuevan el desarrollo integral de las niñas, niños, adolescentes, familias y comunidades </w:t>
            </w:r>
          </w:p>
        </w:tc>
        <w:tc>
          <w:tcPr>
            <w:tcW w:w="836" w:type="pct"/>
            <w:vAlign w:val="center"/>
          </w:tcPr>
          <w:p w14:paraId="4B27C21D" w14:textId="35805E6E" w:rsidR="009B0C53" w:rsidRPr="00DA43DB" w:rsidRDefault="009B0C53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23.694.649.602</w:t>
            </w:r>
          </w:p>
        </w:tc>
      </w:tr>
      <w:tr w:rsidR="00CC7CA5" w:rsidRPr="00DA43DB" w14:paraId="6AD81018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7A63BD2" w14:textId="7689BBE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F51B450" w14:textId="1CFA960A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7C7F56C6" w14:textId="545AC0B1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C30D18E" w14:textId="389F35F2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</w:t>
            </w:r>
          </w:p>
        </w:tc>
        <w:tc>
          <w:tcPr>
            <w:tcW w:w="423" w:type="pct"/>
            <w:vAlign w:val="center"/>
          </w:tcPr>
          <w:p w14:paraId="37E41685" w14:textId="4EE5511E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704020</w:t>
            </w:r>
          </w:p>
        </w:tc>
        <w:tc>
          <w:tcPr>
            <w:tcW w:w="422" w:type="pct"/>
            <w:vAlign w:val="center"/>
          </w:tcPr>
          <w:p w14:paraId="4440AF4D" w14:textId="4E65BB52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4602022</w:t>
            </w:r>
          </w:p>
        </w:tc>
        <w:tc>
          <w:tcPr>
            <w:tcW w:w="352" w:type="pct"/>
            <w:vAlign w:val="center"/>
          </w:tcPr>
          <w:p w14:paraId="009205A7" w14:textId="2FD0274F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7CEF81A0" w14:textId="48C4D8B5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141</w:t>
            </w:r>
          </w:p>
        </w:tc>
        <w:tc>
          <w:tcPr>
            <w:tcW w:w="282" w:type="pct"/>
            <w:vAlign w:val="center"/>
          </w:tcPr>
          <w:p w14:paraId="0B4CCC8B" w14:textId="722331C8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C4FA16D" w14:textId="150A8B7C" w:rsidR="00CC7CA5" w:rsidRPr="00DA43DB" w:rsidRDefault="00CC7CA5" w:rsidP="00CC7CA5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Fortalecimiento familiar y comunitario</w:t>
            </w:r>
          </w:p>
        </w:tc>
        <w:tc>
          <w:tcPr>
            <w:tcW w:w="836" w:type="pct"/>
            <w:vAlign w:val="center"/>
          </w:tcPr>
          <w:p w14:paraId="35F09D87" w14:textId="18B36C84" w:rsidR="00CC7CA5" w:rsidRPr="00DA43DB" w:rsidRDefault="00CC7CA5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23.694.649.602</w:t>
            </w:r>
          </w:p>
        </w:tc>
      </w:tr>
      <w:tr w:rsidR="00CC7CA5" w:rsidRPr="00DA43DB" w14:paraId="3667A505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1E0F19B1" w14:textId="7D48DA58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44594FC0" w14:textId="6EED556E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31555849" w14:textId="21F359B8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228B2B3" w14:textId="2E128908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5E5C501F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167A9FF6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79576D04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16626A73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16DED4E2" w14:textId="4DC84095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7D99A2B0" w14:textId="5291DA8C" w:rsidR="00CC7CA5" w:rsidRPr="00DA43DB" w:rsidRDefault="00CC7CA5" w:rsidP="00CC7CA5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Fortalecimiento de capacidades individuales, familiares e institucionales para prevenir y atender la materialización del riesgo, la amenaza y/o vulneración de los derechos de los niñas, niños adolescentes y jóvenes nacional</w:t>
            </w:r>
          </w:p>
        </w:tc>
        <w:tc>
          <w:tcPr>
            <w:tcW w:w="836" w:type="pct"/>
            <w:vAlign w:val="center"/>
          </w:tcPr>
          <w:p w14:paraId="0A0329CF" w14:textId="63A5A69F" w:rsidR="00CC7CA5" w:rsidRPr="00DA43DB" w:rsidRDefault="00CC7CA5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60.000.000.000</w:t>
            </w:r>
          </w:p>
        </w:tc>
      </w:tr>
      <w:tr w:rsidR="00CC7CA5" w:rsidRPr="00DA43DB" w14:paraId="1EB3D5E1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1897E96" w14:textId="0FC5ABF5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16DE449" w14:textId="2D628DC1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02CA11DE" w14:textId="38E4DDFC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D1C2F2B" w14:textId="168DABC5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5D4A3CF8" w14:textId="004BC4D3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0411D75B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3B7F68B2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9678BBB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1790758" w14:textId="589A7AD8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0B1B835A" w14:textId="26CCB6C4" w:rsidR="00CC7CA5" w:rsidRPr="00DA43DB" w:rsidRDefault="00CC7CA5" w:rsidP="00CC7CA5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7. Actores diferenciales para el cambio / 4. Fortalecimiento de las familias y las comunidades</w:t>
            </w:r>
          </w:p>
        </w:tc>
        <w:tc>
          <w:tcPr>
            <w:tcW w:w="836" w:type="pct"/>
            <w:vAlign w:val="center"/>
          </w:tcPr>
          <w:p w14:paraId="398AD901" w14:textId="6D021C5F" w:rsidR="00CC7CA5" w:rsidRPr="00DA43DB" w:rsidRDefault="00CC7CA5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60.000.000.000</w:t>
            </w:r>
          </w:p>
        </w:tc>
      </w:tr>
      <w:tr w:rsidR="00CC7CA5" w:rsidRPr="00DA43DB" w14:paraId="64576F5B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7BD8BF0" w14:textId="3A37363E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3DAE5D97" w14:textId="7328B266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654936CE" w14:textId="7B50F700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44C86B94" w14:textId="6C20B641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57D3F870" w14:textId="3DFCD42C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79EEBB33" w14:textId="79E65D18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56907D8D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446753D3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688709EE" w14:textId="546867EA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F94E421" w14:textId="1FF9B37E" w:rsidR="00CC7CA5" w:rsidRPr="00DA43DB" w:rsidRDefault="00CC7CA5" w:rsidP="00CC7CA5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protección para el restablecimiento de derechos de niños, niñas, adolescentes</w:t>
            </w:r>
          </w:p>
        </w:tc>
        <w:tc>
          <w:tcPr>
            <w:tcW w:w="836" w:type="pct"/>
            <w:vAlign w:val="center"/>
          </w:tcPr>
          <w:p w14:paraId="04D6B165" w14:textId="51B1D8FC" w:rsidR="00783922" w:rsidRPr="00DA43DB" w:rsidRDefault="00783922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57.555.166.276</w:t>
            </w:r>
          </w:p>
          <w:p w14:paraId="2E0080BC" w14:textId="01B3C5F4" w:rsidR="00CC7CA5" w:rsidRPr="00DA43DB" w:rsidRDefault="00CC7CA5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</w:p>
        </w:tc>
      </w:tr>
      <w:tr w:rsidR="00CC7CA5" w:rsidRPr="00DA43DB" w14:paraId="71F9BE4D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4CFC01EF" w14:textId="43863F05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AE31BD1" w14:textId="102C8CC5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75AF13A3" w14:textId="18210EE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58915803" w14:textId="47456346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5AEA5869" w14:textId="4BFE467A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6B4E8E81" w14:textId="74E28C2F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3FBDED50" w14:textId="0FB1AAB1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7DD1FE34" w14:textId="77777777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B6FF2D0" w14:textId="4B079AFF" w:rsidR="00CC7CA5" w:rsidRPr="00DA43DB" w:rsidRDefault="00CC7CA5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50C2EAE8" w14:textId="10220F05" w:rsidR="00CC7CA5" w:rsidRPr="00DA43DB" w:rsidRDefault="00CC7CA5" w:rsidP="00CC7CA5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servicio de protección para el restablecimiento de derechos de niños, niñas, adolescentes - fortalecimiento de capacidades individuales, familiares e institucionales para prevenir y atender la materialización del riesgo, la amenaza</w:t>
            </w:r>
          </w:p>
        </w:tc>
        <w:tc>
          <w:tcPr>
            <w:tcW w:w="836" w:type="pct"/>
            <w:vAlign w:val="center"/>
          </w:tcPr>
          <w:p w14:paraId="5195DD41" w14:textId="2EDE2ECA" w:rsidR="00783922" w:rsidRPr="00DA43DB" w:rsidRDefault="00783922" w:rsidP="00C84ACB">
            <w:pPr>
              <w:spacing w:after="0" w:line="240" w:lineRule="auto"/>
              <w:jc w:val="right"/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eastAsia="Times New Roman" w:hAnsi="Verdana" w:cs="Arial"/>
                <w:bCs/>
                <w:sz w:val="14"/>
                <w:szCs w:val="14"/>
                <w:lang w:val="es-CO" w:eastAsia="es-CO"/>
              </w:rPr>
              <w:t>57.555.166.276</w:t>
            </w:r>
          </w:p>
          <w:p w14:paraId="60BA9BD9" w14:textId="68BDDB8F" w:rsidR="00CC7CA5" w:rsidRPr="00DA43DB" w:rsidRDefault="00CC7CA5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</w:p>
        </w:tc>
      </w:tr>
      <w:tr w:rsidR="009B0C53" w:rsidRPr="00DA43DB" w14:paraId="333AEA04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1054101D" w14:textId="223790AE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03FAE828" w14:textId="48B62AFF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4BA8F2D0" w14:textId="0F9C439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2B77FCD1" w14:textId="78D8DDBA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352A9CF1" w14:textId="32BF106C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3ED39A2D" w14:textId="66E5CFC8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56CE74E8" w14:textId="19610F9D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4967C9D6" w14:textId="3C80B7B0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121</w:t>
            </w:r>
          </w:p>
        </w:tc>
        <w:tc>
          <w:tcPr>
            <w:tcW w:w="282" w:type="pct"/>
            <w:vAlign w:val="center"/>
          </w:tcPr>
          <w:p w14:paraId="2DB7039D" w14:textId="3BA0B95A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611274F3" w14:textId="39B06255" w:rsidR="009B0C53" w:rsidRPr="00DA43DB" w:rsidRDefault="009B0C53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Ubicación inicial</w:t>
            </w:r>
          </w:p>
        </w:tc>
        <w:tc>
          <w:tcPr>
            <w:tcW w:w="836" w:type="pct"/>
            <w:vAlign w:val="center"/>
          </w:tcPr>
          <w:p w14:paraId="1C1D8318" w14:textId="273C4648" w:rsidR="009B0C53" w:rsidRPr="00DA43DB" w:rsidRDefault="009B0C53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110.970.360</w:t>
            </w:r>
          </w:p>
        </w:tc>
      </w:tr>
      <w:tr w:rsidR="009B0C53" w:rsidRPr="00DA43DB" w14:paraId="20DA74F8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98437FE" w14:textId="1FF377D5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2064F094" w14:textId="5A48DA74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5B6E276B" w14:textId="37F17732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2BEB22EB" w14:textId="457697F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76A74C30" w14:textId="71B0167F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0B22BDD5" w14:textId="0B5C0272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4ED9598A" w14:textId="63D6901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034CCFB7" w14:textId="5992A46A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122</w:t>
            </w:r>
          </w:p>
        </w:tc>
        <w:tc>
          <w:tcPr>
            <w:tcW w:w="282" w:type="pct"/>
            <w:vAlign w:val="center"/>
          </w:tcPr>
          <w:p w14:paraId="34C94505" w14:textId="39621FBD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2869AABC" w14:textId="451934D3" w:rsidR="009B0C53" w:rsidRPr="00DA43DB" w:rsidRDefault="001B341E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M</w:t>
            </w:r>
            <w:r w:rsidR="009B0C53" w:rsidRPr="00DA43DB">
              <w:rPr>
                <w:rFonts w:ascii="Verdana" w:hAnsi="Verdana" w:cs="Arial"/>
                <w:sz w:val="14"/>
                <w:szCs w:val="14"/>
              </w:rPr>
              <w:t>odalidades de apoyo familiar y comunitario</w:t>
            </w:r>
          </w:p>
        </w:tc>
        <w:tc>
          <w:tcPr>
            <w:tcW w:w="836" w:type="pct"/>
            <w:vAlign w:val="center"/>
          </w:tcPr>
          <w:p w14:paraId="78C7B793" w14:textId="4E6112D2" w:rsidR="009B0C53" w:rsidRPr="00DA43DB" w:rsidRDefault="009B0C53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19.605.208.415</w:t>
            </w:r>
          </w:p>
        </w:tc>
      </w:tr>
      <w:tr w:rsidR="009B0C53" w:rsidRPr="00DA43DB" w14:paraId="23AD976A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AC5A5AB" w14:textId="046872A6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5B714FE9" w14:textId="36030DBE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25137FBA" w14:textId="2E32F7C8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7817D37D" w14:textId="7458919D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45196935" w14:textId="04D72BB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7AE5E766" w14:textId="4DB428A6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60EB2964" w14:textId="1388521B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389FCC8D" w14:textId="2F3B4EE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123</w:t>
            </w:r>
          </w:p>
        </w:tc>
        <w:tc>
          <w:tcPr>
            <w:tcW w:w="282" w:type="pct"/>
            <w:vAlign w:val="center"/>
          </w:tcPr>
          <w:p w14:paraId="6577144A" w14:textId="6FC29B90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24523745" w14:textId="3E6746E0" w:rsidR="009B0C53" w:rsidRPr="00DA43DB" w:rsidRDefault="001B341E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M</w:t>
            </w:r>
            <w:r w:rsidR="009B0C53" w:rsidRPr="00DA43DB">
              <w:rPr>
                <w:rFonts w:ascii="Verdana" w:hAnsi="Verdana" w:cs="Arial"/>
                <w:sz w:val="14"/>
                <w:szCs w:val="14"/>
              </w:rPr>
              <w:t>odalidades de acogimiento</w:t>
            </w:r>
          </w:p>
        </w:tc>
        <w:tc>
          <w:tcPr>
            <w:tcW w:w="836" w:type="pct"/>
            <w:vAlign w:val="center"/>
          </w:tcPr>
          <w:p w14:paraId="011F2A7C" w14:textId="7D1BD3E2" w:rsidR="009B0C53" w:rsidRPr="00DA43DB" w:rsidRDefault="009B0C53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11.687.935.090</w:t>
            </w:r>
          </w:p>
        </w:tc>
      </w:tr>
      <w:tr w:rsidR="009B0C53" w:rsidRPr="00DA43DB" w14:paraId="4D7D754D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465A9210" w14:textId="17D6E7A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BA24ADA" w14:textId="2A8129AA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3C1E5B45" w14:textId="3828233E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73A04A3E" w14:textId="76DCDC1C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674D271B" w14:textId="11F50F2B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15E216F2" w14:textId="015394CE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1D96F71E" w14:textId="7E804E7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4392EC07" w14:textId="114DE0FD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125</w:t>
            </w:r>
          </w:p>
        </w:tc>
        <w:tc>
          <w:tcPr>
            <w:tcW w:w="282" w:type="pct"/>
            <w:vAlign w:val="center"/>
          </w:tcPr>
          <w:p w14:paraId="76758FDF" w14:textId="1B4E3A5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71D5B38" w14:textId="542B0096" w:rsidR="009B0C53" w:rsidRPr="00DA43DB" w:rsidRDefault="001B341E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U</w:t>
            </w:r>
            <w:r w:rsidR="009B0C53" w:rsidRPr="00DA43DB">
              <w:rPr>
                <w:rFonts w:ascii="Verdana" w:hAnsi="Verdana" w:cs="Arial"/>
                <w:sz w:val="14"/>
                <w:szCs w:val="14"/>
              </w:rPr>
              <w:t>nidades móviles</w:t>
            </w:r>
          </w:p>
        </w:tc>
        <w:tc>
          <w:tcPr>
            <w:tcW w:w="836" w:type="pct"/>
            <w:vAlign w:val="center"/>
          </w:tcPr>
          <w:p w14:paraId="5C413AE6" w14:textId="2F9C7DE3" w:rsidR="009B0C53" w:rsidRPr="00DA43DB" w:rsidRDefault="009B0C53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11.386.599.840</w:t>
            </w:r>
          </w:p>
        </w:tc>
      </w:tr>
      <w:tr w:rsidR="009B0C53" w:rsidRPr="00DA43DB" w14:paraId="5A4984B4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56A1158B" w14:textId="231FFEC8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CC44A63" w14:textId="1D7E11D4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1166B074" w14:textId="087EBD5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2B8C089D" w14:textId="0131BB5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36334AE6" w14:textId="6BEC0C08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68CD278E" w14:textId="5996878A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21734FCD" w14:textId="7EDAAF7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5FC91D73" w14:textId="73BCF5D1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991</w:t>
            </w:r>
          </w:p>
        </w:tc>
        <w:tc>
          <w:tcPr>
            <w:tcW w:w="282" w:type="pct"/>
            <w:vAlign w:val="center"/>
          </w:tcPr>
          <w:p w14:paraId="417BA489" w14:textId="26897AFD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3F63FADB" w14:textId="0B43C5E1" w:rsidR="009B0C53" w:rsidRPr="00DA43DB" w:rsidRDefault="001B341E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</w:t>
            </w:r>
            <w:r w:rsidR="009B0C53" w:rsidRPr="00DA43DB">
              <w:rPr>
                <w:rFonts w:ascii="Verdana" w:hAnsi="Verdana" w:cs="Arial"/>
                <w:sz w:val="14"/>
                <w:szCs w:val="14"/>
              </w:rPr>
              <w:t>oporte a la gestión del proyecto - apoyo en contratación de servicios</w:t>
            </w:r>
          </w:p>
        </w:tc>
        <w:tc>
          <w:tcPr>
            <w:tcW w:w="836" w:type="pct"/>
            <w:vAlign w:val="center"/>
          </w:tcPr>
          <w:p w14:paraId="799B6A4A" w14:textId="21963FD0" w:rsidR="009B0C53" w:rsidRPr="00DA43DB" w:rsidRDefault="009B0C53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1.139.416.525</w:t>
            </w:r>
          </w:p>
        </w:tc>
      </w:tr>
      <w:tr w:rsidR="009B0C53" w:rsidRPr="00DA43DB" w14:paraId="4A116D74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4CA94048" w14:textId="5AD0B4A7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1413EAAB" w14:textId="13AF47E2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5B1E53CC" w14:textId="46657215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3581A35C" w14:textId="3CD66652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4964C9A0" w14:textId="082037B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3A97EAB9" w14:textId="570594AF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4602014</w:t>
            </w:r>
          </w:p>
        </w:tc>
        <w:tc>
          <w:tcPr>
            <w:tcW w:w="352" w:type="pct"/>
            <w:vAlign w:val="center"/>
          </w:tcPr>
          <w:p w14:paraId="71148EC0" w14:textId="0C25E26E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3CB549E5" w14:textId="332F3DB3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998</w:t>
            </w:r>
          </w:p>
        </w:tc>
        <w:tc>
          <w:tcPr>
            <w:tcW w:w="282" w:type="pct"/>
            <w:vAlign w:val="center"/>
          </w:tcPr>
          <w:p w14:paraId="11E0B0A2" w14:textId="246C5C2C" w:rsidR="009B0C53" w:rsidRPr="00DA43DB" w:rsidRDefault="009B0C53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73E4F38A" w14:textId="3D20FD22" w:rsidR="009B0C53" w:rsidRPr="00DA43DB" w:rsidRDefault="001B341E" w:rsidP="009B0C53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T</w:t>
            </w:r>
            <w:r w:rsidR="009B0C53" w:rsidRPr="00DA43DB">
              <w:rPr>
                <w:rFonts w:ascii="Verdana" w:hAnsi="Verdana" w:cs="Arial"/>
                <w:sz w:val="14"/>
                <w:szCs w:val="14"/>
              </w:rPr>
              <w:t>ransporte</w:t>
            </w:r>
          </w:p>
        </w:tc>
        <w:tc>
          <w:tcPr>
            <w:tcW w:w="836" w:type="pct"/>
            <w:vAlign w:val="center"/>
          </w:tcPr>
          <w:p w14:paraId="315FFA48" w14:textId="1C1AD9F1" w:rsidR="009B0C53" w:rsidRPr="00DA43DB" w:rsidRDefault="009B0C53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13.625.036.046</w:t>
            </w:r>
          </w:p>
        </w:tc>
      </w:tr>
      <w:tr w:rsidR="001B341E" w:rsidRPr="00DA43DB" w14:paraId="5E9C8A0F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03B8341A" w14:textId="64ED76C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4CB369BD" w14:textId="04F31C2C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19EC5C84" w14:textId="7D8C6FF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BA5FA2A" w14:textId="0FB0487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497AD84D" w14:textId="78D9199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08C8E0E9" w14:textId="270172C0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4602015</w:t>
            </w:r>
          </w:p>
        </w:tc>
        <w:tc>
          <w:tcPr>
            <w:tcW w:w="352" w:type="pct"/>
            <w:vAlign w:val="center"/>
          </w:tcPr>
          <w:p w14:paraId="1D690371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60B5D3C0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A895474" w14:textId="76643442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179A89A" w14:textId="36B8A83D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Servicio de apoyo técnico para la articulación con los actores del sistema nacional de bienestar familiar</w:t>
            </w:r>
          </w:p>
        </w:tc>
        <w:tc>
          <w:tcPr>
            <w:tcW w:w="836" w:type="pct"/>
            <w:vAlign w:val="center"/>
          </w:tcPr>
          <w:p w14:paraId="7345FA34" w14:textId="21E991E2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4.768.625</w:t>
            </w:r>
          </w:p>
        </w:tc>
      </w:tr>
      <w:tr w:rsidR="001B341E" w:rsidRPr="00DA43DB" w14:paraId="017F8F05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1F725560" w14:textId="071741C0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0041F9FA" w14:textId="2242224B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7E1FA4D6" w14:textId="5E2A62E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F03AEB7" w14:textId="1B218722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6B5265D7" w14:textId="7049F685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5319CE42" w14:textId="60833DFB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4602015</w:t>
            </w:r>
          </w:p>
        </w:tc>
        <w:tc>
          <w:tcPr>
            <w:tcW w:w="352" w:type="pct"/>
            <w:vAlign w:val="center"/>
          </w:tcPr>
          <w:p w14:paraId="200A9C36" w14:textId="351E108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52177C1D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6A013CB9" w14:textId="7D35C4E1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4C837D64" w14:textId="574690BE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servicio de apoyo técnico para la articulación con los actores del sistema nacional de bienestar familiar - fortalecimiento de capacidades individuales, </w:t>
            </w:r>
            <w:r w:rsidRPr="00DA43DB">
              <w:rPr>
                <w:rFonts w:ascii="Verdana" w:hAnsi="Verdana" w:cs="Arial"/>
                <w:sz w:val="14"/>
                <w:szCs w:val="14"/>
              </w:rPr>
              <w:lastRenderedPageBreak/>
              <w:t xml:space="preserve">familiares e institucionales para prevenir y atender la materialización del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rie</w:t>
            </w:r>
            <w:proofErr w:type="spellEnd"/>
          </w:p>
        </w:tc>
        <w:tc>
          <w:tcPr>
            <w:tcW w:w="836" w:type="pct"/>
            <w:vAlign w:val="center"/>
          </w:tcPr>
          <w:p w14:paraId="6B6E4CA7" w14:textId="188E5A61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lastRenderedPageBreak/>
              <w:t>4.768.625</w:t>
            </w:r>
          </w:p>
        </w:tc>
      </w:tr>
      <w:tr w:rsidR="001B341E" w:rsidRPr="00DA43DB" w14:paraId="2EBE5372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54FDE0C0" w14:textId="3F082E3D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2AA4164B" w14:textId="37E29F18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73F80E57" w14:textId="0BFE39C2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0E4B0A4F" w14:textId="32FA7961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6FD71EFC" w14:textId="4E0F570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2ACCA2C8" w14:textId="3D8A8AC0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4602015</w:t>
            </w:r>
          </w:p>
        </w:tc>
        <w:tc>
          <w:tcPr>
            <w:tcW w:w="352" w:type="pct"/>
            <w:vAlign w:val="center"/>
          </w:tcPr>
          <w:p w14:paraId="078DA89A" w14:textId="06F9AE1D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6089DC88" w14:textId="5F867E11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994</w:t>
            </w:r>
          </w:p>
        </w:tc>
        <w:tc>
          <w:tcPr>
            <w:tcW w:w="282" w:type="pct"/>
            <w:vAlign w:val="center"/>
          </w:tcPr>
          <w:p w14:paraId="23DE3D47" w14:textId="12CEE42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1067" w:type="pct"/>
            <w:vAlign w:val="center"/>
          </w:tcPr>
          <w:p w14:paraId="1FE1878A" w14:textId="73D6149B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Soporte a la gestión del proyecto - de tipo logístico</w:t>
            </w:r>
          </w:p>
        </w:tc>
        <w:tc>
          <w:tcPr>
            <w:tcW w:w="836" w:type="pct"/>
            <w:vAlign w:val="center"/>
          </w:tcPr>
          <w:p w14:paraId="2A197C32" w14:textId="282DF576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4.768.625</w:t>
            </w:r>
          </w:p>
        </w:tc>
      </w:tr>
      <w:tr w:rsidR="001B341E" w:rsidRPr="00DA43DB" w14:paraId="3AFDA320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39C0AE66" w14:textId="5572F25C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2FEF5D51" w14:textId="35C898A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0CDBB33D" w14:textId="6B95015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6377D139" w14:textId="4E61CCDC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06A25C0A" w14:textId="18FCF4CF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1DB1A76E" w14:textId="5EA89619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4602017</w:t>
            </w:r>
          </w:p>
        </w:tc>
        <w:tc>
          <w:tcPr>
            <w:tcW w:w="352" w:type="pct"/>
            <w:vAlign w:val="center"/>
          </w:tcPr>
          <w:p w14:paraId="4370D87D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5B2E0FB8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111DFDA8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1067" w:type="pct"/>
            <w:vAlign w:val="center"/>
          </w:tcPr>
          <w:p w14:paraId="4698DA84" w14:textId="3C34CAE0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Obras de infraestructura social mejoradas</w:t>
            </w:r>
          </w:p>
        </w:tc>
        <w:tc>
          <w:tcPr>
            <w:tcW w:w="836" w:type="pct"/>
            <w:vAlign w:val="center"/>
          </w:tcPr>
          <w:p w14:paraId="7103D48A" w14:textId="3CF72538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2.440.065.099</w:t>
            </w:r>
          </w:p>
        </w:tc>
      </w:tr>
      <w:tr w:rsidR="001B341E" w:rsidRPr="00DA43DB" w14:paraId="4961DB39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6088A167" w14:textId="3B48575B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4A4CC66" w14:textId="614C13B3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7142590A" w14:textId="3E9CAB78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95EDBBB" w14:textId="1B6AF496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67205B97" w14:textId="7135D7BC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5F6694B5" w14:textId="15AE283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4602017</w:t>
            </w:r>
          </w:p>
        </w:tc>
        <w:tc>
          <w:tcPr>
            <w:tcW w:w="352" w:type="pct"/>
            <w:vAlign w:val="center"/>
          </w:tcPr>
          <w:p w14:paraId="7D63D052" w14:textId="21DEA3EA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793BE18E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094909E3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1067" w:type="pct"/>
            <w:vAlign w:val="center"/>
          </w:tcPr>
          <w:p w14:paraId="520D0256" w14:textId="54909B55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Adquis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. de </w:t>
            </w:r>
            <w:proofErr w:type="spellStart"/>
            <w:r w:rsidRPr="00DA43DB">
              <w:rPr>
                <w:rFonts w:ascii="Verdana" w:hAnsi="Verdana" w:cs="Arial"/>
                <w:sz w:val="14"/>
                <w:szCs w:val="14"/>
              </w:rPr>
              <w:t>bys</w:t>
            </w:r>
            <w:proofErr w:type="spellEnd"/>
            <w:r w:rsidRPr="00DA43DB">
              <w:rPr>
                <w:rFonts w:ascii="Verdana" w:hAnsi="Verdana" w:cs="Arial"/>
                <w:sz w:val="14"/>
                <w:szCs w:val="14"/>
              </w:rPr>
              <w:t xml:space="preserve"> - obras de infraestructura social mejoradas - fortalecimiento de capacidades individuales, familiares e institucionales para prevenir y atender la materialización del riesgo, la amenaza y/o vulneración de los derechos de </w:t>
            </w:r>
            <w:proofErr w:type="gramStart"/>
            <w:r w:rsidRPr="00DA43DB">
              <w:rPr>
                <w:rFonts w:ascii="Verdana" w:hAnsi="Verdana" w:cs="Arial"/>
                <w:sz w:val="14"/>
                <w:szCs w:val="14"/>
              </w:rPr>
              <w:t>los niñas</w:t>
            </w:r>
            <w:proofErr w:type="gramEnd"/>
            <w:r w:rsidRPr="00DA43DB">
              <w:rPr>
                <w:rFonts w:ascii="Verdana" w:hAnsi="Verdana" w:cs="Arial"/>
                <w:sz w:val="14"/>
                <w:szCs w:val="14"/>
              </w:rPr>
              <w:t>, ni</w:t>
            </w:r>
          </w:p>
        </w:tc>
        <w:tc>
          <w:tcPr>
            <w:tcW w:w="836" w:type="pct"/>
            <w:vAlign w:val="center"/>
          </w:tcPr>
          <w:p w14:paraId="581F71E9" w14:textId="3E722B62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2.440.065.099</w:t>
            </w:r>
          </w:p>
        </w:tc>
      </w:tr>
      <w:tr w:rsidR="001B341E" w:rsidRPr="00DA43DB" w14:paraId="40E45FE3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2C8EB75D" w14:textId="39A23ECF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C</w:t>
            </w:r>
          </w:p>
        </w:tc>
        <w:tc>
          <w:tcPr>
            <w:tcW w:w="353" w:type="pct"/>
            <w:vAlign w:val="center"/>
          </w:tcPr>
          <w:p w14:paraId="7A1D4286" w14:textId="20505A40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</w:t>
            </w:r>
          </w:p>
        </w:tc>
        <w:tc>
          <w:tcPr>
            <w:tcW w:w="352" w:type="pct"/>
            <w:vAlign w:val="center"/>
          </w:tcPr>
          <w:p w14:paraId="4F8E036B" w14:textId="45A314ED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1500</w:t>
            </w:r>
          </w:p>
        </w:tc>
        <w:tc>
          <w:tcPr>
            <w:tcW w:w="353" w:type="pct"/>
            <w:vAlign w:val="center"/>
          </w:tcPr>
          <w:p w14:paraId="1625F9B7" w14:textId="1C66B379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10</w:t>
            </w:r>
          </w:p>
        </w:tc>
        <w:tc>
          <w:tcPr>
            <w:tcW w:w="423" w:type="pct"/>
            <w:vAlign w:val="center"/>
          </w:tcPr>
          <w:p w14:paraId="49E98CCA" w14:textId="2AFFE799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704040</w:t>
            </w:r>
          </w:p>
        </w:tc>
        <w:tc>
          <w:tcPr>
            <w:tcW w:w="422" w:type="pct"/>
            <w:vAlign w:val="center"/>
          </w:tcPr>
          <w:p w14:paraId="1FCAFAC6" w14:textId="5549F90F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4602017</w:t>
            </w:r>
          </w:p>
        </w:tc>
        <w:tc>
          <w:tcPr>
            <w:tcW w:w="352" w:type="pct"/>
            <w:vAlign w:val="center"/>
          </w:tcPr>
          <w:p w14:paraId="49034C28" w14:textId="2762F974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02</w:t>
            </w:r>
          </w:p>
        </w:tc>
        <w:tc>
          <w:tcPr>
            <w:tcW w:w="282" w:type="pct"/>
            <w:vAlign w:val="center"/>
          </w:tcPr>
          <w:p w14:paraId="1E8D6649" w14:textId="49710CA8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</w:rPr>
              <w:t>997</w:t>
            </w:r>
          </w:p>
        </w:tc>
        <w:tc>
          <w:tcPr>
            <w:tcW w:w="282" w:type="pct"/>
            <w:vAlign w:val="center"/>
          </w:tcPr>
          <w:p w14:paraId="3199CA7F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 w:val="0"/>
                <w:bCs/>
                <w:sz w:val="14"/>
                <w:szCs w:val="14"/>
              </w:rPr>
            </w:pPr>
          </w:p>
        </w:tc>
        <w:tc>
          <w:tcPr>
            <w:tcW w:w="1067" w:type="pct"/>
            <w:vAlign w:val="center"/>
          </w:tcPr>
          <w:p w14:paraId="73FA4B04" w14:textId="31D17F5D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DA43DB">
              <w:rPr>
                <w:rFonts w:ascii="Verdana" w:hAnsi="Verdana" w:cs="Arial"/>
                <w:sz w:val="14"/>
                <w:szCs w:val="14"/>
              </w:rPr>
              <w:t>Infraestructura</w:t>
            </w:r>
          </w:p>
        </w:tc>
        <w:tc>
          <w:tcPr>
            <w:tcW w:w="836" w:type="pct"/>
            <w:vAlign w:val="center"/>
          </w:tcPr>
          <w:p w14:paraId="641CD355" w14:textId="245726A4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 w:val="0"/>
                <w:bCs/>
                <w:sz w:val="14"/>
                <w:szCs w:val="14"/>
                <w:lang w:val="es-CO" w:eastAsia="es-CO"/>
              </w:rPr>
              <w:t>2.440.065.099</w:t>
            </w:r>
          </w:p>
        </w:tc>
      </w:tr>
      <w:tr w:rsidR="001B341E" w:rsidRPr="00DA43DB" w14:paraId="7536CE41" w14:textId="77777777" w:rsidTr="00C84ACB">
        <w:trPr>
          <w:trHeight w:val="340"/>
          <w:jc w:val="center"/>
        </w:trPr>
        <w:tc>
          <w:tcPr>
            <w:tcW w:w="278" w:type="pct"/>
            <w:vAlign w:val="center"/>
          </w:tcPr>
          <w:p w14:paraId="7318D709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5F408CE5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1AFE6650" w14:textId="7FB85FCF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353" w:type="pct"/>
            <w:vAlign w:val="center"/>
          </w:tcPr>
          <w:p w14:paraId="2CA7D039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423" w:type="pct"/>
            <w:vAlign w:val="center"/>
          </w:tcPr>
          <w:p w14:paraId="3CEBE749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4114A76C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14:paraId="5067B426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58E4FCF8" w14:textId="77777777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282" w:type="pct"/>
            <w:vAlign w:val="center"/>
          </w:tcPr>
          <w:p w14:paraId="3FD7E82D" w14:textId="7C11FB5C" w:rsidR="001B341E" w:rsidRPr="00DA43DB" w:rsidRDefault="001B341E" w:rsidP="00EB55EA">
            <w:pPr>
              <w:pStyle w:val="Textoindependiente2"/>
              <w:jc w:val="center"/>
              <w:rPr>
                <w:rFonts w:ascii="Verdana" w:hAnsi="Verdana" w:cs="Arial"/>
                <w:bCs/>
                <w:sz w:val="14"/>
                <w:szCs w:val="14"/>
              </w:rPr>
            </w:pPr>
          </w:p>
        </w:tc>
        <w:tc>
          <w:tcPr>
            <w:tcW w:w="1067" w:type="pct"/>
            <w:vAlign w:val="center"/>
          </w:tcPr>
          <w:p w14:paraId="58F2CE94" w14:textId="01C76311" w:rsidR="001B341E" w:rsidRPr="00DA43DB" w:rsidRDefault="001B341E" w:rsidP="001B341E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Total</w:t>
            </w:r>
          </w:p>
        </w:tc>
        <w:tc>
          <w:tcPr>
            <w:tcW w:w="836" w:type="pct"/>
            <w:vAlign w:val="center"/>
          </w:tcPr>
          <w:p w14:paraId="75EBE17F" w14:textId="03AD92ED" w:rsidR="001B341E" w:rsidRPr="00DA43DB" w:rsidRDefault="001B341E" w:rsidP="00C84ACB">
            <w:pPr>
              <w:pStyle w:val="Textoindependiente2"/>
              <w:jc w:val="right"/>
              <w:rPr>
                <w:rFonts w:ascii="Verdana" w:hAnsi="Verdana" w:cs="Arial"/>
                <w:bCs/>
                <w:sz w:val="14"/>
                <w:szCs w:val="14"/>
                <w:lang w:val="es-CO" w:eastAsia="es-CO"/>
              </w:rPr>
            </w:pPr>
            <w:r w:rsidRPr="00DA43DB">
              <w:rPr>
                <w:rFonts w:ascii="Verdana" w:hAnsi="Verdana" w:cs="Arial"/>
                <w:bCs/>
                <w:sz w:val="14"/>
                <w:szCs w:val="14"/>
                <w:lang w:val="es-CO" w:eastAsia="es-CO"/>
              </w:rPr>
              <w:t>280.000.000.000</w:t>
            </w:r>
          </w:p>
        </w:tc>
      </w:tr>
    </w:tbl>
    <w:p w14:paraId="4F7593A1" w14:textId="7E2924DF" w:rsidR="0044779C" w:rsidRPr="000C0F70" w:rsidRDefault="0044779C" w:rsidP="000C0F70">
      <w:pPr>
        <w:pStyle w:val="Default"/>
        <w:spacing w:line="276" w:lineRule="auto"/>
        <w:rPr>
          <w:rFonts w:ascii="Verdana" w:hAnsi="Verdana"/>
          <w:i/>
          <w:iCs/>
          <w:sz w:val="16"/>
          <w:szCs w:val="16"/>
        </w:rPr>
      </w:pPr>
      <w:r w:rsidRPr="000C0F70">
        <w:rPr>
          <w:rFonts w:ascii="Verdana" w:hAnsi="Verdana"/>
          <w:b/>
          <w:bCs/>
          <w:i/>
          <w:iCs/>
          <w:sz w:val="16"/>
          <w:szCs w:val="16"/>
        </w:rPr>
        <w:t>Fuente:</w:t>
      </w:r>
      <w:r w:rsidRPr="000C0F70">
        <w:rPr>
          <w:rFonts w:ascii="Verdana" w:hAnsi="Verdana"/>
          <w:i/>
          <w:iCs/>
          <w:sz w:val="16"/>
          <w:szCs w:val="16"/>
        </w:rPr>
        <w:t xml:space="preserve"> Grupo de Presupuesto – Dirección Financiera y Dirección de Planeación </w:t>
      </w:r>
    </w:p>
    <w:p w14:paraId="590DEF64" w14:textId="77777777" w:rsidR="00C1014E" w:rsidRPr="00DA43DB" w:rsidRDefault="00C1014E" w:rsidP="0046313D">
      <w:pPr>
        <w:pStyle w:val="Textoindependiente2"/>
        <w:tabs>
          <w:tab w:val="left" w:pos="7033"/>
        </w:tabs>
        <w:ind w:right="-91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501E9054" w14:textId="1F5DCFE7" w:rsidR="00555067" w:rsidRDefault="0046313D" w:rsidP="0046313D">
      <w:pPr>
        <w:pStyle w:val="Textoindependiente2"/>
        <w:tabs>
          <w:tab w:val="left" w:pos="7033"/>
        </w:tabs>
        <w:ind w:right="-91"/>
        <w:jc w:val="both"/>
        <w:rPr>
          <w:rFonts w:ascii="Verdana" w:eastAsia="Calibri" w:hAnsi="Verdana" w:cs="Arial"/>
          <w:b w:val="0"/>
          <w:bCs/>
          <w:sz w:val="22"/>
          <w:szCs w:val="22"/>
          <w:lang w:eastAsia="en-US"/>
        </w:rPr>
      </w:pPr>
      <w:r w:rsidRPr="00DA43DB">
        <w:rPr>
          <w:rFonts w:ascii="Verdana" w:eastAsia="Calibri" w:hAnsi="Verdana" w:cs="Arial"/>
          <w:sz w:val="22"/>
          <w:szCs w:val="22"/>
          <w:lang w:eastAsia="en-US"/>
        </w:rPr>
        <w:t xml:space="preserve">ARTÍCULO </w:t>
      </w:r>
      <w:r w:rsidR="00555067">
        <w:rPr>
          <w:rFonts w:ascii="Verdana" w:eastAsia="Calibri" w:hAnsi="Verdana" w:cs="Arial"/>
          <w:sz w:val="22"/>
          <w:szCs w:val="22"/>
          <w:lang w:eastAsia="en-US"/>
        </w:rPr>
        <w:t>3°.</w:t>
      </w:r>
      <w:r w:rsidRPr="00DA43DB">
        <w:rPr>
          <w:rFonts w:ascii="Verdana" w:hAnsi="Verdana" w:cs="Arial"/>
          <w:b w:val="0"/>
          <w:sz w:val="22"/>
          <w:szCs w:val="22"/>
        </w:rPr>
        <w:t xml:space="preserve"> </w:t>
      </w:r>
      <w:r w:rsidR="00555067" w:rsidRPr="00E64898">
        <w:rPr>
          <w:rFonts w:ascii="Verdana" w:eastAsia="Calibri" w:hAnsi="Verdana" w:cs="Arial"/>
          <w:b w:val="0"/>
          <w:bCs/>
          <w:sz w:val="22"/>
          <w:szCs w:val="22"/>
          <w:lang w:eastAsia="en-US"/>
        </w:rPr>
        <w:t xml:space="preserve">A través de la Oficina asesora de Comunicaciones, </w:t>
      </w:r>
      <w:r w:rsidR="00555067" w:rsidRPr="00E64898">
        <w:rPr>
          <w:rFonts w:ascii="Verdana" w:eastAsia="Calibri" w:hAnsi="Verdana" w:cs="Arial"/>
          <w:sz w:val="22"/>
          <w:szCs w:val="22"/>
          <w:lang w:eastAsia="en-US"/>
        </w:rPr>
        <w:t>PUBLÍQUESE</w:t>
      </w:r>
      <w:r w:rsidR="00555067" w:rsidRPr="00555067">
        <w:rPr>
          <w:rFonts w:ascii="Verdana" w:eastAsia="Calibri" w:hAnsi="Verdana" w:cs="Arial"/>
          <w:b w:val="0"/>
          <w:bCs/>
          <w:sz w:val="22"/>
          <w:szCs w:val="22"/>
          <w:lang w:eastAsia="en-US"/>
        </w:rPr>
        <w:t xml:space="preserve"> </w:t>
      </w:r>
      <w:r w:rsidR="00555067" w:rsidRPr="00E64898">
        <w:rPr>
          <w:rFonts w:ascii="Verdana" w:eastAsia="Calibri" w:hAnsi="Verdana" w:cs="Arial"/>
          <w:b w:val="0"/>
          <w:bCs/>
          <w:sz w:val="22"/>
          <w:szCs w:val="22"/>
          <w:lang w:eastAsia="en-US"/>
        </w:rPr>
        <w:t>la presente resolución en la página web de la entidad.</w:t>
      </w:r>
    </w:p>
    <w:p w14:paraId="58525FA8" w14:textId="77777777" w:rsidR="00555067" w:rsidRDefault="00555067" w:rsidP="0046313D">
      <w:pPr>
        <w:pStyle w:val="Textoindependiente2"/>
        <w:tabs>
          <w:tab w:val="left" w:pos="7033"/>
        </w:tabs>
        <w:ind w:right="-91"/>
        <w:jc w:val="both"/>
        <w:rPr>
          <w:rFonts w:ascii="Verdana" w:eastAsia="Calibri" w:hAnsi="Verdana" w:cs="Arial"/>
          <w:b w:val="0"/>
          <w:bCs/>
          <w:sz w:val="22"/>
          <w:szCs w:val="22"/>
          <w:lang w:eastAsia="en-US"/>
        </w:rPr>
      </w:pPr>
    </w:p>
    <w:p w14:paraId="5C33098F" w14:textId="4A8B9A0C" w:rsidR="00555067" w:rsidRDefault="00555067" w:rsidP="00555067">
      <w:pPr>
        <w:pStyle w:val="Textoindependiente2"/>
        <w:tabs>
          <w:tab w:val="left" w:pos="7033"/>
        </w:tabs>
        <w:ind w:right="-91"/>
        <w:jc w:val="both"/>
        <w:rPr>
          <w:rFonts w:ascii="Verdana" w:hAnsi="Verdana" w:cs="Arial"/>
          <w:b w:val="0"/>
          <w:sz w:val="22"/>
          <w:szCs w:val="22"/>
        </w:rPr>
      </w:pPr>
      <w:r w:rsidRPr="00DA43DB">
        <w:rPr>
          <w:rFonts w:ascii="Verdana" w:eastAsia="Calibri" w:hAnsi="Verdana" w:cs="Arial"/>
          <w:sz w:val="22"/>
          <w:szCs w:val="22"/>
          <w:lang w:eastAsia="en-US"/>
        </w:rPr>
        <w:t xml:space="preserve">ARTÍCULO 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4°. </w:t>
      </w:r>
      <w:r w:rsidRPr="00DA43DB">
        <w:rPr>
          <w:rFonts w:ascii="Verdana" w:hAnsi="Verdana" w:cs="Arial"/>
          <w:b w:val="0"/>
          <w:sz w:val="22"/>
          <w:szCs w:val="22"/>
        </w:rPr>
        <w:t>La presente Resolución rige a partir de la fecha de su expedición. Las demás disposiciones contenidas en la Resolución 8300 del 2025 que no fueron objeto de la presente modificación, continúan</w:t>
      </w:r>
      <w:r>
        <w:rPr>
          <w:rFonts w:ascii="Verdana" w:hAnsi="Verdana" w:cs="Arial"/>
          <w:b w:val="0"/>
          <w:sz w:val="22"/>
          <w:szCs w:val="22"/>
        </w:rPr>
        <w:t xml:space="preserve"> vigentes en todos sus términos</w:t>
      </w:r>
      <w:r w:rsidRPr="00DA43DB">
        <w:rPr>
          <w:rFonts w:ascii="Verdana" w:hAnsi="Verdana" w:cs="Arial"/>
          <w:b w:val="0"/>
          <w:sz w:val="22"/>
          <w:szCs w:val="22"/>
        </w:rPr>
        <w:t>.</w:t>
      </w:r>
    </w:p>
    <w:p w14:paraId="43744149" w14:textId="77777777" w:rsidR="0046313D" w:rsidRDefault="0046313D" w:rsidP="0046313D">
      <w:pPr>
        <w:pStyle w:val="Textoindependiente2"/>
        <w:tabs>
          <w:tab w:val="left" w:pos="7033"/>
        </w:tabs>
        <w:ind w:right="-91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53C94890" w14:textId="77777777" w:rsidR="00297362" w:rsidRPr="00DA43DB" w:rsidRDefault="00297362" w:rsidP="0046313D">
      <w:pPr>
        <w:pStyle w:val="Textoindependiente2"/>
        <w:tabs>
          <w:tab w:val="left" w:pos="7033"/>
        </w:tabs>
        <w:ind w:right="-91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779F7F03" w14:textId="77777777" w:rsidR="00C1014E" w:rsidRPr="00DA43DB" w:rsidRDefault="00C1014E" w:rsidP="0046313D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049CE726" w14:textId="63C42A81" w:rsidR="0046313D" w:rsidRPr="00DA43DB" w:rsidRDefault="0046313D" w:rsidP="0046313D">
      <w:pPr>
        <w:spacing w:after="0" w:line="240" w:lineRule="auto"/>
        <w:jc w:val="center"/>
        <w:rPr>
          <w:rFonts w:ascii="Verdana" w:hAnsi="Verdana" w:cs="Arial"/>
          <w:b/>
        </w:rPr>
      </w:pPr>
      <w:r w:rsidRPr="00DA43DB">
        <w:rPr>
          <w:rFonts w:ascii="Verdana" w:hAnsi="Verdana" w:cs="Arial"/>
          <w:b/>
        </w:rPr>
        <w:t>COMUNÍQUESE Y CÚMPLASE</w:t>
      </w:r>
    </w:p>
    <w:p w14:paraId="125C61F7" w14:textId="77777777" w:rsidR="0046313D" w:rsidRPr="00DA43DB" w:rsidRDefault="0046313D" w:rsidP="0046313D">
      <w:pPr>
        <w:spacing w:after="0" w:line="240" w:lineRule="auto"/>
        <w:jc w:val="center"/>
        <w:rPr>
          <w:rFonts w:ascii="Verdana" w:hAnsi="Verdana" w:cs="Arial"/>
        </w:rPr>
      </w:pPr>
      <w:r w:rsidRPr="00DA43DB">
        <w:rPr>
          <w:rFonts w:ascii="Verdana" w:hAnsi="Verdana" w:cs="Arial"/>
        </w:rPr>
        <w:t>Dada en Bogotá, D.C.</w:t>
      </w:r>
    </w:p>
    <w:p w14:paraId="7D270D4E" w14:textId="77777777" w:rsidR="0046313D" w:rsidRPr="00DA43DB" w:rsidRDefault="0046313D" w:rsidP="0046313D">
      <w:pPr>
        <w:spacing w:after="0" w:line="240" w:lineRule="auto"/>
        <w:rPr>
          <w:rFonts w:ascii="Verdana" w:hAnsi="Verdana" w:cs="Arial"/>
        </w:rPr>
      </w:pPr>
    </w:p>
    <w:p w14:paraId="5E365B9A" w14:textId="77777777" w:rsidR="0046313D" w:rsidRPr="00DA43DB" w:rsidRDefault="0046313D" w:rsidP="0046313D">
      <w:pPr>
        <w:spacing w:after="0" w:line="240" w:lineRule="auto"/>
        <w:rPr>
          <w:rFonts w:ascii="Verdana" w:hAnsi="Verdana" w:cs="Arial"/>
        </w:rPr>
      </w:pPr>
    </w:p>
    <w:p w14:paraId="6664FCEF" w14:textId="77777777" w:rsidR="0046313D" w:rsidRPr="00DA43DB" w:rsidRDefault="0046313D" w:rsidP="0046313D">
      <w:pPr>
        <w:spacing w:after="0" w:line="240" w:lineRule="auto"/>
        <w:rPr>
          <w:rFonts w:ascii="Verdana" w:hAnsi="Verdana" w:cs="Arial"/>
        </w:rPr>
      </w:pPr>
    </w:p>
    <w:p w14:paraId="1C10BD73" w14:textId="0FB24634" w:rsidR="00916840" w:rsidRPr="00DA43DB" w:rsidRDefault="00DA00E4" w:rsidP="00DF7F7E">
      <w:pPr>
        <w:pStyle w:val="paragraph"/>
        <w:spacing w:before="0" w:after="0" w:afterAutospacing="0"/>
        <w:jc w:val="center"/>
        <w:textAlignment w:val="baseline"/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</w:pPr>
      <w:r w:rsidRPr="00DA43DB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ASTRID ELIANA CÁCERES CÁRDENAS</w:t>
      </w:r>
    </w:p>
    <w:p w14:paraId="5E5419D2" w14:textId="30F6181B" w:rsidR="00720977" w:rsidRPr="00DA43DB" w:rsidRDefault="00674BB3" w:rsidP="00DF7F7E">
      <w:pPr>
        <w:spacing w:after="0" w:line="240" w:lineRule="auto"/>
        <w:jc w:val="both"/>
        <w:rPr>
          <w:rStyle w:val="normaltextrun"/>
          <w:rFonts w:ascii="Verdana" w:hAnsi="Verdana" w:cs="Arial"/>
        </w:rPr>
      </w:pPr>
      <w:r w:rsidRPr="00DA43DB">
        <w:rPr>
          <w:rStyle w:val="normaltextrun"/>
          <w:rFonts w:ascii="Verdana" w:hAnsi="Verdana" w:cs="Arial"/>
        </w:rPr>
        <w:t xml:space="preserve">                                                </w:t>
      </w:r>
      <w:r w:rsidR="0046313D" w:rsidRPr="00DA43DB">
        <w:rPr>
          <w:rStyle w:val="normaltextrun"/>
          <w:rFonts w:ascii="Verdana" w:hAnsi="Verdana" w:cs="Arial"/>
        </w:rPr>
        <w:t>Directora General</w:t>
      </w:r>
      <w:r w:rsidR="008C1248" w:rsidRPr="00DA43DB">
        <w:rPr>
          <w:rStyle w:val="normaltextrun"/>
          <w:rFonts w:ascii="Verdana" w:hAnsi="Verdana" w:cs="Arial"/>
        </w:rPr>
        <w:t xml:space="preserve"> </w:t>
      </w:r>
    </w:p>
    <w:p w14:paraId="107C495D" w14:textId="1C0A7CD3" w:rsidR="001D3F87" w:rsidRPr="00DA43DB" w:rsidRDefault="001D3F87" w:rsidP="00720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4C84912B" w14:textId="77777777" w:rsidR="00297362" w:rsidRPr="00DA43DB" w:rsidRDefault="00297362" w:rsidP="00720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209ED706" w14:textId="77777777" w:rsidR="00C1014E" w:rsidRPr="00DA43DB" w:rsidRDefault="00C1014E" w:rsidP="007209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41D2FB55" w14:textId="77777777" w:rsidR="00246194" w:rsidRPr="00DA43DB" w:rsidRDefault="00246194" w:rsidP="008D4F7B">
      <w:pPr>
        <w:spacing w:after="120" w:line="240" w:lineRule="auto"/>
        <w:rPr>
          <w:rFonts w:ascii="Verdana" w:hAnsi="Verdana" w:cs="Arial"/>
          <w:sz w:val="20"/>
          <w:szCs w:val="20"/>
        </w:rPr>
      </w:pPr>
    </w:p>
    <w:sectPr w:rsidR="00246194" w:rsidRPr="00DA43DB" w:rsidSect="00E04191">
      <w:headerReference w:type="even" r:id="rId11"/>
      <w:headerReference w:type="first" r:id="rId12"/>
      <w:pgSz w:w="12240" w:h="18720" w:code="129"/>
      <w:pgMar w:top="1560" w:right="1134" w:bottom="1985" w:left="1701" w:header="141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6AD5" w14:textId="77777777" w:rsidR="004C10BD" w:rsidRDefault="004C10BD" w:rsidP="00B92FB1">
      <w:pPr>
        <w:spacing w:after="0" w:line="240" w:lineRule="auto"/>
      </w:pPr>
      <w:r>
        <w:separator/>
      </w:r>
    </w:p>
  </w:endnote>
  <w:endnote w:type="continuationSeparator" w:id="0">
    <w:p w14:paraId="6D5153D7" w14:textId="77777777" w:rsidR="004C10BD" w:rsidRDefault="004C10BD" w:rsidP="00B9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CB86" w14:textId="77777777" w:rsidR="004C10BD" w:rsidRDefault="004C10BD" w:rsidP="00B92FB1">
      <w:pPr>
        <w:spacing w:after="0" w:line="240" w:lineRule="auto"/>
      </w:pPr>
      <w:r>
        <w:separator/>
      </w:r>
    </w:p>
  </w:footnote>
  <w:footnote w:type="continuationSeparator" w:id="0">
    <w:p w14:paraId="680D40E0" w14:textId="77777777" w:rsidR="004C10BD" w:rsidRDefault="004C10BD" w:rsidP="00B9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9D8D" w14:textId="77777777" w:rsidR="000B1E33" w:rsidRDefault="00000000">
    <w:pPr>
      <w:pStyle w:val="Encabezado"/>
    </w:pPr>
    <w:r>
      <w:rPr>
        <w:noProof/>
      </w:rPr>
      <w:pict w14:anchorId="4D5F75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533894" o:spid="_x0000_s1027" type="#_x0000_t136" alt="" style="position:absolute;margin-left:0;margin-top:0;width:464.1pt;height:198.9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C8C4" w14:textId="77777777" w:rsidR="000B1E33" w:rsidRDefault="00000000">
    <w:pPr>
      <w:pStyle w:val="Encabezado"/>
    </w:pPr>
    <w:r>
      <w:rPr>
        <w:noProof/>
      </w:rPr>
      <w:pict w14:anchorId="2BEF06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533893" o:spid="_x0000_s1025" type="#_x0000_t136" alt="" style="position:absolute;margin-left:0;margin-top:0;width:464.1pt;height:198.9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05D"/>
    <w:multiLevelType w:val="hybridMultilevel"/>
    <w:tmpl w:val="68FCE5B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F2A99"/>
    <w:multiLevelType w:val="hybridMultilevel"/>
    <w:tmpl w:val="C73009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77156">
    <w:abstractNumId w:val="1"/>
  </w:num>
  <w:num w:numId="2" w16cid:durableId="157296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11DEB"/>
    <w:rsid w:val="00013251"/>
    <w:rsid w:val="00013E30"/>
    <w:rsid w:val="000153F1"/>
    <w:rsid w:val="00020EB6"/>
    <w:rsid w:val="00021DC6"/>
    <w:rsid w:val="000243DB"/>
    <w:rsid w:val="00031E58"/>
    <w:rsid w:val="00034D05"/>
    <w:rsid w:val="0003682A"/>
    <w:rsid w:val="00041D6F"/>
    <w:rsid w:val="00041F2D"/>
    <w:rsid w:val="000431A3"/>
    <w:rsid w:val="0004538D"/>
    <w:rsid w:val="0004720E"/>
    <w:rsid w:val="00051965"/>
    <w:rsid w:val="000565DA"/>
    <w:rsid w:val="00057940"/>
    <w:rsid w:val="00066BDF"/>
    <w:rsid w:val="00076626"/>
    <w:rsid w:val="00081E6F"/>
    <w:rsid w:val="00084DAA"/>
    <w:rsid w:val="000A4D2F"/>
    <w:rsid w:val="000A5263"/>
    <w:rsid w:val="000A5FCC"/>
    <w:rsid w:val="000B14EE"/>
    <w:rsid w:val="000B1E33"/>
    <w:rsid w:val="000B51D1"/>
    <w:rsid w:val="000B5A05"/>
    <w:rsid w:val="000C0F70"/>
    <w:rsid w:val="000C206C"/>
    <w:rsid w:val="000C3EA3"/>
    <w:rsid w:val="000C46CC"/>
    <w:rsid w:val="000C70A5"/>
    <w:rsid w:val="000D025C"/>
    <w:rsid w:val="000D07C9"/>
    <w:rsid w:val="000D228C"/>
    <w:rsid w:val="000D68F3"/>
    <w:rsid w:val="000E3D56"/>
    <w:rsid w:val="000F7319"/>
    <w:rsid w:val="00103435"/>
    <w:rsid w:val="00106628"/>
    <w:rsid w:val="00114FE7"/>
    <w:rsid w:val="001154FC"/>
    <w:rsid w:val="00117699"/>
    <w:rsid w:val="00117F84"/>
    <w:rsid w:val="001200F5"/>
    <w:rsid w:val="00122B71"/>
    <w:rsid w:val="00124B24"/>
    <w:rsid w:val="00136F73"/>
    <w:rsid w:val="001405E4"/>
    <w:rsid w:val="00141DB8"/>
    <w:rsid w:val="0014562D"/>
    <w:rsid w:val="00145DB0"/>
    <w:rsid w:val="00154820"/>
    <w:rsid w:val="00156361"/>
    <w:rsid w:val="00156A71"/>
    <w:rsid w:val="00156F6E"/>
    <w:rsid w:val="0015790F"/>
    <w:rsid w:val="00165BBC"/>
    <w:rsid w:val="00166140"/>
    <w:rsid w:val="00166CAE"/>
    <w:rsid w:val="00167244"/>
    <w:rsid w:val="00172846"/>
    <w:rsid w:val="00172E3F"/>
    <w:rsid w:val="00181998"/>
    <w:rsid w:val="00195822"/>
    <w:rsid w:val="001A37F1"/>
    <w:rsid w:val="001A6713"/>
    <w:rsid w:val="001B341E"/>
    <w:rsid w:val="001B3D2E"/>
    <w:rsid w:val="001B7026"/>
    <w:rsid w:val="001B7187"/>
    <w:rsid w:val="001C1EA5"/>
    <w:rsid w:val="001C242B"/>
    <w:rsid w:val="001C483F"/>
    <w:rsid w:val="001D2D57"/>
    <w:rsid w:val="001D3F87"/>
    <w:rsid w:val="001D4078"/>
    <w:rsid w:val="001E2239"/>
    <w:rsid w:val="001F25C8"/>
    <w:rsid w:val="001F560C"/>
    <w:rsid w:val="001F5EBB"/>
    <w:rsid w:val="001F64C6"/>
    <w:rsid w:val="001F686D"/>
    <w:rsid w:val="0020000A"/>
    <w:rsid w:val="00200E13"/>
    <w:rsid w:val="00201BFF"/>
    <w:rsid w:val="00212532"/>
    <w:rsid w:val="0021476C"/>
    <w:rsid w:val="00216A62"/>
    <w:rsid w:val="0022137F"/>
    <w:rsid w:val="00222CC9"/>
    <w:rsid w:val="00225723"/>
    <w:rsid w:val="00231890"/>
    <w:rsid w:val="00235935"/>
    <w:rsid w:val="00240294"/>
    <w:rsid w:val="00246194"/>
    <w:rsid w:val="0025040F"/>
    <w:rsid w:val="00251ABB"/>
    <w:rsid w:val="002543E6"/>
    <w:rsid w:val="0025709D"/>
    <w:rsid w:val="00260DDB"/>
    <w:rsid w:val="00260FF3"/>
    <w:rsid w:val="0026418A"/>
    <w:rsid w:val="0026454D"/>
    <w:rsid w:val="002655A7"/>
    <w:rsid w:val="00271472"/>
    <w:rsid w:val="00275F06"/>
    <w:rsid w:val="00277F79"/>
    <w:rsid w:val="00286C63"/>
    <w:rsid w:val="00290E3F"/>
    <w:rsid w:val="00294476"/>
    <w:rsid w:val="00297362"/>
    <w:rsid w:val="002A2ECA"/>
    <w:rsid w:val="002A4579"/>
    <w:rsid w:val="002A526E"/>
    <w:rsid w:val="002A5D7B"/>
    <w:rsid w:val="002B02C3"/>
    <w:rsid w:val="002B1953"/>
    <w:rsid w:val="002C0ABC"/>
    <w:rsid w:val="002C133F"/>
    <w:rsid w:val="002C1C41"/>
    <w:rsid w:val="002C71FB"/>
    <w:rsid w:val="002D5B25"/>
    <w:rsid w:val="002D6816"/>
    <w:rsid w:val="002E16CA"/>
    <w:rsid w:val="002E593D"/>
    <w:rsid w:val="002F56BB"/>
    <w:rsid w:val="00301D3D"/>
    <w:rsid w:val="003101D9"/>
    <w:rsid w:val="00322180"/>
    <w:rsid w:val="00324008"/>
    <w:rsid w:val="00327C36"/>
    <w:rsid w:val="00334304"/>
    <w:rsid w:val="00340AE5"/>
    <w:rsid w:val="00350943"/>
    <w:rsid w:val="00353858"/>
    <w:rsid w:val="00362757"/>
    <w:rsid w:val="0036583B"/>
    <w:rsid w:val="003661F0"/>
    <w:rsid w:val="00370BB6"/>
    <w:rsid w:val="00374256"/>
    <w:rsid w:val="00376F5F"/>
    <w:rsid w:val="00382BCC"/>
    <w:rsid w:val="003845DB"/>
    <w:rsid w:val="0038761F"/>
    <w:rsid w:val="00387B60"/>
    <w:rsid w:val="003943EF"/>
    <w:rsid w:val="00395679"/>
    <w:rsid w:val="003A1B68"/>
    <w:rsid w:val="003A35AF"/>
    <w:rsid w:val="003A39EF"/>
    <w:rsid w:val="003A418C"/>
    <w:rsid w:val="003A74C9"/>
    <w:rsid w:val="003B0968"/>
    <w:rsid w:val="003B10D4"/>
    <w:rsid w:val="003B3156"/>
    <w:rsid w:val="003C056D"/>
    <w:rsid w:val="003C2C40"/>
    <w:rsid w:val="003C31C3"/>
    <w:rsid w:val="003C7DD9"/>
    <w:rsid w:val="003D14D6"/>
    <w:rsid w:val="003D255C"/>
    <w:rsid w:val="003D4F18"/>
    <w:rsid w:val="003E216C"/>
    <w:rsid w:val="003E6C81"/>
    <w:rsid w:val="003F29EE"/>
    <w:rsid w:val="003F6B6F"/>
    <w:rsid w:val="00404F59"/>
    <w:rsid w:val="00407661"/>
    <w:rsid w:val="00414ACB"/>
    <w:rsid w:val="004225C6"/>
    <w:rsid w:val="00423A2F"/>
    <w:rsid w:val="00425258"/>
    <w:rsid w:val="00425BDF"/>
    <w:rsid w:val="00425F58"/>
    <w:rsid w:val="00427C24"/>
    <w:rsid w:val="00433B37"/>
    <w:rsid w:val="00434EC3"/>
    <w:rsid w:val="0043700B"/>
    <w:rsid w:val="00445F9F"/>
    <w:rsid w:val="0044779C"/>
    <w:rsid w:val="004532D9"/>
    <w:rsid w:val="00454063"/>
    <w:rsid w:val="004554AF"/>
    <w:rsid w:val="00455A52"/>
    <w:rsid w:val="00456247"/>
    <w:rsid w:val="0046313D"/>
    <w:rsid w:val="00472544"/>
    <w:rsid w:val="004739AE"/>
    <w:rsid w:val="00484181"/>
    <w:rsid w:val="00484425"/>
    <w:rsid w:val="00487A00"/>
    <w:rsid w:val="00490F50"/>
    <w:rsid w:val="004970DB"/>
    <w:rsid w:val="00497584"/>
    <w:rsid w:val="004A6A66"/>
    <w:rsid w:val="004B1AF2"/>
    <w:rsid w:val="004B44F0"/>
    <w:rsid w:val="004B6CC4"/>
    <w:rsid w:val="004C04BD"/>
    <w:rsid w:val="004C0F15"/>
    <w:rsid w:val="004C10BD"/>
    <w:rsid w:val="004C2200"/>
    <w:rsid w:val="004E22A3"/>
    <w:rsid w:val="004E465C"/>
    <w:rsid w:val="004E5577"/>
    <w:rsid w:val="004E703A"/>
    <w:rsid w:val="004F2DC4"/>
    <w:rsid w:val="004F735E"/>
    <w:rsid w:val="00504281"/>
    <w:rsid w:val="00512B67"/>
    <w:rsid w:val="00522764"/>
    <w:rsid w:val="00526A26"/>
    <w:rsid w:val="00530B15"/>
    <w:rsid w:val="00533BAC"/>
    <w:rsid w:val="00535C0C"/>
    <w:rsid w:val="005435A2"/>
    <w:rsid w:val="005440BB"/>
    <w:rsid w:val="00544D5F"/>
    <w:rsid w:val="00555067"/>
    <w:rsid w:val="00557C8B"/>
    <w:rsid w:val="00562BE1"/>
    <w:rsid w:val="005750FD"/>
    <w:rsid w:val="00577320"/>
    <w:rsid w:val="00577660"/>
    <w:rsid w:val="00580652"/>
    <w:rsid w:val="0058129C"/>
    <w:rsid w:val="00581674"/>
    <w:rsid w:val="0058251C"/>
    <w:rsid w:val="005839B3"/>
    <w:rsid w:val="00594590"/>
    <w:rsid w:val="005A35EE"/>
    <w:rsid w:val="005A7572"/>
    <w:rsid w:val="005B3FDB"/>
    <w:rsid w:val="005C3872"/>
    <w:rsid w:val="005D4C82"/>
    <w:rsid w:val="005D6871"/>
    <w:rsid w:val="005D7D30"/>
    <w:rsid w:val="005E27C1"/>
    <w:rsid w:val="005E75E1"/>
    <w:rsid w:val="005F32C2"/>
    <w:rsid w:val="00601C12"/>
    <w:rsid w:val="00602D33"/>
    <w:rsid w:val="00626FE0"/>
    <w:rsid w:val="00636DA5"/>
    <w:rsid w:val="00644287"/>
    <w:rsid w:val="00644CB8"/>
    <w:rsid w:val="00651C02"/>
    <w:rsid w:val="00655476"/>
    <w:rsid w:val="006673AE"/>
    <w:rsid w:val="00667EE4"/>
    <w:rsid w:val="00670C1E"/>
    <w:rsid w:val="00672796"/>
    <w:rsid w:val="00674BB3"/>
    <w:rsid w:val="00677FFC"/>
    <w:rsid w:val="00685523"/>
    <w:rsid w:val="00685B15"/>
    <w:rsid w:val="0069543B"/>
    <w:rsid w:val="006A66E6"/>
    <w:rsid w:val="006A6ED9"/>
    <w:rsid w:val="006B1159"/>
    <w:rsid w:val="006B340E"/>
    <w:rsid w:val="006C23A1"/>
    <w:rsid w:val="006C70A7"/>
    <w:rsid w:val="006C7934"/>
    <w:rsid w:val="006D06EF"/>
    <w:rsid w:val="006D12F3"/>
    <w:rsid w:val="006E3B64"/>
    <w:rsid w:val="006E667D"/>
    <w:rsid w:val="006F2F8E"/>
    <w:rsid w:val="006F6487"/>
    <w:rsid w:val="00702B99"/>
    <w:rsid w:val="00705216"/>
    <w:rsid w:val="00720977"/>
    <w:rsid w:val="00731C46"/>
    <w:rsid w:val="0074230B"/>
    <w:rsid w:val="00751FBB"/>
    <w:rsid w:val="00761BAC"/>
    <w:rsid w:val="007640B7"/>
    <w:rsid w:val="007642F5"/>
    <w:rsid w:val="00771492"/>
    <w:rsid w:val="0077263A"/>
    <w:rsid w:val="00780B74"/>
    <w:rsid w:val="00781993"/>
    <w:rsid w:val="00783922"/>
    <w:rsid w:val="00785C01"/>
    <w:rsid w:val="00790AD9"/>
    <w:rsid w:val="007911D4"/>
    <w:rsid w:val="0079507C"/>
    <w:rsid w:val="00795597"/>
    <w:rsid w:val="007971E2"/>
    <w:rsid w:val="007A1C25"/>
    <w:rsid w:val="007A4804"/>
    <w:rsid w:val="007A495C"/>
    <w:rsid w:val="007A5382"/>
    <w:rsid w:val="007B2637"/>
    <w:rsid w:val="007B3490"/>
    <w:rsid w:val="007B37F4"/>
    <w:rsid w:val="007B6F11"/>
    <w:rsid w:val="007C5D08"/>
    <w:rsid w:val="007D7D2B"/>
    <w:rsid w:val="007E101C"/>
    <w:rsid w:val="007F4326"/>
    <w:rsid w:val="007F5337"/>
    <w:rsid w:val="00807415"/>
    <w:rsid w:val="0080765F"/>
    <w:rsid w:val="00807A2A"/>
    <w:rsid w:val="0082382D"/>
    <w:rsid w:val="00834F5B"/>
    <w:rsid w:val="00836284"/>
    <w:rsid w:val="008431CB"/>
    <w:rsid w:val="00843ED0"/>
    <w:rsid w:val="00844416"/>
    <w:rsid w:val="00844FBA"/>
    <w:rsid w:val="00851D51"/>
    <w:rsid w:val="0086399E"/>
    <w:rsid w:val="00872197"/>
    <w:rsid w:val="00875354"/>
    <w:rsid w:val="00885D9E"/>
    <w:rsid w:val="0088744B"/>
    <w:rsid w:val="00890A47"/>
    <w:rsid w:val="00891506"/>
    <w:rsid w:val="008949A5"/>
    <w:rsid w:val="008A0010"/>
    <w:rsid w:val="008A1463"/>
    <w:rsid w:val="008A1486"/>
    <w:rsid w:val="008A7E94"/>
    <w:rsid w:val="008B2677"/>
    <w:rsid w:val="008C1248"/>
    <w:rsid w:val="008C2802"/>
    <w:rsid w:val="008C6ABD"/>
    <w:rsid w:val="008D2158"/>
    <w:rsid w:val="008D4F7B"/>
    <w:rsid w:val="008D5961"/>
    <w:rsid w:val="008E1737"/>
    <w:rsid w:val="008E1DA6"/>
    <w:rsid w:val="008F0E18"/>
    <w:rsid w:val="008F30BC"/>
    <w:rsid w:val="008F5980"/>
    <w:rsid w:val="008F5A61"/>
    <w:rsid w:val="00902A66"/>
    <w:rsid w:val="009046FC"/>
    <w:rsid w:val="00904926"/>
    <w:rsid w:val="00911DD1"/>
    <w:rsid w:val="00915363"/>
    <w:rsid w:val="00916840"/>
    <w:rsid w:val="00920185"/>
    <w:rsid w:val="00921C8E"/>
    <w:rsid w:val="00934079"/>
    <w:rsid w:val="00934EDA"/>
    <w:rsid w:val="00937D83"/>
    <w:rsid w:val="00942999"/>
    <w:rsid w:val="00945DAB"/>
    <w:rsid w:val="00962225"/>
    <w:rsid w:val="009635F4"/>
    <w:rsid w:val="0097128C"/>
    <w:rsid w:val="009728CE"/>
    <w:rsid w:val="00977490"/>
    <w:rsid w:val="00982535"/>
    <w:rsid w:val="00982B89"/>
    <w:rsid w:val="00982BDF"/>
    <w:rsid w:val="00984C5C"/>
    <w:rsid w:val="00987177"/>
    <w:rsid w:val="00990225"/>
    <w:rsid w:val="009A4201"/>
    <w:rsid w:val="009B0287"/>
    <w:rsid w:val="009B0C53"/>
    <w:rsid w:val="009B14DE"/>
    <w:rsid w:val="009B2507"/>
    <w:rsid w:val="009B56FD"/>
    <w:rsid w:val="009C44C6"/>
    <w:rsid w:val="009C6555"/>
    <w:rsid w:val="009D06F9"/>
    <w:rsid w:val="009D16FB"/>
    <w:rsid w:val="009D4267"/>
    <w:rsid w:val="009D7706"/>
    <w:rsid w:val="009E06FE"/>
    <w:rsid w:val="009E106D"/>
    <w:rsid w:val="009E11EE"/>
    <w:rsid w:val="009E7345"/>
    <w:rsid w:val="009E7509"/>
    <w:rsid w:val="009F2B33"/>
    <w:rsid w:val="009F6D78"/>
    <w:rsid w:val="009F793C"/>
    <w:rsid w:val="00A0182F"/>
    <w:rsid w:val="00A047E0"/>
    <w:rsid w:val="00A06DA0"/>
    <w:rsid w:val="00A16342"/>
    <w:rsid w:val="00A16EEC"/>
    <w:rsid w:val="00A17679"/>
    <w:rsid w:val="00A22267"/>
    <w:rsid w:val="00A225D0"/>
    <w:rsid w:val="00A2594A"/>
    <w:rsid w:val="00A30CA1"/>
    <w:rsid w:val="00A3295A"/>
    <w:rsid w:val="00A406AE"/>
    <w:rsid w:val="00A429CA"/>
    <w:rsid w:val="00A43FE3"/>
    <w:rsid w:val="00A57AD7"/>
    <w:rsid w:val="00A6203E"/>
    <w:rsid w:val="00A64252"/>
    <w:rsid w:val="00A6507C"/>
    <w:rsid w:val="00A6527B"/>
    <w:rsid w:val="00A714A3"/>
    <w:rsid w:val="00A7465E"/>
    <w:rsid w:val="00A80720"/>
    <w:rsid w:val="00A8169C"/>
    <w:rsid w:val="00A86A8D"/>
    <w:rsid w:val="00A87367"/>
    <w:rsid w:val="00A91AB7"/>
    <w:rsid w:val="00A923E0"/>
    <w:rsid w:val="00A9298B"/>
    <w:rsid w:val="00A97870"/>
    <w:rsid w:val="00AA3B98"/>
    <w:rsid w:val="00AA6853"/>
    <w:rsid w:val="00AB1106"/>
    <w:rsid w:val="00AB586C"/>
    <w:rsid w:val="00AB616C"/>
    <w:rsid w:val="00AC0180"/>
    <w:rsid w:val="00AD3B58"/>
    <w:rsid w:val="00AD66D1"/>
    <w:rsid w:val="00AE61A8"/>
    <w:rsid w:val="00AE62B4"/>
    <w:rsid w:val="00B0154D"/>
    <w:rsid w:val="00B03525"/>
    <w:rsid w:val="00B1064D"/>
    <w:rsid w:val="00B13CF9"/>
    <w:rsid w:val="00B1550D"/>
    <w:rsid w:val="00B15898"/>
    <w:rsid w:val="00B15AF3"/>
    <w:rsid w:val="00B17FED"/>
    <w:rsid w:val="00B2730F"/>
    <w:rsid w:val="00B31651"/>
    <w:rsid w:val="00B3387B"/>
    <w:rsid w:val="00B40865"/>
    <w:rsid w:val="00B4434D"/>
    <w:rsid w:val="00B512F7"/>
    <w:rsid w:val="00B55E51"/>
    <w:rsid w:val="00B61463"/>
    <w:rsid w:val="00B62DE5"/>
    <w:rsid w:val="00B70A8E"/>
    <w:rsid w:val="00B722A0"/>
    <w:rsid w:val="00B72955"/>
    <w:rsid w:val="00B73B7E"/>
    <w:rsid w:val="00B773BA"/>
    <w:rsid w:val="00B80B17"/>
    <w:rsid w:val="00B822A7"/>
    <w:rsid w:val="00B87C70"/>
    <w:rsid w:val="00B92FB1"/>
    <w:rsid w:val="00B96A57"/>
    <w:rsid w:val="00BA39F8"/>
    <w:rsid w:val="00BA6CBE"/>
    <w:rsid w:val="00BB1706"/>
    <w:rsid w:val="00BB1C7B"/>
    <w:rsid w:val="00BB74A5"/>
    <w:rsid w:val="00BC01AA"/>
    <w:rsid w:val="00BD0900"/>
    <w:rsid w:val="00BD1F25"/>
    <w:rsid w:val="00BD5F85"/>
    <w:rsid w:val="00BE2829"/>
    <w:rsid w:val="00BE63AC"/>
    <w:rsid w:val="00BF4407"/>
    <w:rsid w:val="00BF56FB"/>
    <w:rsid w:val="00C0120D"/>
    <w:rsid w:val="00C1014E"/>
    <w:rsid w:val="00C14943"/>
    <w:rsid w:val="00C21C42"/>
    <w:rsid w:val="00C24821"/>
    <w:rsid w:val="00C27AAE"/>
    <w:rsid w:val="00C356ED"/>
    <w:rsid w:val="00C3687C"/>
    <w:rsid w:val="00C4628E"/>
    <w:rsid w:val="00C52040"/>
    <w:rsid w:val="00C52AF0"/>
    <w:rsid w:val="00C67768"/>
    <w:rsid w:val="00C67B08"/>
    <w:rsid w:val="00C72293"/>
    <w:rsid w:val="00C7295A"/>
    <w:rsid w:val="00C77FBB"/>
    <w:rsid w:val="00C84ACB"/>
    <w:rsid w:val="00C91182"/>
    <w:rsid w:val="00C93110"/>
    <w:rsid w:val="00CB1D0D"/>
    <w:rsid w:val="00CB410F"/>
    <w:rsid w:val="00CB61B0"/>
    <w:rsid w:val="00CC455D"/>
    <w:rsid w:val="00CC7CA5"/>
    <w:rsid w:val="00CD0AD0"/>
    <w:rsid w:val="00CD1741"/>
    <w:rsid w:val="00CD43D3"/>
    <w:rsid w:val="00CD6612"/>
    <w:rsid w:val="00CE7016"/>
    <w:rsid w:val="00CE76ED"/>
    <w:rsid w:val="00CF2AFB"/>
    <w:rsid w:val="00D03F64"/>
    <w:rsid w:val="00D13D6F"/>
    <w:rsid w:val="00D14041"/>
    <w:rsid w:val="00D2239A"/>
    <w:rsid w:val="00D23613"/>
    <w:rsid w:val="00D23BA8"/>
    <w:rsid w:val="00D35172"/>
    <w:rsid w:val="00D36767"/>
    <w:rsid w:val="00D36C89"/>
    <w:rsid w:val="00D403EF"/>
    <w:rsid w:val="00D449E9"/>
    <w:rsid w:val="00D50371"/>
    <w:rsid w:val="00D50BA1"/>
    <w:rsid w:val="00D52494"/>
    <w:rsid w:val="00D53EEB"/>
    <w:rsid w:val="00D571F0"/>
    <w:rsid w:val="00D57397"/>
    <w:rsid w:val="00D66CD8"/>
    <w:rsid w:val="00D71090"/>
    <w:rsid w:val="00D73A51"/>
    <w:rsid w:val="00D75C24"/>
    <w:rsid w:val="00D76A89"/>
    <w:rsid w:val="00D804FB"/>
    <w:rsid w:val="00D809D3"/>
    <w:rsid w:val="00D83829"/>
    <w:rsid w:val="00D855CF"/>
    <w:rsid w:val="00D95121"/>
    <w:rsid w:val="00D97E91"/>
    <w:rsid w:val="00DA00E4"/>
    <w:rsid w:val="00DA3687"/>
    <w:rsid w:val="00DA43DB"/>
    <w:rsid w:val="00DA4D74"/>
    <w:rsid w:val="00DB1127"/>
    <w:rsid w:val="00DB29EC"/>
    <w:rsid w:val="00DB7F85"/>
    <w:rsid w:val="00DC379E"/>
    <w:rsid w:val="00DC58A2"/>
    <w:rsid w:val="00DC594A"/>
    <w:rsid w:val="00DD767E"/>
    <w:rsid w:val="00DE124F"/>
    <w:rsid w:val="00DE3D93"/>
    <w:rsid w:val="00DF138E"/>
    <w:rsid w:val="00DF14DF"/>
    <w:rsid w:val="00DF5E83"/>
    <w:rsid w:val="00DF71A6"/>
    <w:rsid w:val="00DF7F7E"/>
    <w:rsid w:val="00E0383D"/>
    <w:rsid w:val="00E04191"/>
    <w:rsid w:val="00E0651E"/>
    <w:rsid w:val="00E101E5"/>
    <w:rsid w:val="00E12F4A"/>
    <w:rsid w:val="00E22E20"/>
    <w:rsid w:val="00E37EB6"/>
    <w:rsid w:val="00E402E9"/>
    <w:rsid w:val="00E45D64"/>
    <w:rsid w:val="00E528DF"/>
    <w:rsid w:val="00E52C97"/>
    <w:rsid w:val="00E53C27"/>
    <w:rsid w:val="00E640DE"/>
    <w:rsid w:val="00E67AF8"/>
    <w:rsid w:val="00E73D85"/>
    <w:rsid w:val="00E81F5E"/>
    <w:rsid w:val="00E828F3"/>
    <w:rsid w:val="00E82C2C"/>
    <w:rsid w:val="00E851E0"/>
    <w:rsid w:val="00E86644"/>
    <w:rsid w:val="00E905A5"/>
    <w:rsid w:val="00E90998"/>
    <w:rsid w:val="00E91C8C"/>
    <w:rsid w:val="00E95731"/>
    <w:rsid w:val="00E96FF8"/>
    <w:rsid w:val="00E97C5D"/>
    <w:rsid w:val="00EA4F5F"/>
    <w:rsid w:val="00EB01EE"/>
    <w:rsid w:val="00EB3060"/>
    <w:rsid w:val="00EB453D"/>
    <w:rsid w:val="00EB55EA"/>
    <w:rsid w:val="00EB5689"/>
    <w:rsid w:val="00EC263E"/>
    <w:rsid w:val="00EC3DCB"/>
    <w:rsid w:val="00ED06CC"/>
    <w:rsid w:val="00ED2214"/>
    <w:rsid w:val="00ED234C"/>
    <w:rsid w:val="00ED2B39"/>
    <w:rsid w:val="00EE3003"/>
    <w:rsid w:val="00EE53F4"/>
    <w:rsid w:val="00EF2843"/>
    <w:rsid w:val="00EF5DBD"/>
    <w:rsid w:val="00F000ED"/>
    <w:rsid w:val="00F055C1"/>
    <w:rsid w:val="00F10601"/>
    <w:rsid w:val="00F1358D"/>
    <w:rsid w:val="00F20988"/>
    <w:rsid w:val="00F21FD6"/>
    <w:rsid w:val="00F3713D"/>
    <w:rsid w:val="00F42942"/>
    <w:rsid w:val="00F43C06"/>
    <w:rsid w:val="00F46CA0"/>
    <w:rsid w:val="00F52334"/>
    <w:rsid w:val="00F52A00"/>
    <w:rsid w:val="00F57221"/>
    <w:rsid w:val="00F615F0"/>
    <w:rsid w:val="00F63F24"/>
    <w:rsid w:val="00F657CE"/>
    <w:rsid w:val="00F66839"/>
    <w:rsid w:val="00F70AE5"/>
    <w:rsid w:val="00F733DE"/>
    <w:rsid w:val="00F743C0"/>
    <w:rsid w:val="00F80407"/>
    <w:rsid w:val="00F81932"/>
    <w:rsid w:val="00F825B3"/>
    <w:rsid w:val="00F86A4F"/>
    <w:rsid w:val="00F907CB"/>
    <w:rsid w:val="00F908D7"/>
    <w:rsid w:val="00F95327"/>
    <w:rsid w:val="00F96282"/>
    <w:rsid w:val="00F976E4"/>
    <w:rsid w:val="00FA5A07"/>
    <w:rsid w:val="00FA6F0A"/>
    <w:rsid w:val="00FB23DA"/>
    <w:rsid w:val="00FB758C"/>
    <w:rsid w:val="00FC11C6"/>
    <w:rsid w:val="00FC168B"/>
    <w:rsid w:val="00FC53EC"/>
    <w:rsid w:val="00FC5DB1"/>
    <w:rsid w:val="00FD10DD"/>
    <w:rsid w:val="00FD2A49"/>
    <w:rsid w:val="00FD2DC9"/>
    <w:rsid w:val="00FD3271"/>
    <w:rsid w:val="00FF29AA"/>
    <w:rsid w:val="00FF2B86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D2F3C5"/>
  <w15:chartTrackingRefBased/>
  <w15:docId w15:val="{5CBAC9B1-CA96-4936-8C5B-8EE866EE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916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customStyle="1" w:styleId="Default">
    <w:name w:val="Default"/>
    <w:rsid w:val="00790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rsid w:val="00790AD9"/>
    <w:pPr>
      <w:spacing w:after="0" w:line="240" w:lineRule="auto"/>
    </w:pPr>
    <w:rPr>
      <w:rFonts w:ascii="Arial" w:eastAsia="Times New Roman" w:hAnsi="Arial"/>
      <w:b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90AD9"/>
    <w:rPr>
      <w:rFonts w:ascii="Arial" w:eastAsia="Times New Roman" w:hAnsi="Arial"/>
      <w:b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790A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90AD9"/>
    <w:rPr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90A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790A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012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12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120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12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120D"/>
    <w:rPr>
      <w:b/>
      <w:bCs/>
      <w:lang w:val="es-ES" w:eastAsia="en-US"/>
    </w:rPr>
  </w:style>
  <w:style w:type="paragraph" w:styleId="Revisin">
    <w:name w:val="Revision"/>
    <w:hidden/>
    <w:uiPriority w:val="71"/>
    <w:unhideWhenUsed/>
    <w:rsid w:val="008D5961"/>
    <w:rPr>
      <w:sz w:val="22"/>
      <w:szCs w:val="22"/>
      <w:lang w:val="es-ES" w:eastAsia="en-US"/>
    </w:rPr>
  </w:style>
  <w:style w:type="character" w:customStyle="1" w:styleId="normaltextrun">
    <w:name w:val="normaltextrun"/>
    <w:basedOn w:val="Fuentedeprrafopredeter"/>
    <w:rsid w:val="00BF56FB"/>
  </w:style>
  <w:style w:type="paragraph" w:customStyle="1" w:styleId="paragraph">
    <w:name w:val="paragraph"/>
    <w:basedOn w:val="Normal"/>
    <w:rsid w:val="00BF5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BF56FB"/>
  </w:style>
  <w:style w:type="character" w:customStyle="1" w:styleId="Ttulo1Car">
    <w:name w:val="Título 1 Car"/>
    <w:basedOn w:val="Fuentedeprrafopredeter"/>
    <w:link w:val="Ttulo1"/>
    <w:uiPriority w:val="9"/>
    <w:rsid w:val="0091684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F7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F7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EC0CF-A9E1-4A7C-9ED8-212774AFD555}">
  <ds:schemaRefs>
    <ds:schemaRef ds:uri="http://schemas.microsoft.com/office/2006/metadata/properties"/>
    <ds:schemaRef ds:uri="http://schemas.microsoft.com/office/infopath/2007/PartnerControls"/>
    <ds:schemaRef ds:uri="f866d7d7-b100-47b8-9797-66505f9b8005"/>
  </ds:schemaRefs>
</ds:datastoreItem>
</file>

<file path=customXml/itemProps2.xml><?xml version="1.0" encoding="utf-8"?>
<ds:datastoreItem xmlns:ds="http://schemas.openxmlformats.org/officeDocument/2006/customXml" ds:itemID="{DD8F8C0C-6133-4C6F-B89E-0538B83BB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4983E-16BD-47D5-BEF3-D3B0B48C4A3C}"/>
</file>

<file path=customXml/itemProps4.xml><?xml version="1.0" encoding="utf-8"?>
<ds:datastoreItem xmlns:ds="http://schemas.openxmlformats.org/officeDocument/2006/customXml" ds:itemID="{5059797F-2651-4397-A9B9-0B69EF4B4E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1751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Jose Patricio Lizca Alvarez</cp:lastModifiedBy>
  <cp:revision>4</cp:revision>
  <cp:lastPrinted>2026-04-30T21:13:00Z</cp:lastPrinted>
  <dcterms:created xsi:type="dcterms:W3CDTF">2026-05-21T20:09:00Z</dcterms:created>
  <dcterms:modified xsi:type="dcterms:W3CDTF">2026-05-27T19:48:00Z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