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A36" w14:textId="77777777" w:rsidR="006D5C9B" w:rsidRPr="006D5C9B" w:rsidRDefault="006D5C9B" w:rsidP="006D5C9B">
      <w:pPr>
        <w:jc w:val="center"/>
        <w:rPr>
          <w:rFonts w:ascii="Verdana" w:hAnsi="Verdana"/>
        </w:rPr>
      </w:pPr>
      <w:r w:rsidRPr="006D5C9B">
        <w:rPr>
          <w:rFonts w:ascii="Verdana" w:hAnsi="Verdana"/>
          <w:b/>
          <w:bCs/>
        </w:rPr>
        <w:t>RESOLUCIÓN 2334 DE 2010</w:t>
      </w:r>
    </w:p>
    <w:p w14:paraId="7D979F2C" w14:textId="2F7A6826" w:rsidR="006D5C9B" w:rsidRPr="00A85783" w:rsidRDefault="006D5C9B" w:rsidP="006D5C9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Pr>
          <w:rFonts w:ascii="Verdana" w:hAnsi="Verdana"/>
          <w:sz w:val="20"/>
          <w:szCs w:val="20"/>
        </w:rPr>
        <w:t xml:space="preserve">8 de junio </w:t>
      </w:r>
      <w:r w:rsidRPr="00A85783">
        <w:rPr>
          <w:rFonts w:ascii="Verdana" w:hAnsi="Verdana"/>
          <w:sz w:val="20"/>
          <w:szCs w:val="20"/>
        </w:rPr>
        <w:t xml:space="preserve">de </w:t>
      </w:r>
      <w:r>
        <w:rPr>
          <w:rFonts w:ascii="Verdana" w:hAnsi="Verdana"/>
          <w:sz w:val="20"/>
          <w:szCs w:val="20"/>
        </w:rPr>
        <w:t>2010</w:t>
      </w:r>
    </w:p>
    <w:p w14:paraId="3CC248E8" w14:textId="0914704A" w:rsidR="006D5C9B" w:rsidRPr="00A85783" w:rsidRDefault="006D5C9B" w:rsidP="006D5C9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Pr>
          <w:rFonts w:ascii="Verdana" w:hAnsi="Verdana"/>
          <w:sz w:val="20"/>
          <w:szCs w:val="20"/>
        </w:rPr>
        <w:t>8 de junio</w:t>
      </w:r>
      <w:r w:rsidRPr="00A85783">
        <w:rPr>
          <w:rFonts w:ascii="Verdana" w:hAnsi="Verdana"/>
          <w:sz w:val="20"/>
          <w:szCs w:val="20"/>
        </w:rPr>
        <w:t xml:space="preserve"> de </w:t>
      </w:r>
      <w:r>
        <w:rPr>
          <w:rFonts w:ascii="Verdana" w:hAnsi="Verdana"/>
          <w:sz w:val="20"/>
          <w:szCs w:val="20"/>
        </w:rPr>
        <w:t>2010</w:t>
      </w:r>
    </w:p>
    <w:p w14:paraId="0473B1BE" w14:textId="5290F561" w:rsidR="006D5C9B" w:rsidRPr="00A85783" w:rsidRDefault="006D5C9B" w:rsidP="006D5C9B">
      <w:pPr>
        <w:pStyle w:val="Sinespaciado"/>
        <w:rPr>
          <w:rFonts w:ascii="Verdana" w:hAnsi="Verdana"/>
          <w:sz w:val="20"/>
          <w:szCs w:val="20"/>
        </w:rPr>
      </w:pPr>
      <w:r w:rsidRPr="00A85783">
        <w:rPr>
          <w:rFonts w:ascii="Verdana" w:hAnsi="Verdana"/>
          <w:sz w:val="20"/>
          <w:szCs w:val="20"/>
        </w:rPr>
        <w:t xml:space="preserve">Estado de la vigencia: </w:t>
      </w:r>
      <w:r w:rsidRPr="006D5C9B">
        <w:rPr>
          <w:rFonts w:ascii="Verdana" w:hAnsi="Verdana"/>
          <w:sz w:val="20"/>
          <w:szCs w:val="20"/>
        </w:rPr>
        <w:t>derogada por el artículo 23 de la Resolución 2000 de 2013</w:t>
      </w:r>
    </w:p>
    <w:p w14:paraId="6576881C" w14:textId="77777777" w:rsidR="006D5C9B" w:rsidRDefault="006D5C9B" w:rsidP="006D5C9B">
      <w:pPr>
        <w:pStyle w:val="Sinespaciado"/>
        <w:rPr>
          <w:rFonts w:ascii="Verdana" w:hAnsi="Verdana"/>
          <w:sz w:val="20"/>
          <w:szCs w:val="20"/>
        </w:rPr>
      </w:pPr>
    </w:p>
    <w:p w14:paraId="0F507BF5" w14:textId="39BB4791" w:rsidR="006D5C9B" w:rsidRPr="00A85783" w:rsidRDefault="006D5C9B" w:rsidP="006D5C9B">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21 de julio</w:t>
      </w:r>
      <w:r w:rsidR="00E16DA9">
        <w:rPr>
          <w:rFonts w:ascii="Verdana" w:hAnsi="Verdana"/>
          <w:sz w:val="20"/>
          <w:szCs w:val="20"/>
        </w:rPr>
        <w:t xml:space="preserve"> de 2010</w:t>
      </w:r>
    </w:p>
    <w:p w14:paraId="1DB01B0E" w14:textId="25C31641" w:rsidR="006D5C9B" w:rsidRDefault="006D5C9B" w:rsidP="006D5C9B">
      <w:pPr>
        <w:pStyle w:val="Sinespaciado"/>
        <w:rPr>
          <w:rFonts w:ascii="Verdana" w:hAnsi="Verdana"/>
          <w:sz w:val="20"/>
          <w:szCs w:val="20"/>
        </w:rPr>
      </w:pPr>
      <w:r w:rsidRPr="00A85783">
        <w:rPr>
          <w:rFonts w:ascii="Verdana" w:hAnsi="Verdana"/>
          <w:sz w:val="20"/>
          <w:szCs w:val="20"/>
        </w:rPr>
        <w:t xml:space="preserve">Número del Diario Oficial: </w:t>
      </w:r>
      <w:r w:rsidRPr="006D5C9B">
        <w:rPr>
          <w:rFonts w:ascii="Verdana" w:hAnsi="Verdana"/>
          <w:sz w:val="20"/>
          <w:szCs w:val="20"/>
        </w:rPr>
        <w:t>47.747</w:t>
      </w:r>
    </w:p>
    <w:p w14:paraId="76BEF27B" w14:textId="77777777" w:rsidR="00C11D0E" w:rsidRDefault="00C11D0E" w:rsidP="006D5C9B">
      <w:pPr>
        <w:pStyle w:val="Sinespaciado"/>
        <w:rPr>
          <w:rFonts w:ascii="Verdana" w:hAnsi="Verdana"/>
          <w:sz w:val="20"/>
          <w:szCs w:val="20"/>
        </w:rPr>
      </w:pPr>
    </w:p>
    <w:bookmarkEnd w:id="0"/>
    <w:p w14:paraId="764C4844" w14:textId="77777777" w:rsidR="006D5C9B" w:rsidRPr="006D5C9B" w:rsidRDefault="006D5C9B" w:rsidP="006D5C9B">
      <w:pPr>
        <w:jc w:val="center"/>
        <w:rPr>
          <w:rFonts w:ascii="Verdana" w:hAnsi="Verdana"/>
        </w:rPr>
      </w:pPr>
      <w:r w:rsidRPr="006D5C9B">
        <w:rPr>
          <w:rFonts w:ascii="Verdana" w:hAnsi="Verdana"/>
          <w:b/>
          <w:bCs/>
        </w:rPr>
        <w:t>RESOLUCIÓN 2334 DE 2010</w:t>
      </w:r>
    </w:p>
    <w:p w14:paraId="677D4353" w14:textId="4D3BD58C" w:rsidR="006D5C9B" w:rsidRPr="006D5C9B" w:rsidRDefault="006D5C9B" w:rsidP="006D5C9B">
      <w:pPr>
        <w:jc w:val="center"/>
        <w:rPr>
          <w:rFonts w:ascii="Verdana" w:hAnsi="Verdana"/>
        </w:rPr>
      </w:pPr>
      <w:r w:rsidRPr="006D5C9B">
        <w:rPr>
          <w:rFonts w:ascii="Verdana" w:hAnsi="Verdana"/>
        </w:rPr>
        <w:t>(8</w:t>
      </w:r>
      <w:r>
        <w:rPr>
          <w:rFonts w:ascii="Verdana" w:hAnsi="Verdana"/>
        </w:rPr>
        <w:t xml:space="preserve"> de junio</w:t>
      </w:r>
      <w:r w:rsidRPr="006D5C9B">
        <w:rPr>
          <w:rFonts w:ascii="Verdana" w:hAnsi="Verdana"/>
        </w:rPr>
        <w:t>)</w:t>
      </w:r>
    </w:p>
    <w:p w14:paraId="3A0E7CD9" w14:textId="77777777" w:rsidR="006D5C9B" w:rsidRPr="006D5C9B" w:rsidRDefault="006D5C9B" w:rsidP="006D5C9B">
      <w:pPr>
        <w:jc w:val="center"/>
        <w:rPr>
          <w:rFonts w:ascii="Verdana" w:hAnsi="Verdana"/>
        </w:rPr>
      </w:pPr>
      <w:r w:rsidRPr="006D5C9B">
        <w:rPr>
          <w:rFonts w:ascii="Verdana" w:hAnsi="Verdana"/>
          <w:b/>
          <w:bCs/>
        </w:rPr>
        <w:t>INSTITUTO COLOMBIANO DE BIENESTAR FAMILIAR</w:t>
      </w:r>
    </w:p>
    <w:p w14:paraId="649EC447" w14:textId="631D0DF0" w:rsidR="006D5C9B" w:rsidRPr="006D5C9B" w:rsidRDefault="006D5C9B" w:rsidP="006D5C9B">
      <w:pPr>
        <w:jc w:val="center"/>
        <w:rPr>
          <w:rFonts w:ascii="Verdana" w:hAnsi="Verdana"/>
        </w:rPr>
      </w:pPr>
      <w:r w:rsidRPr="006D5C9B">
        <w:rPr>
          <w:rFonts w:ascii="Verdana" w:hAnsi="Verdana"/>
        </w:rPr>
        <w:t>Por la cual se modifica el artículo 7o de la Resolución 5881 del 28 de diciembre de 2009, mediante la cual se establece la implementación del Sistema de la Evaluación de la Gestión de los servidores públicos nombrados en provisionalidad en el Instituto Colombiano de Bienestar Familiar.</w:t>
      </w:r>
    </w:p>
    <w:p w14:paraId="39DCBFCB" w14:textId="77777777" w:rsidR="006D5C9B" w:rsidRPr="006D5C9B" w:rsidRDefault="006D5C9B" w:rsidP="006D5C9B">
      <w:pPr>
        <w:jc w:val="center"/>
        <w:rPr>
          <w:rFonts w:ascii="Verdana" w:hAnsi="Verdana"/>
        </w:rPr>
      </w:pPr>
      <w:r w:rsidRPr="006D5C9B">
        <w:rPr>
          <w:rFonts w:ascii="Verdana" w:hAnsi="Verdana"/>
          <w:b/>
          <w:bCs/>
        </w:rPr>
        <w:t>LA DIRECTORA GENERAL DEL INSTITUTO COLOMBIANO DE BIENESTAR FAMILIAR CECILIA DE LA FUENTE DE LLERAS,</w:t>
      </w:r>
    </w:p>
    <w:p w14:paraId="64B6AD14" w14:textId="3F892751" w:rsidR="006D5C9B" w:rsidRPr="006D5C9B" w:rsidRDefault="006D5C9B" w:rsidP="006D5C9B">
      <w:pPr>
        <w:jc w:val="center"/>
        <w:rPr>
          <w:rFonts w:ascii="Verdana" w:hAnsi="Verdana"/>
        </w:rPr>
      </w:pPr>
      <w:r w:rsidRPr="006D5C9B">
        <w:rPr>
          <w:rFonts w:ascii="Verdana" w:hAnsi="Verdana"/>
        </w:rPr>
        <w:t>en uso de sus facultades legales y estatutarias, en especial las conferidas por el artículo 78 de la Ley 489 de 1998, y</w:t>
      </w:r>
    </w:p>
    <w:p w14:paraId="4F1ACC67" w14:textId="77777777" w:rsidR="006D5C9B" w:rsidRPr="006D5C9B" w:rsidRDefault="006D5C9B" w:rsidP="006D5C9B">
      <w:pPr>
        <w:jc w:val="center"/>
        <w:rPr>
          <w:rFonts w:ascii="Verdana" w:hAnsi="Verdana"/>
        </w:rPr>
      </w:pPr>
      <w:r w:rsidRPr="006D5C9B">
        <w:rPr>
          <w:rFonts w:ascii="Verdana" w:hAnsi="Verdana"/>
          <w:b/>
          <w:bCs/>
        </w:rPr>
        <w:t>CONSIDERANDO:</w:t>
      </w:r>
    </w:p>
    <w:p w14:paraId="52207A16" w14:textId="77777777" w:rsidR="006D5C9B" w:rsidRPr="006D5C9B" w:rsidRDefault="006D5C9B" w:rsidP="006D5C9B">
      <w:pPr>
        <w:jc w:val="both"/>
        <w:rPr>
          <w:rFonts w:ascii="Verdana" w:hAnsi="Verdana"/>
        </w:rPr>
      </w:pPr>
      <w:r w:rsidRPr="006D5C9B">
        <w:rPr>
          <w:rFonts w:ascii="Verdana" w:hAnsi="Verdana"/>
        </w:rPr>
        <w:t>Que el Modelo Estándar de Control Interno de la entidad, en su componente “Planes de mejoramiento”, define como elemento de control las acciones de mejoramiento que debe ejecutar cada uno de los Servidores Públicos para mejorar su desempeño y el del área organizacional a la cual pertenece, en un marco de tiempo y espacio definidos, para una mayor productividad en las actividades bajo su responsabilidad.</w:t>
      </w:r>
    </w:p>
    <w:p w14:paraId="42F882B2" w14:textId="0C8CDBFD" w:rsidR="006D5C9B" w:rsidRPr="006D5C9B" w:rsidRDefault="006D5C9B" w:rsidP="006D5C9B">
      <w:pPr>
        <w:jc w:val="both"/>
        <w:rPr>
          <w:rFonts w:ascii="Verdana" w:hAnsi="Verdana"/>
        </w:rPr>
      </w:pPr>
      <w:r w:rsidRPr="006D5C9B">
        <w:rPr>
          <w:rFonts w:ascii="Verdana" w:hAnsi="Verdana"/>
        </w:rPr>
        <w:t>Que el artículo 7o de la Resolución 5881 del 28 de diciembre de 2009, “por la cual se establece la implementación del Sistema de la Evaluación de la Gestión de los servidores públicos nombrados en provisionalidad en el Instituto Colombiano de Bienestar Familiar”, determinó rangos de evaluación sin contemplar los planes para el mejoramiento de la gestión del servidor público provisional.</w:t>
      </w:r>
    </w:p>
    <w:p w14:paraId="52BAC54C" w14:textId="77777777" w:rsidR="006D5C9B" w:rsidRPr="006D5C9B" w:rsidRDefault="006D5C9B" w:rsidP="006D5C9B">
      <w:pPr>
        <w:jc w:val="both"/>
        <w:rPr>
          <w:rFonts w:ascii="Verdana" w:hAnsi="Verdana"/>
        </w:rPr>
      </w:pPr>
      <w:r w:rsidRPr="006D5C9B">
        <w:rPr>
          <w:rFonts w:ascii="Verdana" w:hAnsi="Verdana"/>
        </w:rPr>
        <w:t>Que es importante incorporar como factor de evaluación de la gestión de los servidores públicos provisionales el avance y cumplimiento de los planes de mejoramiento suscritos, lo que hace necesario ampliar los rangos de calificación para dar cabida a que los puntajes entre 60 y 69 correspondan a nivel satisfactorio con plan de mejora y que los puntajes entre 90 y 94.99 se clasifiquen en un nivel destacado.</w:t>
      </w:r>
    </w:p>
    <w:p w14:paraId="622FDE42" w14:textId="77777777" w:rsidR="006D5C9B" w:rsidRPr="006D5C9B" w:rsidRDefault="006D5C9B" w:rsidP="006D5C9B">
      <w:pPr>
        <w:jc w:val="both"/>
        <w:rPr>
          <w:rFonts w:ascii="Verdana" w:hAnsi="Verdana"/>
        </w:rPr>
      </w:pPr>
      <w:r w:rsidRPr="006D5C9B">
        <w:rPr>
          <w:rFonts w:ascii="Verdana" w:hAnsi="Verdana"/>
        </w:rPr>
        <w:t>En mérito de lo expuesto,</w:t>
      </w:r>
    </w:p>
    <w:p w14:paraId="616E6829" w14:textId="77777777" w:rsidR="006D5C9B" w:rsidRPr="006D5C9B" w:rsidRDefault="006D5C9B" w:rsidP="006D5C9B">
      <w:pPr>
        <w:jc w:val="center"/>
        <w:rPr>
          <w:rFonts w:ascii="Verdana" w:hAnsi="Verdana"/>
        </w:rPr>
      </w:pPr>
      <w:r w:rsidRPr="006D5C9B">
        <w:rPr>
          <w:rFonts w:ascii="Verdana" w:hAnsi="Verdana"/>
          <w:b/>
          <w:bCs/>
        </w:rPr>
        <w:lastRenderedPageBreak/>
        <w:t>RESUELVE:</w:t>
      </w:r>
    </w:p>
    <w:p w14:paraId="639ED318" w14:textId="41F7F561" w:rsidR="006D5C9B" w:rsidRPr="006D5C9B" w:rsidRDefault="006D5C9B" w:rsidP="006D5C9B">
      <w:pPr>
        <w:jc w:val="both"/>
        <w:rPr>
          <w:rFonts w:ascii="Verdana" w:hAnsi="Verdana"/>
        </w:rPr>
      </w:pPr>
      <w:bookmarkStart w:id="1" w:name="1"/>
      <w:r w:rsidRPr="006D5C9B">
        <w:rPr>
          <w:rFonts w:ascii="Verdana" w:hAnsi="Verdana"/>
          <w:b/>
          <w:bCs/>
        </w:rPr>
        <w:t>ARTÍCULO 1o.</w:t>
      </w:r>
      <w:bookmarkEnd w:id="1"/>
      <w:r w:rsidRPr="006D5C9B">
        <w:rPr>
          <w:rFonts w:ascii="Verdana" w:hAnsi="Verdana"/>
        </w:rPr>
        <w:t> </w:t>
      </w:r>
      <w:r w:rsidR="00C11D0E" w:rsidRPr="006D5C9B">
        <w:rPr>
          <w:rFonts w:ascii="Verdana" w:hAnsi="Verdana"/>
        </w:rPr>
        <w:t xml:space="preserve"> </w:t>
      </w:r>
      <w:r w:rsidRPr="006D5C9B">
        <w:rPr>
          <w:rFonts w:ascii="Verdana" w:hAnsi="Verdana"/>
        </w:rPr>
        <w:t>Modificar el artículo 7o de la Resolución 5881 del 28 de diciembre de 2009, estableciendo lo siguiente:</w:t>
      </w:r>
    </w:p>
    <w:p w14:paraId="5F1536A1" w14:textId="16D5E3A8" w:rsidR="006D5C9B" w:rsidRPr="006D5C9B" w:rsidRDefault="006D5C9B" w:rsidP="006D5C9B">
      <w:pPr>
        <w:jc w:val="both"/>
        <w:rPr>
          <w:rFonts w:ascii="Verdana" w:hAnsi="Verdana"/>
        </w:rPr>
      </w:pPr>
      <w:r w:rsidRPr="006D5C9B">
        <w:rPr>
          <w:rFonts w:ascii="Verdana" w:hAnsi="Verdana"/>
        </w:rPr>
        <w:t>“</w:t>
      </w:r>
      <w:r w:rsidRPr="006D5C9B">
        <w:rPr>
          <w:rFonts w:ascii="Verdana" w:hAnsi="Verdana"/>
          <w:b/>
          <w:bCs/>
        </w:rPr>
        <w:t>Artículo </w:t>
      </w:r>
      <w:r w:rsidRPr="006D5C9B">
        <w:rPr>
          <w:rFonts w:ascii="Verdana" w:hAnsi="Verdana"/>
        </w:rPr>
        <w:t>7</w:t>
      </w:r>
      <w:r w:rsidRPr="006D5C9B">
        <w:rPr>
          <w:rFonts w:ascii="Verdana" w:hAnsi="Verdana"/>
          <w:b/>
          <w:bCs/>
        </w:rPr>
        <w:t>o. </w:t>
      </w:r>
      <w:r w:rsidRPr="006D5C9B">
        <w:rPr>
          <w:rFonts w:ascii="Verdana" w:hAnsi="Verdana"/>
          <w:b/>
          <w:bCs/>
          <w:i/>
          <w:iCs/>
        </w:rPr>
        <w:t>Resultado de la evaluación de la gestión</w:t>
      </w:r>
      <w:r w:rsidRPr="006D5C9B">
        <w:rPr>
          <w:rFonts w:ascii="Verdana" w:hAnsi="Verdana"/>
          <w:b/>
          <w:bCs/>
        </w:rPr>
        <w:t>. </w:t>
      </w:r>
      <w:r w:rsidRPr="006D5C9B">
        <w:rPr>
          <w:rFonts w:ascii="Verdana" w:hAnsi="Verdana"/>
        </w:rPr>
        <w:t>El resultado de la evaluación de la gestión se medirá en una escala de uno (1) a cien (100), de la siguiente manera:</w:t>
      </w:r>
    </w:p>
    <w:tbl>
      <w:tblPr>
        <w:tblW w:w="4150" w:type="pct"/>
        <w:tblCellSpacing w:w="15" w:type="dxa"/>
        <w:tblCellMar>
          <w:top w:w="15" w:type="dxa"/>
          <w:left w:w="15" w:type="dxa"/>
          <w:bottom w:w="15" w:type="dxa"/>
          <w:right w:w="15" w:type="dxa"/>
        </w:tblCellMar>
        <w:tblLook w:val="04A0" w:firstRow="1" w:lastRow="0" w:firstColumn="1" w:lastColumn="0" w:noHBand="0" w:noVBand="1"/>
      </w:tblPr>
      <w:tblGrid>
        <w:gridCol w:w="4393"/>
        <w:gridCol w:w="2943"/>
      </w:tblGrid>
      <w:tr w:rsidR="006D5C9B" w:rsidRPr="006D5C9B" w14:paraId="72150210"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4BDDA271" w14:textId="77777777" w:rsidR="006D5C9B" w:rsidRPr="006D5C9B" w:rsidRDefault="006D5C9B" w:rsidP="006D5C9B">
            <w:pPr>
              <w:jc w:val="both"/>
              <w:rPr>
                <w:rFonts w:ascii="Verdana" w:hAnsi="Verdana"/>
              </w:rPr>
            </w:pPr>
            <w:r w:rsidRPr="006D5C9B">
              <w:rPr>
                <w:rFonts w:ascii="Verdana" w:hAnsi="Verdana"/>
                <w:b/>
                <w:bCs/>
              </w:rPr>
              <w:t>Valoración</w:t>
            </w:r>
          </w:p>
        </w:tc>
        <w:tc>
          <w:tcPr>
            <w:tcW w:w="2000" w:type="pct"/>
            <w:tcBorders>
              <w:top w:val="nil"/>
              <w:left w:val="nil"/>
              <w:bottom w:val="nil"/>
              <w:right w:val="nil"/>
            </w:tcBorders>
            <w:tcMar>
              <w:top w:w="0" w:type="dxa"/>
              <w:left w:w="0" w:type="dxa"/>
              <w:bottom w:w="0" w:type="dxa"/>
              <w:right w:w="0" w:type="dxa"/>
            </w:tcMar>
            <w:hideMark/>
          </w:tcPr>
          <w:p w14:paraId="10ADAEBB" w14:textId="77777777" w:rsidR="006D5C9B" w:rsidRPr="006D5C9B" w:rsidRDefault="006D5C9B" w:rsidP="006D5C9B">
            <w:pPr>
              <w:jc w:val="both"/>
              <w:rPr>
                <w:rFonts w:ascii="Verdana" w:hAnsi="Verdana"/>
              </w:rPr>
            </w:pPr>
            <w:r w:rsidRPr="006D5C9B">
              <w:rPr>
                <w:rFonts w:ascii="Verdana" w:hAnsi="Verdana"/>
                <w:b/>
                <w:bCs/>
              </w:rPr>
              <w:t>Porcentaje</w:t>
            </w:r>
          </w:p>
        </w:tc>
      </w:tr>
      <w:tr w:rsidR="006D5C9B" w:rsidRPr="006D5C9B" w14:paraId="6067D302"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2AFD209E" w14:textId="77777777" w:rsidR="006D5C9B" w:rsidRPr="006D5C9B" w:rsidRDefault="006D5C9B" w:rsidP="006D5C9B">
            <w:pPr>
              <w:jc w:val="both"/>
              <w:rPr>
                <w:rFonts w:ascii="Verdana" w:hAnsi="Verdana"/>
              </w:rPr>
            </w:pPr>
            <w:r w:rsidRPr="006D5C9B">
              <w:rPr>
                <w:rFonts w:ascii="Verdana" w:hAnsi="Verdana"/>
              </w:rPr>
              <w:t>SOBRESALIENTE</w:t>
            </w:r>
          </w:p>
        </w:tc>
        <w:tc>
          <w:tcPr>
            <w:tcW w:w="2000" w:type="pct"/>
            <w:tcBorders>
              <w:top w:val="nil"/>
              <w:left w:val="nil"/>
              <w:bottom w:val="nil"/>
              <w:right w:val="nil"/>
            </w:tcBorders>
            <w:tcMar>
              <w:top w:w="0" w:type="dxa"/>
              <w:left w:w="0" w:type="dxa"/>
              <w:bottom w:w="0" w:type="dxa"/>
              <w:right w:w="0" w:type="dxa"/>
            </w:tcMar>
            <w:hideMark/>
          </w:tcPr>
          <w:p w14:paraId="4BD90A2A" w14:textId="77777777" w:rsidR="006D5C9B" w:rsidRPr="006D5C9B" w:rsidRDefault="006D5C9B" w:rsidP="006D5C9B">
            <w:pPr>
              <w:jc w:val="both"/>
              <w:rPr>
                <w:rFonts w:ascii="Verdana" w:hAnsi="Verdana"/>
              </w:rPr>
            </w:pPr>
            <w:r w:rsidRPr="006D5C9B">
              <w:rPr>
                <w:rFonts w:ascii="Verdana" w:hAnsi="Verdana"/>
              </w:rPr>
              <w:t>Entre 95 a 100</w:t>
            </w:r>
          </w:p>
        </w:tc>
      </w:tr>
      <w:tr w:rsidR="006D5C9B" w:rsidRPr="006D5C9B" w14:paraId="1DC07755"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0A16E732" w14:textId="77777777" w:rsidR="006D5C9B" w:rsidRPr="006D5C9B" w:rsidRDefault="006D5C9B" w:rsidP="006D5C9B">
            <w:pPr>
              <w:jc w:val="both"/>
              <w:rPr>
                <w:rFonts w:ascii="Verdana" w:hAnsi="Verdana"/>
              </w:rPr>
            </w:pPr>
            <w:r w:rsidRPr="006D5C9B">
              <w:rPr>
                <w:rFonts w:ascii="Verdana" w:hAnsi="Verdana"/>
              </w:rPr>
              <w:t>DESTACADO</w:t>
            </w:r>
          </w:p>
        </w:tc>
        <w:tc>
          <w:tcPr>
            <w:tcW w:w="2000" w:type="pct"/>
            <w:tcBorders>
              <w:top w:val="nil"/>
              <w:left w:val="nil"/>
              <w:bottom w:val="nil"/>
              <w:right w:val="nil"/>
            </w:tcBorders>
            <w:tcMar>
              <w:top w:w="0" w:type="dxa"/>
              <w:left w:w="0" w:type="dxa"/>
              <w:bottom w:w="0" w:type="dxa"/>
              <w:right w:w="0" w:type="dxa"/>
            </w:tcMar>
            <w:hideMark/>
          </w:tcPr>
          <w:p w14:paraId="2BB0191F" w14:textId="77777777" w:rsidR="006D5C9B" w:rsidRPr="006D5C9B" w:rsidRDefault="006D5C9B" w:rsidP="006D5C9B">
            <w:pPr>
              <w:jc w:val="both"/>
              <w:rPr>
                <w:rFonts w:ascii="Verdana" w:hAnsi="Verdana"/>
              </w:rPr>
            </w:pPr>
            <w:r w:rsidRPr="006D5C9B">
              <w:rPr>
                <w:rFonts w:ascii="Verdana" w:hAnsi="Verdana"/>
              </w:rPr>
              <w:t>Entre 90 y 94.99</w:t>
            </w:r>
          </w:p>
        </w:tc>
      </w:tr>
      <w:tr w:rsidR="006D5C9B" w:rsidRPr="006D5C9B" w14:paraId="359A2252"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7BAEACC6" w14:textId="77777777" w:rsidR="006D5C9B" w:rsidRPr="006D5C9B" w:rsidRDefault="006D5C9B" w:rsidP="006D5C9B">
            <w:pPr>
              <w:jc w:val="both"/>
              <w:rPr>
                <w:rFonts w:ascii="Verdana" w:hAnsi="Verdana"/>
              </w:rPr>
            </w:pPr>
            <w:r w:rsidRPr="006D5C9B">
              <w:rPr>
                <w:rFonts w:ascii="Verdana" w:hAnsi="Verdana"/>
              </w:rPr>
              <w:t>SATISFACTORIO</w:t>
            </w:r>
          </w:p>
        </w:tc>
        <w:tc>
          <w:tcPr>
            <w:tcW w:w="2000" w:type="pct"/>
            <w:tcBorders>
              <w:top w:val="nil"/>
              <w:left w:val="nil"/>
              <w:bottom w:val="nil"/>
              <w:right w:val="nil"/>
            </w:tcBorders>
            <w:tcMar>
              <w:top w:w="0" w:type="dxa"/>
              <w:left w:w="0" w:type="dxa"/>
              <w:bottom w:w="0" w:type="dxa"/>
              <w:right w:w="0" w:type="dxa"/>
            </w:tcMar>
            <w:hideMark/>
          </w:tcPr>
          <w:p w14:paraId="77273145" w14:textId="77777777" w:rsidR="006D5C9B" w:rsidRPr="006D5C9B" w:rsidRDefault="006D5C9B" w:rsidP="006D5C9B">
            <w:pPr>
              <w:jc w:val="both"/>
              <w:rPr>
                <w:rFonts w:ascii="Verdana" w:hAnsi="Verdana"/>
              </w:rPr>
            </w:pPr>
            <w:r w:rsidRPr="006D5C9B">
              <w:rPr>
                <w:rFonts w:ascii="Verdana" w:hAnsi="Verdana"/>
              </w:rPr>
              <w:t>Entre 70 y 89.99</w:t>
            </w:r>
          </w:p>
        </w:tc>
      </w:tr>
      <w:tr w:rsidR="006D5C9B" w:rsidRPr="006D5C9B" w14:paraId="07EB1D92"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7523802C" w14:textId="77777777" w:rsidR="006D5C9B" w:rsidRPr="006D5C9B" w:rsidRDefault="006D5C9B" w:rsidP="006D5C9B">
            <w:pPr>
              <w:jc w:val="both"/>
              <w:rPr>
                <w:rFonts w:ascii="Verdana" w:hAnsi="Verdana"/>
              </w:rPr>
            </w:pPr>
            <w:r w:rsidRPr="006D5C9B">
              <w:rPr>
                <w:rFonts w:ascii="Verdana" w:hAnsi="Verdana"/>
              </w:rPr>
              <w:t>SATISFACTORIO CON PLAN DE MEJORA</w:t>
            </w:r>
          </w:p>
        </w:tc>
        <w:tc>
          <w:tcPr>
            <w:tcW w:w="2000" w:type="pct"/>
            <w:tcBorders>
              <w:top w:val="nil"/>
              <w:left w:val="nil"/>
              <w:bottom w:val="nil"/>
              <w:right w:val="nil"/>
            </w:tcBorders>
            <w:tcMar>
              <w:top w:w="0" w:type="dxa"/>
              <w:left w:w="0" w:type="dxa"/>
              <w:bottom w:w="0" w:type="dxa"/>
              <w:right w:w="0" w:type="dxa"/>
            </w:tcMar>
            <w:hideMark/>
          </w:tcPr>
          <w:p w14:paraId="6DF916C3" w14:textId="77777777" w:rsidR="006D5C9B" w:rsidRPr="006D5C9B" w:rsidRDefault="006D5C9B" w:rsidP="006D5C9B">
            <w:pPr>
              <w:jc w:val="both"/>
              <w:rPr>
                <w:rFonts w:ascii="Verdana" w:hAnsi="Verdana"/>
              </w:rPr>
            </w:pPr>
            <w:r w:rsidRPr="006D5C9B">
              <w:rPr>
                <w:rFonts w:ascii="Verdana" w:hAnsi="Verdana"/>
              </w:rPr>
              <w:t>Entre 60 y 69.99</w:t>
            </w:r>
          </w:p>
        </w:tc>
      </w:tr>
      <w:tr w:rsidR="006D5C9B" w:rsidRPr="006D5C9B" w14:paraId="2FC2CBC4" w14:textId="77777777" w:rsidTr="006D5C9B">
        <w:trPr>
          <w:tblCellSpacing w:w="15" w:type="dxa"/>
        </w:trPr>
        <w:tc>
          <w:tcPr>
            <w:tcW w:w="3000" w:type="pct"/>
            <w:tcBorders>
              <w:top w:val="nil"/>
              <w:left w:val="nil"/>
              <w:bottom w:val="nil"/>
              <w:right w:val="nil"/>
            </w:tcBorders>
            <w:tcMar>
              <w:top w:w="0" w:type="dxa"/>
              <w:left w:w="0" w:type="dxa"/>
              <w:bottom w:w="0" w:type="dxa"/>
              <w:right w:w="0" w:type="dxa"/>
            </w:tcMar>
            <w:hideMark/>
          </w:tcPr>
          <w:p w14:paraId="61DA1EB6" w14:textId="77777777" w:rsidR="006D5C9B" w:rsidRPr="006D5C9B" w:rsidRDefault="006D5C9B" w:rsidP="006D5C9B">
            <w:pPr>
              <w:jc w:val="both"/>
              <w:rPr>
                <w:rFonts w:ascii="Verdana" w:hAnsi="Verdana"/>
              </w:rPr>
            </w:pPr>
            <w:r w:rsidRPr="006D5C9B">
              <w:rPr>
                <w:rFonts w:ascii="Verdana" w:hAnsi="Verdana"/>
              </w:rPr>
              <w:t>NO SATISFACTORIO</w:t>
            </w:r>
          </w:p>
        </w:tc>
        <w:tc>
          <w:tcPr>
            <w:tcW w:w="2000" w:type="pct"/>
            <w:tcBorders>
              <w:top w:val="nil"/>
              <w:left w:val="nil"/>
              <w:bottom w:val="nil"/>
              <w:right w:val="nil"/>
            </w:tcBorders>
            <w:tcMar>
              <w:top w:w="0" w:type="dxa"/>
              <w:left w:w="0" w:type="dxa"/>
              <w:bottom w:w="0" w:type="dxa"/>
              <w:right w:w="0" w:type="dxa"/>
            </w:tcMar>
            <w:hideMark/>
          </w:tcPr>
          <w:p w14:paraId="07D9208F" w14:textId="77777777" w:rsidR="006D5C9B" w:rsidRPr="006D5C9B" w:rsidRDefault="006D5C9B" w:rsidP="006D5C9B">
            <w:pPr>
              <w:jc w:val="both"/>
              <w:rPr>
                <w:rFonts w:ascii="Verdana" w:hAnsi="Verdana"/>
              </w:rPr>
            </w:pPr>
            <w:r w:rsidRPr="006D5C9B">
              <w:rPr>
                <w:rFonts w:ascii="Verdana" w:hAnsi="Verdana"/>
              </w:rPr>
              <w:t>Menor de 60</w:t>
            </w:r>
          </w:p>
        </w:tc>
      </w:tr>
    </w:tbl>
    <w:p w14:paraId="5F0FF26C" w14:textId="28DE009D" w:rsidR="006D5C9B" w:rsidRPr="006D5C9B" w:rsidRDefault="006D5C9B" w:rsidP="006D5C9B">
      <w:pPr>
        <w:jc w:val="both"/>
        <w:rPr>
          <w:rFonts w:ascii="Verdana" w:hAnsi="Verdana"/>
        </w:rPr>
      </w:pPr>
      <w:bookmarkStart w:id="2" w:name="2"/>
      <w:r w:rsidRPr="006D5C9B">
        <w:rPr>
          <w:rFonts w:ascii="Verdana" w:hAnsi="Verdana"/>
          <w:b/>
          <w:bCs/>
        </w:rPr>
        <w:t>ARTÍCULO 2o.</w:t>
      </w:r>
      <w:bookmarkEnd w:id="2"/>
      <w:r w:rsidRPr="006D5C9B">
        <w:rPr>
          <w:rFonts w:ascii="Verdana" w:hAnsi="Verdana"/>
        </w:rPr>
        <w:t> </w:t>
      </w:r>
      <w:r w:rsidR="00C11D0E" w:rsidRPr="006D5C9B">
        <w:rPr>
          <w:rFonts w:ascii="Verdana" w:hAnsi="Verdana"/>
        </w:rPr>
        <w:t xml:space="preserve"> </w:t>
      </w:r>
      <w:r w:rsidRPr="006D5C9B">
        <w:rPr>
          <w:rFonts w:ascii="Verdana" w:hAnsi="Verdana"/>
        </w:rPr>
        <w:t>Los demás artículos de la Resolución 5881 del 28 de diciembre de 2009 modificada en este proveído, se mantienen en firme.</w:t>
      </w:r>
    </w:p>
    <w:p w14:paraId="01D3F95F" w14:textId="59D0C499" w:rsidR="006D5C9B" w:rsidRPr="006D5C9B" w:rsidRDefault="006D5C9B" w:rsidP="006D5C9B">
      <w:pPr>
        <w:jc w:val="both"/>
        <w:rPr>
          <w:rFonts w:ascii="Verdana" w:hAnsi="Verdana"/>
        </w:rPr>
      </w:pPr>
      <w:bookmarkStart w:id="3" w:name="3"/>
      <w:r w:rsidRPr="006D5C9B">
        <w:rPr>
          <w:rFonts w:ascii="Verdana" w:hAnsi="Verdana"/>
          <w:b/>
          <w:bCs/>
        </w:rPr>
        <w:t>ARTÍCULO 3o. PUBLICIDAD.</w:t>
      </w:r>
      <w:bookmarkEnd w:id="3"/>
      <w:r w:rsidRPr="006D5C9B">
        <w:rPr>
          <w:rFonts w:ascii="Verdana" w:hAnsi="Verdana"/>
        </w:rPr>
        <w:t> </w:t>
      </w:r>
      <w:r w:rsidR="00C11D0E" w:rsidRPr="006D5C9B">
        <w:rPr>
          <w:rFonts w:ascii="Verdana" w:hAnsi="Verdana"/>
        </w:rPr>
        <w:t xml:space="preserve"> </w:t>
      </w:r>
      <w:r w:rsidRPr="006D5C9B">
        <w:rPr>
          <w:rFonts w:ascii="Verdana" w:hAnsi="Verdana"/>
        </w:rPr>
        <w:t xml:space="preserve">La presente resolución se publicará en los medios internos de comunicación. La Oficina de Comunicaciones garantizará la amplia difusión de </w:t>
      </w:r>
      <w:proofErr w:type="gramStart"/>
      <w:r w:rsidRPr="006D5C9B">
        <w:rPr>
          <w:rFonts w:ascii="Verdana" w:hAnsi="Verdana"/>
        </w:rPr>
        <w:t>la misma</w:t>
      </w:r>
      <w:proofErr w:type="gramEnd"/>
      <w:r w:rsidRPr="006D5C9B">
        <w:rPr>
          <w:rFonts w:ascii="Verdana" w:hAnsi="Verdana"/>
        </w:rPr>
        <w:t>.</w:t>
      </w:r>
    </w:p>
    <w:p w14:paraId="3C1266B6" w14:textId="66510180" w:rsidR="006D5C9B" w:rsidRPr="006D5C9B" w:rsidRDefault="006D5C9B" w:rsidP="006D5C9B">
      <w:pPr>
        <w:jc w:val="both"/>
        <w:rPr>
          <w:rFonts w:ascii="Verdana" w:hAnsi="Verdana"/>
        </w:rPr>
      </w:pPr>
      <w:bookmarkStart w:id="4" w:name="4"/>
      <w:r w:rsidRPr="006D5C9B">
        <w:rPr>
          <w:rFonts w:ascii="Verdana" w:hAnsi="Verdana"/>
          <w:b/>
          <w:bCs/>
        </w:rPr>
        <w:t>ARTÍCULO 4o. VIGENCIA.</w:t>
      </w:r>
      <w:bookmarkEnd w:id="4"/>
      <w:r w:rsidRPr="006D5C9B">
        <w:rPr>
          <w:rFonts w:ascii="Verdana" w:hAnsi="Verdana"/>
        </w:rPr>
        <w:t> </w:t>
      </w:r>
      <w:r w:rsidR="00C11D0E">
        <w:rPr>
          <w:rFonts w:ascii="Verdana" w:hAnsi="Verdana"/>
        </w:rPr>
        <w:t>[</w:t>
      </w:r>
      <w:r w:rsidRPr="00C11D0E">
        <w:rPr>
          <w:rFonts w:ascii="Verdana" w:hAnsi="Verdana"/>
        </w:rPr>
        <w:t>Resolución derogada por el artículo 23 de la Resolución 2000 de 2013</w:t>
      </w:r>
      <w:r w:rsidR="00C11D0E">
        <w:rPr>
          <w:rFonts w:ascii="Verdana" w:hAnsi="Verdana"/>
        </w:rPr>
        <w:t>]</w:t>
      </w:r>
      <w:r w:rsidRPr="006D5C9B">
        <w:rPr>
          <w:rFonts w:ascii="Verdana" w:hAnsi="Verdana"/>
          <w:b/>
          <w:bCs/>
        </w:rPr>
        <w:t> </w:t>
      </w:r>
      <w:r w:rsidRPr="006D5C9B">
        <w:rPr>
          <w:rFonts w:ascii="Verdana" w:hAnsi="Verdana"/>
        </w:rPr>
        <w:t>La presente resolución rige desde su fecha de su publicación.</w:t>
      </w:r>
    </w:p>
    <w:p w14:paraId="28FB2C9D" w14:textId="77777777" w:rsidR="006D5C9B" w:rsidRPr="00C11D0E" w:rsidRDefault="006D5C9B" w:rsidP="006D5C9B">
      <w:pPr>
        <w:jc w:val="center"/>
        <w:rPr>
          <w:rFonts w:ascii="Verdana" w:hAnsi="Verdana"/>
          <w:b/>
          <w:bCs/>
        </w:rPr>
      </w:pPr>
      <w:r w:rsidRPr="00C11D0E">
        <w:rPr>
          <w:rFonts w:ascii="Verdana" w:hAnsi="Verdana"/>
          <w:b/>
          <w:bCs/>
        </w:rPr>
        <w:t>Publíquese, comuníquese y cúmplase.</w:t>
      </w:r>
    </w:p>
    <w:p w14:paraId="46EB3B02" w14:textId="0E20EFA8" w:rsidR="006D5C9B" w:rsidRPr="006D5C9B" w:rsidRDefault="006D5C9B" w:rsidP="006D5C9B">
      <w:pPr>
        <w:jc w:val="center"/>
        <w:rPr>
          <w:rFonts w:ascii="Verdana" w:hAnsi="Verdana"/>
        </w:rPr>
      </w:pPr>
      <w:r w:rsidRPr="006D5C9B">
        <w:rPr>
          <w:rFonts w:ascii="Verdana" w:hAnsi="Verdana"/>
        </w:rPr>
        <w:t xml:space="preserve">Dada en Bogotá, D. C., </w:t>
      </w:r>
      <w:proofErr w:type="gramStart"/>
      <w:r w:rsidRPr="006D5C9B">
        <w:rPr>
          <w:rFonts w:ascii="Verdana" w:hAnsi="Verdana"/>
        </w:rPr>
        <w:t xml:space="preserve">a </w:t>
      </w:r>
      <w:r>
        <w:rPr>
          <w:rFonts w:ascii="Verdana" w:hAnsi="Verdana"/>
        </w:rPr>
        <w:t xml:space="preserve">los </w:t>
      </w:r>
      <w:r w:rsidRPr="006D5C9B">
        <w:rPr>
          <w:rFonts w:ascii="Verdana" w:hAnsi="Verdana"/>
        </w:rPr>
        <w:t>8 de junio de 2010</w:t>
      </w:r>
      <w:proofErr w:type="gramEnd"/>
      <w:r w:rsidRPr="006D5C9B">
        <w:rPr>
          <w:rFonts w:ascii="Verdana" w:hAnsi="Verdana"/>
        </w:rPr>
        <w:t>.</w:t>
      </w:r>
    </w:p>
    <w:p w14:paraId="49438980" w14:textId="77777777" w:rsidR="006D5C9B" w:rsidRPr="006D5C9B" w:rsidRDefault="006D5C9B" w:rsidP="006D5C9B">
      <w:pPr>
        <w:jc w:val="center"/>
        <w:rPr>
          <w:rFonts w:ascii="Verdana" w:hAnsi="Verdana"/>
        </w:rPr>
      </w:pPr>
      <w:r w:rsidRPr="006D5C9B">
        <w:rPr>
          <w:rFonts w:ascii="Verdana" w:hAnsi="Verdana"/>
        </w:rPr>
        <w:t xml:space="preserve">La </w:t>
      </w:r>
      <w:proofErr w:type="gramStart"/>
      <w:r w:rsidRPr="006D5C9B">
        <w:rPr>
          <w:rFonts w:ascii="Verdana" w:hAnsi="Verdana"/>
        </w:rPr>
        <w:t>Directora General</w:t>
      </w:r>
      <w:proofErr w:type="gramEnd"/>
      <w:r w:rsidRPr="006D5C9B">
        <w:rPr>
          <w:rFonts w:ascii="Verdana" w:hAnsi="Verdana"/>
        </w:rPr>
        <w:t>,</w:t>
      </w:r>
    </w:p>
    <w:p w14:paraId="3EFEE22B" w14:textId="77777777" w:rsidR="006D5C9B" w:rsidRPr="006D5C9B" w:rsidRDefault="006D5C9B" w:rsidP="006D5C9B">
      <w:pPr>
        <w:jc w:val="center"/>
        <w:rPr>
          <w:rFonts w:ascii="Verdana" w:hAnsi="Verdana"/>
        </w:rPr>
      </w:pPr>
      <w:r w:rsidRPr="006D5C9B">
        <w:rPr>
          <w:rFonts w:ascii="Verdana" w:hAnsi="Verdana"/>
          <w:b/>
          <w:bCs/>
        </w:rPr>
        <w:t>ELVIRA FORERO HERNÁNDEZ.</w:t>
      </w:r>
    </w:p>
    <w:p w14:paraId="328D9C64" w14:textId="77777777" w:rsidR="0035720E" w:rsidRPr="006D5C9B" w:rsidRDefault="0035720E" w:rsidP="006D5C9B">
      <w:pPr>
        <w:jc w:val="center"/>
        <w:rPr>
          <w:rFonts w:ascii="Verdana" w:hAnsi="Verdana"/>
        </w:rPr>
      </w:pPr>
    </w:p>
    <w:sectPr w:rsidR="0035720E" w:rsidRPr="006D5C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B6"/>
    <w:rsid w:val="0035720E"/>
    <w:rsid w:val="006D5C9B"/>
    <w:rsid w:val="00AE220B"/>
    <w:rsid w:val="00B437B6"/>
    <w:rsid w:val="00C11D0E"/>
    <w:rsid w:val="00E16D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F637"/>
  <w15:chartTrackingRefBased/>
  <w15:docId w15:val="{E9825E8C-EE8C-44E7-928F-868D004B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D5C9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6D5C9B"/>
    <w:rPr>
      <w:color w:val="0563C1" w:themeColor="hyperlink"/>
      <w:u w:val="single"/>
    </w:rPr>
  </w:style>
  <w:style w:type="character" w:styleId="Mencinsinresolver">
    <w:name w:val="Unresolved Mention"/>
    <w:basedOn w:val="Fuentedeprrafopredeter"/>
    <w:uiPriority w:val="99"/>
    <w:semiHidden/>
    <w:unhideWhenUsed/>
    <w:rsid w:val="006D5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282">
      <w:bodyDiv w:val="1"/>
      <w:marLeft w:val="0"/>
      <w:marRight w:val="0"/>
      <w:marTop w:val="0"/>
      <w:marBottom w:val="0"/>
      <w:divBdr>
        <w:top w:val="none" w:sz="0" w:space="0" w:color="auto"/>
        <w:left w:val="none" w:sz="0" w:space="0" w:color="auto"/>
        <w:bottom w:val="none" w:sz="0" w:space="0" w:color="auto"/>
        <w:right w:val="none" w:sz="0" w:space="0" w:color="auto"/>
      </w:divBdr>
    </w:div>
    <w:div w:id="678510692">
      <w:bodyDiv w:val="1"/>
      <w:marLeft w:val="0"/>
      <w:marRight w:val="0"/>
      <w:marTop w:val="0"/>
      <w:marBottom w:val="0"/>
      <w:divBdr>
        <w:top w:val="none" w:sz="0" w:space="0" w:color="auto"/>
        <w:left w:val="none" w:sz="0" w:space="0" w:color="auto"/>
        <w:bottom w:val="none" w:sz="0" w:space="0" w:color="auto"/>
        <w:right w:val="none" w:sz="0" w:space="0" w:color="auto"/>
      </w:divBdr>
    </w:div>
    <w:div w:id="971637842">
      <w:bodyDiv w:val="1"/>
      <w:marLeft w:val="0"/>
      <w:marRight w:val="0"/>
      <w:marTop w:val="0"/>
      <w:marBottom w:val="0"/>
      <w:divBdr>
        <w:top w:val="none" w:sz="0" w:space="0" w:color="auto"/>
        <w:left w:val="none" w:sz="0" w:space="0" w:color="auto"/>
        <w:bottom w:val="none" w:sz="0" w:space="0" w:color="auto"/>
        <w:right w:val="none" w:sz="0" w:space="0" w:color="auto"/>
      </w:divBdr>
    </w:div>
    <w:div w:id="1159811402">
      <w:bodyDiv w:val="1"/>
      <w:marLeft w:val="0"/>
      <w:marRight w:val="0"/>
      <w:marTop w:val="0"/>
      <w:marBottom w:val="0"/>
      <w:divBdr>
        <w:top w:val="none" w:sz="0" w:space="0" w:color="auto"/>
        <w:left w:val="none" w:sz="0" w:space="0" w:color="auto"/>
        <w:bottom w:val="none" w:sz="0" w:space="0" w:color="auto"/>
        <w:right w:val="none" w:sz="0" w:space="0" w:color="auto"/>
      </w:divBdr>
    </w:div>
    <w:div w:id="1581787878">
      <w:bodyDiv w:val="1"/>
      <w:marLeft w:val="0"/>
      <w:marRight w:val="0"/>
      <w:marTop w:val="0"/>
      <w:marBottom w:val="0"/>
      <w:divBdr>
        <w:top w:val="none" w:sz="0" w:space="0" w:color="auto"/>
        <w:left w:val="none" w:sz="0" w:space="0" w:color="auto"/>
        <w:bottom w:val="none" w:sz="0" w:space="0" w:color="auto"/>
        <w:right w:val="none" w:sz="0" w:space="0" w:color="auto"/>
      </w:divBdr>
    </w:div>
    <w:div w:id="1605259879">
      <w:bodyDiv w:val="1"/>
      <w:marLeft w:val="0"/>
      <w:marRight w:val="0"/>
      <w:marTop w:val="0"/>
      <w:marBottom w:val="0"/>
      <w:divBdr>
        <w:top w:val="none" w:sz="0" w:space="0" w:color="auto"/>
        <w:left w:val="none" w:sz="0" w:space="0" w:color="auto"/>
        <w:bottom w:val="none" w:sz="0" w:space="0" w:color="auto"/>
        <w:right w:val="none" w:sz="0" w:space="0" w:color="auto"/>
      </w:divBdr>
    </w:div>
    <w:div w:id="1978949840">
      <w:bodyDiv w:val="1"/>
      <w:marLeft w:val="0"/>
      <w:marRight w:val="0"/>
      <w:marTop w:val="0"/>
      <w:marBottom w:val="0"/>
      <w:divBdr>
        <w:top w:val="none" w:sz="0" w:space="0" w:color="auto"/>
        <w:left w:val="none" w:sz="0" w:space="0" w:color="auto"/>
        <w:bottom w:val="none" w:sz="0" w:space="0" w:color="auto"/>
        <w:right w:val="none" w:sz="0" w:space="0" w:color="auto"/>
      </w:divBdr>
    </w:div>
    <w:div w:id="2107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396E5-AF67-47A2-B4A9-589777C186F6}"/>
</file>

<file path=customXml/itemProps2.xml><?xml version="1.0" encoding="utf-8"?>
<ds:datastoreItem xmlns:ds="http://schemas.openxmlformats.org/officeDocument/2006/customXml" ds:itemID="{B6D7CEBC-33D8-44C8-A6AD-24C169AB951D}"/>
</file>

<file path=customXml/itemProps3.xml><?xml version="1.0" encoding="utf-8"?>
<ds:datastoreItem xmlns:ds="http://schemas.openxmlformats.org/officeDocument/2006/customXml" ds:itemID="{5A28F43E-1439-4397-A5E7-6ECA5F8FBC9D}"/>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2724</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2026-01-27T14:43:00Z</dcterms:created>
  <dcterms:modified xsi:type="dcterms:W3CDTF">2026-01-27T14:43:00Z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