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FF9C" w14:textId="77777777" w:rsidR="00483403" w:rsidRPr="00483403" w:rsidRDefault="00483403" w:rsidP="00483403">
      <w:pPr>
        <w:jc w:val="center"/>
        <w:rPr>
          <w:rFonts w:ascii="Verdana" w:hAnsi="Verdana"/>
        </w:rPr>
      </w:pPr>
      <w:r w:rsidRPr="00483403">
        <w:rPr>
          <w:rFonts w:ascii="Verdana" w:hAnsi="Verdana"/>
          <w:b/>
          <w:bCs/>
        </w:rPr>
        <w:t>RESOLUCIÓN 2250 DE 2008</w:t>
      </w:r>
    </w:p>
    <w:p w14:paraId="4579DC9C" w14:textId="77777777" w:rsidR="00C144FF" w:rsidRPr="00C144FF" w:rsidRDefault="00C144FF" w:rsidP="00C144FF">
      <w:pPr>
        <w:pStyle w:val="Sinespaciado"/>
        <w:rPr>
          <w:rFonts w:ascii="Verdana" w:hAnsi="Verdana"/>
          <w:sz w:val="20"/>
          <w:szCs w:val="20"/>
        </w:rPr>
      </w:pPr>
      <w:r w:rsidRPr="00C144FF">
        <w:rPr>
          <w:rFonts w:ascii="Verdana" w:hAnsi="Verdana"/>
          <w:sz w:val="20"/>
          <w:szCs w:val="20"/>
        </w:rPr>
        <w:t>Fecha de Expedición: 6 de junio de 2008</w:t>
      </w:r>
    </w:p>
    <w:p w14:paraId="6F112E4D" w14:textId="77777777" w:rsidR="00C144FF" w:rsidRPr="00C144FF" w:rsidRDefault="00C144FF" w:rsidP="00C144FF">
      <w:pPr>
        <w:pStyle w:val="Sinespaciado"/>
        <w:rPr>
          <w:rFonts w:ascii="Verdana" w:hAnsi="Verdana"/>
          <w:sz w:val="20"/>
          <w:szCs w:val="20"/>
        </w:rPr>
      </w:pPr>
      <w:r w:rsidRPr="00C144FF">
        <w:rPr>
          <w:rFonts w:ascii="Verdana" w:hAnsi="Verdana"/>
          <w:sz w:val="20"/>
          <w:szCs w:val="20"/>
        </w:rPr>
        <w:t xml:space="preserve">Fecha de entrada en vigencia: 6 de junio de 2008 </w:t>
      </w:r>
    </w:p>
    <w:p w14:paraId="058177FF" w14:textId="61FF3B6E" w:rsidR="00C144FF" w:rsidRDefault="00C144FF" w:rsidP="00C144FF">
      <w:pPr>
        <w:pStyle w:val="Sinespaciado"/>
        <w:rPr>
          <w:rFonts w:ascii="Verdana" w:hAnsi="Verdana"/>
          <w:sz w:val="20"/>
          <w:szCs w:val="20"/>
        </w:rPr>
      </w:pPr>
      <w:r w:rsidRPr="00C144FF">
        <w:rPr>
          <w:rFonts w:ascii="Verdana" w:hAnsi="Verdana"/>
          <w:sz w:val="20"/>
          <w:szCs w:val="20"/>
        </w:rPr>
        <w:t>Estado de la vigencia: derogada por el artículo 5 de la Resolución 1163 de 2010</w:t>
      </w:r>
      <w:r w:rsidRPr="00C144FF">
        <w:rPr>
          <w:rFonts w:ascii="Verdana" w:hAnsi="Verdana"/>
          <w:sz w:val="20"/>
          <w:szCs w:val="20"/>
        </w:rPr>
        <w:tab/>
      </w:r>
    </w:p>
    <w:p w14:paraId="39C5529E" w14:textId="77777777" w:rsidR="00C144FF" w:rsidRDefault="00C144FF" w:rsidP="00C144FF">
      <w:pPr>
        <w:pStyle w:val="Sinespaciado"/>
        <w:rPr>
          <w:rFonts w:ascii="Verdana" w:hAnsi="Verdana"/>
          <w:sz w:val="20"/>
          <w:szCs w:val="20"/>
        </w:rPr>
      </w:pPr>
    </w:p>
    <w:p w14:paraId="4B128582" w14:textId="52E5178D" w:rsidR="00C144FF" w:rsidRPr="00C144FF" w:rsidRDefault="00C144FF" w:rsidP="00C144FF">
      <w:pPr>
        <w:pStyle w:val="Sinespaciado"/>
        <w:rPr>
          <w:rFonts w:ascii="Verdana" w:hAnsi="Verdana"/>
          <w:sz w:val="20"/>
          <w:szCs w:val="20"/>
        </w:rPr>
      </w:pPr>
      <w:r w:rsidRPr="00C144FF">
        <w:rPr>
          <w:rFonts w:ascii="Verdana" w:hAnsi="Verdana"/>
          <w:sz w:val="20"/>
          <w:szCs w:val="20"/>
        </w:rPr>
        <w:t>Fecha de publicación en Diario Oficial: N/A</w:t>
      </w:r>
    </w:p>
    <w:p w14:paraId="4EB675A7" w14:textId="2098A8FE" w:rsidR="00DF5240" w:rsidRPr="00C144FF" w:rsidRDefault="00C144FF" w:rsidP="00C144FF">
      <w:pPr>
        <w:pStyle w:val="Sinespaciado"/>
        <w:rPr>
          <w:rFonts w:ascii="Verdana" w:hAnsi="Verdana"/>
          <w:sz w:val="20"/>
          <w:szCs w:val="20"/>
        </w:rPr>
      </w:pPr>
      <w:r w:rsidRPr="00C144FF">
        <w:rPr>
          <w:rFonts w:ascii="Verdana" w:hAnsi="Verdana"/>
          <w:sz w:val="20"/>
          <w:szCs w:val="20"/>
        </w:rPr>
        <w:t>Número del Diario Oficial: N/A</w:t>
      </w:r>
    </w:p>
    <w:p w14:paraId="2A6A6B2C" w14:textId="77777777" w:rsidR="00C144FF" w:rsidRDefault="00C144FF" w:rsidP="00C144FF">
      <w:pPr>
        <w:pStyle w:val="Sinespaciado"/>
      </w:pPr>
    </w:p>
    <w:p w14:paraId="4E042F67" w14:textId="53571466" w:rsidR="00483403" w:rsidRPr="00483403" w:rsidRDefault="00483403" w:rsidP="00483403">
      <w:pPr>
        <w:jc w:val="center"/>
        <w:rPr>
          <w:rFonts w:ascii="Verdana" w:hAnsi="Verdana"/>
        </w:rPr>
      </w:pPr>
      <w:r w:rsidRPr="00483403">
        <w:rPr>
          <w:rFonts w:ascii="Verdana" w:hAnsi="Verdana"/>
          <w:b/>
          <w:bCs/>
        </w:rPr>
        <w:t>RESOLUCIÓN 2250 DE 2008</w:t>
      </w:r>
    </w:p>
    <w:p w14:paraId="119B5C56" w14:textId="61D6204F" w:rsidR="00483403" w:rsidRPr="00483403" w:rsidRDefault="00483403" w:rsidP="00483403">
      <w:pPr>
        <w:jc w:val="center"/>
        <w:rPr>
          <w:rFonts w:ascii="Verdana" w:hAnsi="Verdana"/>
        </w:rPr>
      </w:pPr>
      <w:r w:rsidRPr="00483403">
        <w:rPr>
          <w:rFonts w:ascii="Verdana" w:hAnsi="Verdana"/>
        </w:rPr>
        <w:t xml:space="preserve">(6 </w:t>
      </w:r>
      <w:r>
        <w:rPr>
          <w:rFonts w:ascii="Verdana" w:hAnsi="Verdana"/>
        </w:rPr>
        <w:t xml:space="preserve">de </w:t>
      </w:r>
      <w:r w:rsidRPr="00483403">
        <w:rPr>
          <w:rFonts w:ascii="Verdana" w:hAnsi="Verdana"/>
        </w:rPr>
        <w:t>junio)</w:t>
      </w:r>
    </w:p>
    <w:p w14:paraId="1F6C275E" w14:textId="77777777" w:rsidR="00483403" w:rsidRPr="00483403" w:rsidRDefault="00483403" w:rsidP="00483403">
      <w:pPr>
        <w:jc w:val="center"/>
        <w:rPr>
          <w:rFonts w:ascii="Verdana" w:hAnsi="Verdana"/>
        </w:rPr>
      </w:pPr>
      <w:r w:rsidRPr="00483403">
        <w:rPr>
          <w:rFonts w:ascii="Verdana" w:hAnsi="Verdana"/>
          <w:b/>
          <w:bCs/>
        </w:rPr>
        <w:t>INSTITUTO COLOMBIANO DE BIENESTAR FAMILIAR - ICBF</w:t>
      </w:r>
    </w:p>
    <w:p w14:paraId="61D6A2B2" w14:textId="77777777" w:rsidR="00483403" w:rsidRPr="00483403" w:rsidRDefault="00483403" w:rsidP="00483403">
      <w:pPr>
        <w:jc w:val="center"/>
        <w:rPr>
          <w:rFonts w:ascii="Verdana" w:hAnsi="Verdana"/>
        </w:rPr>
      </w:pPr>
      <w:r w:rsidRPr="00483403">
        <w:rPr>
          <w:rFonts w:ascii="Verdana" w:hAnsi="Verdana"/>
        </w:rPr>
        <w:t>Por la cual se crea el Comité para Donaciones del ICBF, se establecen sus funciones y se dictan otras disposiciones</w:t>
      </w:r>
    </w:p>
    <w:p w14:paraId="2F0CBFE1" w14:textId="77777777" w:rsidR="00483403" w:rsidRPr="00483403" w:rsidRDefault="00483403" w:rsidP="00483403">
      <w:pPr>
        <w:jc w:val="center"/>
        <w:rPr>
          <w:rFonts w:ascii="Verdana" w:hAnsi="Verdana"/>
        </w:rPr>
      </w:pPr>
      <w:r w:rsidRPr="00483403">
        <w:rPr>
          <w:rFonts w:ascii="Verdana" w:hAnsi="Verdana"/>
          <w:b/>
          <w:bCs/>
        </w:rPr>
        <w:t>LA DIRECTORA GENERAL DEL INSTITUTO COLOMBIANO DE BIENESTAR FAMILIAR,</w:t>
      </w:r>
    </w:p>
    <w:p w14:paraId="1729E9DE" w14:textId="72075132" w:rsidR="00483403" w:rsidRPr="00483403" w:rsidRDefault="00483403" w:rsidP="00483403">
      <w:pPr>
        <w:jc w:val="center"/>
        <w:rPr>
          <w:rFonts w:ascii="Verdana" w:hAnsi="Verdana"/>
        </w:rPr>
      </w:pPr>
      <w:r w:rsidRPr="00483403">
        <w:rPr>
          <w:rFonts w:ascii="Verdana" w:hAnsi="Verdana"/>
        </w:rPr>
        <w:t>En uso de sus facultades legales y estatutarias, y en especial las que le confiere el literal b) del artículo 28 de la Ley 7ª de 1979, el literal j) del artículo 28 de Decreto 334 de 1980, el artículo 78 de la Ley 489 de 1998, y el artículo 27 del Decreto 1138 de 1999, y</w:t>
      </w:r>
    </w:p>
    <w:p w14:paraId="3DFD95EE" w14:textId="77777777" w:rsidR="00483403" w:rsidRPr="00483403" w:rsidRDefault="00483403" w:rsidP="00483403">
      <w:pPr>
        <w:jc w:val="center"/>
        <w:rPr>
          <w:rFonts w:ascii="Verdana" w:hAnsi="Verdana"/>
        </w:rPr>
      </w:pPr>
      <w:r w:rsidRPr="00483403">
        <w:rPr>
          <w:rFonts w:ascii="Verdana" w:hAnsi="Verdana"/>
          <w:b/>
          <w:bCs/>
        </w:rPr>
        <w:t>CONSIDERANDO</w:t>
      </w:r>
    </w:p>
    <w:p w14:paraId="446DB2B6" w14:textId="65B35ACC" w:rsidR="00483403" w:rsidRPr="00483403" w:rsidRDefault="00483403" w:rsidP="00483403">
      <w:pPr>
        <w:jc w:val="both"/>
        <w:rPr>
          <w:rFonts w:ascii="Verdana" w:hAnsi="Verdana"/>
        </w:rPr>
      </w:pPr>
      <w:r w:rsidRPr="00483403">
        <w:rPr>
          <w:rFonts w:ascii="Verdana" w:hAnsi="Verdana"/>
        </w:rPr>
        <w:t>Que el artículo 209 de la Constitución Política ordena que la función administrativa debe estar al servicio de los intereses generales y se desarrolla con fundamento en los principios de igualdad, moralidad, eficacia, economía, celeridad, imparcialidad y publicidad, y mediante la descentralización, delegación y desconcentración de funciones.</w:t>
      </w:r>
    </w:p>
    <w:p w14:paraId="3F6DD57F" w14:textId="32A65FF9" w:rsidR="00483403" w:rsidRPr="00483403" w:rsidRDefault="00483403" w:rsidP="00483403">
      <w:pPr>
        <w:jc w:val="both"/>
        <w:rPr>
          <w:rFonts w:ascii="Verdana" w:hAnsi="Verdana"/>
        </w:rPr>
      </w:pPr>
      <w:r w:rsidRPr="00483403">
        <w:rPr>
          <w:rFonts w:ascii="Verdana" w:hAnsi="Verdana"/>
        </w:rPr>
        <w:t>Que conforme a lo previsto en el artículo 44 de la Constitución Política y el Código de la Infancia y la Adolescencia el Estado y la Sociedad les asiste el deber de proteger y garantizar el desarrollo armónico de los niños, niñas y adolescentes para que crezcan en un ambiente de felicidad, amor y comprensión.</w:t>
      </w:r>
    </w:p>
    <w:p w14:paraId="73A439C2" w14:textId="77777777" w:rsidR="00483403" w:rsidRPr="00483403" w:rsidRDefault="00483403" w:rsidP="00483403">
      <w:pPr>
        <w:jc w:val="both"/>
        <w:rPr>
          <w:rFonts w:ascii="Verdana" w:hAnsi="Verdana"/>
        </w:rPr>
      </w:pPr>
      <w:r w:rsidRPr="00483403">
        <w:rPr>
          <w:rFonts w:ascii="Verdana" w:hAnsi="Verdana"/>
        </w:rPr>
        <w:t>Que para contribuir y con sus deberes la sociedad realiza donaciones a favor de los niños, niñas y adolescentes en estado de protección o vulnerabilidad a través del ICBF, para lo cual se requiere crear un Comité para Donaciones con las funciones de selección, aprobación de las donaciones a ser entregadas a las Regionales y Seccionales, su destinación específica, evaluación de las solicitudes e informe de las donaciones.</w:t>
      </w:r>
    </w:p>
    <w:p w14:paraId="7E48B265" w14:textId="77777777" w:rsidR="00483403" w:rsidRPr="00483403" w:rsidRDefault="00483403" w:rsidP="00483403">
      <w:pPr>
        <w:jc w:val="both"/>
        <w:rPr>
          <w:rFonts w:ascii="Verdana" w:hAnsi="Verdana"/>
        </w:rPr>
      </w:pPr>
      <w:r w:rsidRPr="00483403">
        <w:rPr>
          <w:rFonts w:ascii="Verdana" w:hAnsi="Verdana"/>
        </w:rPr>
        <w:t>Que en mérito de lo anterior,</w:t>
      </w:r>
    </w:p>
    <w:p w14:paraId="45F0D4B0" w14:textId="77777777" w:rsidR="00483403" w:rsidRPr="00DF5240" w:rsidRDefault="00483403" w:rsidP="00483403">
      <w:pPr>
        <w:jc w:val="center"/>
        <w:rPr>
          <w:rFonts w:ascii="Verdana" w:hAnsi="Verdana"/>
          <w:b/>
          <w:bCs/>
        </w:rPr>
      </w:pPr>
      <w:r w:rsidRPr="00DF5240">
        <w:rPr>
          <w:rFonts w:ascii="Verdana" w:hAnsi="Verdana"/>
          <w:b/>
          <w:bCs/>
        </w:rPr>
        <w:t>RESUELVE:</w:t>
      </w:r>
    </w:p>
    <w:p w14:paraId="2BA3622D" w14:textId="1797E878" w:rsidR="00483403" w:rsidRPr="00483403" w:rsidRDefault="00483403" w:rsidP="00483403">
      <w:pPr>
        <w:jc w:val="both"/>
        <w:rPr>
          <w:rFonts w:ascii="Verdana" w:hAnsi="Verdana"/>
        </w:rPr>
      </w:pPr>
      <w:bookmarkStart w:id="0" w:name="1"/>
      <w:r w:rsidRPr="00483403">
        <w:rPr>
          <w:rFonts w:ascii="Verdana" w:hAnsi="Verdana"/>
          <w:b/>
          <w:bCs/>
        </w:rPr>
        <w:lastRenderedPageBreak/>
        <w:t>ARTÍCULO 1o.</w:t>
      </w:r>
      <w:bookmarkEnd w:id="0"/>
      <w:r w:rsidRPr="00483403">
        <w:rPr>
          <w:rFonts w:ascii="Verdana" w:hAnsi="Verdana"/>
        </w:rPr>
        <w:t>  Créase el Comité para Donaciones del ICBF como instancia responsable de la recepción, dirección, selección y autorización para la distribución de mercancías donadas al Instituto.</w:t>
      </w:r>
    </w:p>
    <w:p w14:paraId="35FA230D" w14:textId="39BE0096" w:rsidR="00483403" w:rsidRPr="00483403" w:rsidRDefault="00483403" w:rsidP="00483403">
      <w:pPr>
        <w:jc w:val="both"/>
        <w:rPr>
          <w:rFonts w:ascii="Verdana" w:hAnsi="Verdana"/>
        </w:rPr>
      </w:pPr>
      <w:bookmarkStart w:id="1" w:name="2"/>
      <w:r w:rsidRPr="00483403">
        <w:rPr>
          <w:rFonts w:ascii="Verdana" w:hAnsi="Verdana"/>
          <w:b/>
          <w:bCs/>
        </w:rPr>
        <w:t>ARTÍCULO 2o.</w:t>
      </w:r>
      <w:bookmarkEnd w:id="1"/>
      <w:r w:rsidRPr="00483403">
        <w:rPr>
          <w:rFonts w:ascii="Verdana" w:hAnsi="Verdana"/>
        </w:rPr>
        <w:t>  El Comité está integrado así:</w:t>
      </w:r>
    </w:p>
    <w:p w14:paraId="581F873B" w14:textId="77777777" w:rsidR="00483403" w:rsidRPr="00483403" w:rsidRDefault="00483403" w:rsidP="00483403">
      <w:pPr>
        <w:jc w:val="both"/>
        <w:rPr>
          <w:rFonts w:ascii="Verdana" w:hAnsi="Verdana"/>
        </w:rPr>
      </w:pPr>
      <w:r w:rsidRPr="00483403">
        <w:rPr>
          <w:rFonts w:ascii="Verdana" w:hAnsi="Verdana"/>
        </w:rPr>
        <w:t>1. Un Representante del(a) Director(a) General, quien lo presidirá,</w:t>
      </w:r>
    </w:p>
    <w:p w14:paraId="4C93D6A6" w14:textId="77777777" w:rsidR="00483403" w:rsidRPr="00483403" w:rsidRDefault="00483403" w:rsidP="00483403">
      <w:pPr>
        <w:jc w:val="both"/>
        <w:rPr>
          <w:rFonts w:ascii="Verdana" w:hAnsi="Verdana"/>
        </w:rPr>
      </w:pPr>
      <w:r w:rsidRPr="00483403">
        <w:rPr>
          <w:rFonts w:ascii="Verdana" w:hAnsi="Verdana"/>
        </w:rPr>
        <w:t>2. El(la) Director(a) Técnico(a),</w:t>
      </w:r>
    </w:p>
    <w:p w14:paraId="5E9E6D94" w14:textId="77777777" w:rsidR="00483403" w:rsidRPr="00483403" w:rsidRDefault="00483403" w:rsidP="00483403">
      <w:pPr>
        <w:jc w:val="both"/>
        <w:rPr>
          <w:rFonts w:ascii="Verdana" w:hAnsi="Verdana"/>
        </w:rPr>
      </w:pPr>
      <w:r w:rsidRPr="00483403">
        <w:rPr>
          <w:rFonts w:ascii="Verdana" w:hAnsi="Verdana"/>
        </w:rPr>
        <w:t>3. El(la) Director(a) de Evaluación,</w:t>
      </w:r>
    </w:p>
    <w:p w14:paraId="7EDEA758" w14:textId="77777777" w:rsidR="00483403" w:rsidRPr="00483403" w:rsidRDefault="00483403" w:rsidP="00483403">
      <w:pPr>
        <w:jc w:val="both"/>
        <w:rPr>
          <w:rFonts w:ascii="Verdana" w:hAnsi="Verdana"/>
        </w:rPr>
      </w:pPr>
      <w:r w:rsidRPr="00483403">
        <w:rPr>
          <w:rFonts w:ascii="Verdana" w:hAnsi="Verdana"/>
        </w:rPr>
        <w:t>4. El(la) Director(a) Administrativo(a),</w:t>
      </w:r>
    </w:p>
    <w:p w14:paraId="3EC6E057" w14:textId="77777777" w:rsidR="00483403" w:rsidRPr="00483403" w:rsidRDefault="00483403" w:rsidP="00483403">
      <w:pPr>
        <w:jc w:val="both"/>
        <w:rPr>
          <w:rFonts w:ascii="Verdana" w:hAnsi="Verdana"/>
        </w:rPr>
      </w:pPr>
      <w:r w:rsidRPr="00483403">
        <w:rPr>
          <w:rFonts w:ascii="Verdana" w:hAnsi="Verdana"/>
          <w:b/>
          <w:bCs/>
        </w:rPr>
        <w:t>PARAGRAFO 1o.</w:t>
      </w:r>
      <w:r w:rsidRPr="00483403">
        <w:rPr>
          <w:rFonts w:ascii="Verdana" w:hAnsi="Verdana"/>
        </w:rPr>
        <w:t> Los integrantes tendrán voz y voto y su participación será delegable, salvo para el representante del Director(a) General.</w:t>
      </w:r>
    </w:p>
    <w:p w14:paraId="6E994FBB" w14:textId="77777777" w:rsidR="00483403" w:rsidRPr="00483403" w:rsidRDefault="00483403" w:rsidP="00483403">
      <w:pPr>
        <w:jc w:val="both"/>
        <w:rPr>
          <w:rFonts w:ascii="Verdana" w:hAnsi="Verdana"/>
        </w:rPr>
      </w:pPr>
      <w:r w:rsidRPr="00483403">
        <w:rPr>
          <w:rFonts w:ascii="Verdana" w:hAnsi="Verdana"/>
        </w:rPr>
        <w:t>Concurrirán sólo con voz los funcionarios que por su condición jerárquica y funcional deban asistir según el caso concreto, y el Secretario Técnico del Comité.</w:t>
      </w:r>
    </w:p>
    <w:p w14:paraId="0A94A8E1" w14:textId="77777777" w:rsidR="00483403" w:rsidRPr="00483403" w:rsidRDefault="00483403" w:rsidP="00483403">
      <w:pPr>
        <w:jc w:val="both"/>
        <w:rPr>
          <w:rFonts w:ascii="Verdana" w:hAnsi="Verdana"/>
        </w:rPr>
      </w:pPr>
      <w:r w:rsidRPr="00483403">
        <w:rPr>
          <w:rFonts w:ascii="Verdana" w:hAnsi="Verdana"/>
          <w:b/>
          <w:bCs/>
        </w:rPr>
        <w:t>PARÁGRAFO 2o.</w:t>
      </w:r>
      <w:r w:rsidRPr="00483403">
        <w:rPr>
          <w:rFonts w:ascii="Verdana" w:hAnsi="Verdana"/>
        </w:rPr>
        <w:t> El Comité sesionará con un mínimo de tres (3) integrantes y sus decisiones se adoptarán por mayoría simple. De cada reunión se levantará un acta.</w:t>
      </w:r>
    </w:p>
    <w:p w14:paraId="47BBBDD2" w14:textId="58369377" w:rsidR="00483403" w:rsidRPr="00483403" w:rsidRDefault="00483403" w:rsidP="00483403">
      <w:pPr>
        <w:jc w:val="both"/>
        <w:rPr>
          <w:rFonts w:ascii="Verdana" w:hAnsi="Verdana"/>
        </w:rPr>
      </w:pPr>
      <w:r w:rsidRPr="00483403">
        <w:rPr>
          <w:rFonts w:ascii="Verdana" w:hAnsi="Verdana"/>
          <w:b/>
          <w:bCs/>
        </w:rPr>
        <w:t>PARAGRAFO 3o.</w:t>
      </w:r>
      <w:r w:rsidRPr="00483403">
        <w:rPr>
          <w:rFonts w:ascii="Verdana" w:hAnsi="Verdana"/>
        </w:rPr>
        <w:t> El Comité se reunirá, cada vez que las necesidades lo requieran o cuando cualquiera de los miembros lo considere necesario, previa convocatoria hecha a través de la Secretaria Técnica.</w:t>
      </w:r>
    </w:p>
    <w:p w14:paraId="086E0912" w14:textId="49294EC9" w:rsidR="00483403" w:rsidRPr="00483403" w:rsidRDefault="00483403" w:rsidP="00483403">
      <w:pPr>
        <w:jc w:val="both"/>
        <w:rPr>
          <w:rFonts w:ascii="Verdana" w:hAnsi="Verdana"/>
        </w:rPr>
      </w:pPr>
      <w:bookmarkStart w:id="2" w:name="3"/>
      <w:r w:rsidRPr="00483403">
        <w:rPr>
          <w:rFonts w:ascii="Verdana" w:hAnsi="Verdana"/>
          <w:b/>
          <w:bCs/>
        </w:rPr>
        <w:t>ARTÍCULO 3o.</w:t>
      </w:r>
      <w:bookmarkEnd w:id="2"/>
      <w:r w:rsidRPr="00483403">
        <w:rPr>
          <w:rFonts w:ascii="Verdana" w:hAnsi="Verdana"/>
        </w:rPr>
        <w:t>  El Comité tendrá las siguientes funciones:</w:t>
      </w:r>
    </w:p>
    <w:p w14:paraId="005E9A9C" w14:textId="77777777" w:rsidR="00483403" w:rsidRPr="00483403" w:rsidRDefault="00483403" w:rsidP="00483403">
      <w:pPr>
        <w:jc w:val="both"/>
        <w:rPr>
          <w:rFonts w:ascii="Verdana" w:hAnsi="Verdana"/>
        </w:rPr>
      </w:pPr>
      <w:r w:rsidRPr="00483403">
        <w:rPr>
          <w:rFonts w:ascii="Verdana" w:hAnsi="Verdana"/>
        </w:rPr>
        <w:t>1. Seleccionar y aprobar las donaciones a ser entregadas en las Regionales y Seccionales de acuerdo con los criterios de elegibilidad.</w:t>
      </w:r>
    </w:p>
    <w:p w14:paraId="485E0672" w14:textId="77777777" w:rsidR="00483403" w:rsidRPr="00483403" w:rsidRDefault="00483403" w:rsidP="00483403">
      <w:pPr>
        <w:jc w:val="both"/>
        <w:rPr>
          <w:rFonts w:ascii="Verdana" w:hAnsi="Verdana"/>
        </w:rPr>
      </w:pPr>
      <w:r w:rsidRPr="00483403">
        <w:rPr>
          <w:rFonts w:ascii="Verdana" w:hAnsi="Verdana"/>
        </w:rPr>
        <w:t>2. Determinar la destinación específica, responsabilidades de entrega e información requerida por parte de las Regionales y Seccionales beneficiarias del proceso.</w:t>
      </w:r>
    </w:p>
    <w:p w14:paraId="5A2A30F6" w14:textId="77777777" w:rsidR="00483403" w:rsidRPr="00483403" w:rsidRDefault="00483403" w:rsidP="00483403">
      <w:pPr>
        <w:jc w:val="both"/>
        <w:rPr>
          <w:rFonts w:ascii="Verdana" w:hAnsi="Verdana"/>
        </w:rPr>
      </w:pPr>
      <w:r w:rsidRPr="00483403">
        <w:rPr>
          <w:rFonts w:ascii="Verdana" w:hAnsi="Verdana"/>
        </w:rPr>
        <w:t>3. Evaluar periódicamente las solicitudes presentadas por las Regionales y Seccionales, efectuar los ajustes que considere indispensables e impartir las instrucciones y recomendaciones correspondientes.</w:t>
      </w:r>
    </w:p>
    <w:p w14:paraId="1FA524A9" w14:textId="77777777" w:rsidR="00483403" w:rsidRPr="00483403" w:rsidRDefault="00483403" w:rsidP="00483403">
      <w:pPr>
        <w:jc w:val="both"/>
        <w:rPr>
          <w:rFonts w:ascii="Verdana" w:hAnsi="Verdana"/>
        </w:rPr>
      </w:pPr>
      <w:r w:rsidRPr="00483403">
        <w:rPr>
          <w:rFonts w:ascii="Verdana" w:hAnsi="Verdana"/>
        </w:rPr>
        <w:t>4. Estudiar y analizar los informes consolidados de las Regionales y Seccionales sobre la entrega de las donaciones.</w:t>
      </w:r>
    </w:p>
    <w:p w14:paraId="1D7C3253" w14:textId="77777777" w:rsidR="00483403" w:rsidRPr="00483403" w:rsidRDefault="00483403" w:rsidP="00483403">
      <w:pPr>
        <w:jc w:val="both"/>
        <w:rPr>
          <w:rFonts w:ascii="Verdana" w:hAnsi="Verdana"/>
        </w:rPr>
      </w:pPr>
      <w:r w:rsidRPr="00483403">
        <w:rPr>
          <w:rFonts w:ascii="Verdana" w:hAnsi="Verdana"/>
        </w:rPr>
        <w:t>5. Recibir informes de las Regionales y Seccionales a las que se les ha entregado donaciones.</w:t>
      </w:r>
    </w:p>
    <w:p w14:paraId="40A36634" w14:textId="77777777" w:rsidR="00483403" w:rsidRPr="00483403" w:rsidRDefault="00483403" w:rsidP="00483403">
      <w:pPr>
        <w:jc w:val="both"/>
        <w:rPr>
          <w:rFonts w:ascii="Verdana" w:hAnsi="Verdana"/>
        </w:rPr>
      </w:pPr>
      <w:r w:rsidRPr="00483403">
        <w:rPr>
          <w:rFonts w:ascii="Verdana" w:hAnsi="Verdana"/>
        </w:rPr>
        <w:t>6. Designar el funcionario que ejercerá la Secretaria Técnica del Comité.</w:t>
      </w:r>
    </w:p>
    <w:p w14:paraId="5794C0BD" w14:textId="77777777" w:rsidR="00483403" w:rsidRPr="00483403" w:rsidRDefault="00483403" w:rsidP="00483403">
      <w:pPr>
        <w:jc w:val="both"/>
        <w:rPr>
          <w:rFonts w:ascii="Verdana" w:hAnsi="Verdana"/>
        </w:rPr>
      </w:pPr>
      <w:r w:rsidRPr="00483403">
        <w:rPr>
          <w:rFonts w:ascii="Verdana" w:hAnsi="Verdana"/>
        </w:rPr>
        <w:t>7. Las demás que le sean asignadas por la Dirección General.</w:t>
      </w:r>
    </w:p>
    <w:p w14:paraId="6F7D4A40" w14:textId="3975B062" w:rsidR="00483403" w:rsidRPr="00483403" w:rsidRDefault="00483403" w:rsidP="00483403">
      <w:pPr>
        <w:jc w:val="both"/>
        <w:rPr>
          <w:rFonts w:ascii="Verdana" w:hAnsi="Verdana"/>
        </w:rPr>
      </w:pPr>
      <w:r w:rsidRPr="00483403">
        <w:rPr>
          <w:rFonts w:ascii="Verdana" w:hAnsi="Verdana"/>
          <w:b/>
          <w:bCs/>
        </w:rPr>
        <w:lastRenderedPageBreak/>
        <w:t>PARAGRAFO 1o.</w:t>
      </w:r>
      <w:r w:rsidRPr="00483403">
        <w:rPr>
          <w:rFonts w:ascii="Verdana" w:hAnsi="Verdana"/>
        </w:rPr>
        <w:t> Las recomendaciones formuladas por el Comité constituirán los parámetros dentro de los cuales deberán desarrollarse las actuaciones de las Regionales y Seccionales del ICBF.</w:t>
      </w:r>
    </w:p>
    <w:p w14:paraId="3496672C" w14:textId="50C05C1F" w:rsidR="00483403" w:rsidRPr="00483403" w:rsidRDefault="00483403" w:rsidP="00483403">
      <w:pPr>
        <w:jc w:val="both"/>
        <w:rPr>
          <w:rFonts w:ascii="Verdana" w:hAnsi="Verdana"/>
        </w:rPr>
      </w:pPr>
      <w:bookmarkStart w:id="3" w:name="4"/>
      <w:r w:rsidRPr="00483403">
        <w:rPr>
          <w:rFonts w:ascii="Verdana" w:hAnsi="Verdana"/>
          <w:b/>
          <w:bCs/>
        </w:rPr>
        <w:t>ARTÍCULO 4o.</w:t>
      </w:r>
      <w:bookmarkEnd w:id="3"/>
      <w:r w:rsidRPr="00483403">
        <w:rPr>
          <w:rFonts w:ascii="Verdana" w:hAnsi="Verdana"/>
        </w:rPr>
        <w:t>  El Comité tendrá una Secretaria Técnica la cual será designada por la Dirección General y cumplirá las siguientes funciones:</w:t>
      </w:r>
    </w:p>
    <w:p w14:paraId="0900D3FC" w14:textId="77777777" w:rsidR="00483403" w:rsidRPr="00483403" w:rsidRDefault="00483403" w:rsidP="00483403">
      <w:pPr>
        <w:jc w:val="both"/>
        <w:rPr>
          <w:rFonts w:ascii="Verdana" w:hAnsi="Verdana"/>
        </w:rPr>
      </w:pPr>
      <w:r w:rsidRPr="00483403">
        <w:rPr>
          <w:rFonts w:ascii="Verdana" w:hAnsi="Verdana"/>
        </w:rPr>
        <w:t>1. Convocar a las sesiones ordinarias y extraordinarias</w:t>
      </w:r>
    </w:p>
    <w:p w14:paraId="7FD12B95" w14:textId="77777777" w:rsidR="00483403" w:rsidRPr="00483403" w:rsidRDefault="00483403" w:rsidP="00483403">
      <w:pPr>
        <w:jc w:val="both"/>
        <w:rPr>
          <w:rFonts w:ascii="Verdana" w:hAnsi="Verdana"/>
        </w:rPr>
      </w:pPr>
      <w:r w:rsidRPr="00483403">
        <w:rPr>
          <w:rFonts w:ascii="Verdana" w:hAnsi="Verdana"/>
        </w:rPr>
        <w:t>2. Elaborar el orden del día de cada reunión.</w:t>
      </w:r>
    </w:p>
    <w:p w14:paraId="1681E672" w14:textId="77777777" w:rsidR="00483403" w:rsidRPr="00483403" w:rsidRDefault="00483403" w:rsidP="00483403">
      <w:pPr>
        <w:jc w:val="both"/>
        <w:rPr>
          <w:rFonts w:ascii="Verdana" w:hAnsi="Verdana"/>
        </w:rPr>
      </w:pPr>
      <w:r w:rsidRPr="00483403">
        <w:rPr>
          <w:rFonts w:ascii="Verdana" w:hAnsi="Verdana"/>
        </w:rPr>
        <w:t>3. Presidir las reuniones del Comité.</w:t>
      </w:r>
    </w:p>
    <w:p w14:paraId="10726BDF" w14:textId="77777777" w:rsidR="00483403" w:rsidRPr="00483403" w:rsidRDefault="00483403" w:rsidP="00483403">
      <w:pPr>
        <w:jc w:val="both"/>
        <w:rPr>
          <w:rFonts w:ascii="Verdana" w:hAnsi="Verdana"/>
        </w:rPr>
      </w:pPr>
      <w:r w:rsidRPr="00483403">
        <w:rPr>
          <w:rFonts w:ascii="Verdana" w:hAnsi="Verdana"/>
        </w:rPr>
        <w:t>4. Elaborar las actas de las reuniones del Comité.</w:t>
      </w:r>
    </w:p>
    <w:p w14:paraId="10A1164B" w14:textId="77777777" w:rsidR="00483403" w:rsidRPr="00483403" w:rsidRDefault="00483403" w:rsidP="00483403">
      <w:pPr>
        <w:jc w:val="both"/>
        <w:rPr>
          <w:rFonts w:ascii="Verdana" w:hAnsi="Verdana"/>
        </w:rPr>
      </w:pPr>
      <w:r w:rsidRPr="00483403">
        <w:rPr>
          <w:rFonts w:ascii="Verdana" w:hAnsi="Verdana"/>
        </w:rPr>
        <w:t>5. Mantener informada a la Dirección General sobre la selección y distribución de donaciones.</w:t>
      </w:r>
    </w:p>
    <w:p w14:paraId="0EE0EB47" w14:textId="77777777" w:rsidR="00483403" w:rsidRPr="00483403" w:rsidRDefault="00483403" w:rsidP="00483403">
      <w:pPr>
        <w:jc w:val="both"/>
        <w:rPr>
          <w:rFonts w:ascii="Verdana" w:hAnsi="Verdana"/>
        </w:rPr>
      </w:pPr>
      <w:r w:rsidRPr="00483403">
        <w:rPr>
          <w:rFonts w:ascii="Verdana" w:hAnsi="Verdana"/>
        </w:rPr>
        <w:t>6. Verificar el cumplimiento de las decisiones adoptadas por el Comité.</w:t>
      </w:r>
    </w:p>
    <w:p w14:paraId="7D0E8A27" w14:textId="0F8BA159" w:rsidR="00483403" w:rsidRPr="00483403" w:rsidRDefault="00483403" w:rsidP="00483403">
      <w:pPr>
        <w:jc w:val="both"/>
        <w:rPr>
          <w:rFonts w:ascii="Verdana" w:hAnsi="Verdana"/>
        </w:rPr>
      </w:pPr>
      <w:r w:rsidRPr="00483403">
        <w:rPr>
          <w:rFonts w:ascii="Verdana" w:hAnsi="Verdana"/>
        </w:rPr>
        <w:t>7. Las demás que le sean asignadas por el Comité.</w:t>
      </w:r>
    </w:p>
    <w:p w14:paraId="31D703E3" w14:textId="6BC9DC5C" w:rsidR="00483403" w:rsidRPr="00483403" w:rsidRDefault="00483403" w:rsidP="00483403">
      <w:pPr>
        <w:jc w:val="both"/>
        <w:rPr>
          <w:rFonts w:ascii="Verdana" w:hAnsi="Verdana"/>
        </w:rPr>
      </w:pPr>
      <w:bookmarkStart w:id="4" w:name="5"/>
      <w:r w:rsidRPr="00483403">
        <w:rPr>
          <w:rFonts w:ascii="Verdana" w:hAnsi="Verdana"/>
          <w:b/>
          <w:bCs/>
        </w:rPr>
        <w:t>ARTÍCULO 5o.</w:t>
      </w:r>
      <w:bookmarkEnd w:id="4"/>
      <w:r w:rsidRPr="00483403">
        <w:rPr>
          <w:rFonts w:ascii="Verdana" w:hAnsi="Verdana"/>
        </w:rPr>
        <w:t> </w:t>
      </w:r>
      <w:r w:rsidR="00C144FF">
        <w:rPr>
          <w:rFonts w:ascii="Verdana" w:hAnsi="Verdana"/>
        </w:rPr>
        <w:t>[</w:t>
      </w:r>
      <w:r w:rsidRPr="00483403">
        <w:rPr>
          <w:rFonts w:ascii="Verdana" w:hAnsi="Verdana"/>
        </w:rPr>
        <w:t>Resolución derogada por el artículo 5 de la Resolución 1163 de 2010</w:t>
      </w:r>
      <w:r w:rsidR="00C144FF">
        <w:rPr>
          <w:rFonts w:ascii="Verdana" w:hAnsi="Verdana"/>
        </w:rPr>
        <w:t>]</w:t>
      </w:r>
      <w:r w:rsidRPr="00483403">
        <w:rPr>
          <w:rFonts w:ascii="Verdana" w:hAnsi="Verdana"/>
        </w:rPr>
        <w:t xml:space="preserve"> La presente Resolución rige a partir de la fecha de su expedición.</w:t>
      </w:r>
    </w:p>
    <w:p w14:paraId="20BCEFE9" w14:textId="77777777" w:rsidR="00483403" w:rsidRPr="00DF5240" w:rsidRDefault="00483403" w:rsidP="00483403">
      <w:pPr>
        <w:jc w:val="center"/>
        <w:rPr>
          <w:rFonts w:ascii="Verdana" w:hAnsi="Verdana"/>
          <w:b/>
          <w:bCs/>
        </w:rPr>
      </w:pPr>
      <w:r w:rsidRPr="00DF5240">
        <w:rPr>
          <w:rFonts w:ascii="Verdana" w:hAnsi="Verdana"/>
          <w:b/>
          <w:bCs/>
        </w:rPr>
        <w:t>PUBLÍQUESE, COMUNÍQUESE Y CÚMPLASE</w:t>
      </w:r>
    </w:p>
    <w:p w14:paraId="0B4C8C53" w14:textId="379B9893" w:rsidR="00483403" w:rsidRPr="00483403" w:rsidRDefault="00483403" w:rsidP="00483403">
      <w:pPr>
        <w:jc w:val="center"/>
        <w:rPr>
          <w:rFonts w:ascii="Verdana" w:hAnsi="Verdana"/>
        </w:rPr>
      </w:pPr>
      <w:r w:rsidRPr="00483403">
        <w:rPr>
          <w:rFonts w:ascii="Verdana" w:hAnsi="Verdana"/>
        </w:rPr>
        <w:t>Dada en Bogotá a los</w:t>
      </w:r>
      <w:r>
        <w:rPr>
          <w:rFonts w:ascii="Verdana" w:hAnsi="Verdana"/>
        </w:rPr>
        <w:t xml:space="preserve"> </w:t>
      </w:r>
      <w:r w:rsidRPr="00483403">
        <w:rPr>
          <w:rFonts w:ascii="Verdana" w:hAnsi="Verdana"/>
        </w:rPr>
        <w:t xml:space="preserve">6 </w:t>
      </w:r>
      <w:r>
        <w:rPr>
          <w:rFonts w:ascii="Verdana" w:hAnsi="Verdana"/>
        </w:rPr>
        <w:t xml:space="preserve">de </w:t>
      </w:r>
      <w:r w:rsidRPr="00483403">
        <w:rPr>
          <w:rFonts w:ascii="Verdana" w:hAnsi="Verdana"/>
        </w:rPr>
        <w:t>junio</w:t>
      </w:r>
      <w:r>
        <w:rPr>
          <w:rFonts w:ascii="Verdana" w:hAnsi="Verdana"/>
        </w:rPr>
        <w:t xml:space="preserve"> de 2008</w:t>
      </w:r>
    </w:p>
    <w:p w14:paraId="12AFF4FE" w14:textId="77777777" w:rsidR="00483403" w:rsidRPr="00483403" w:rsidRDefault="00483403" w:rsidP="00483403">
      <w:pPr>
        <w:jc w:val="center"/>
        <w:rPr>
          <w:rFonts w:ascii="Verdana" w:hAnsi="Verdana"/>
        </w:rPr>
      </w:pPr>
      <w:r w:rsidRPr="00483403">
        <w:rPr>
          <w:rFonts w:ascii="Verdana" w:hAnsi="Verdana"/>
          <w:b/>
          <w:bCs/>
        </w:rPr>
        <w:t>ELVIRA FORERO HERNANDEZ</w:t>
      </w:r>
    </w:p>
    <w:p w14:paraId="03566787" w14:textId="77777777" w:rsidR="00483403" w:rsidRPr="00483403" w:rsidRDefault="00483403" w:rsidP="00483403">
      <w:pPr>
        <w:jc w:val="center"/>
        <w:rPr>
          <w:rFonts w:ascii="Verdana" w:hAnsi="Verdana"/>
        </w:rPr>
      </w:pPr>
      <w:r w:rsidRPr="00483403">
        <w:rPr>
          <w:rFonts w:ascii="Verdana" w:hAnsi="Verdana"/>
        </w:rPr>
        <w:t>Directora General</w:t>
      </w:r>
    </w:p>
    <w:p w14:paraId="7C110D75" w14:textId="77777777" w:rsidR="004648F7" w:rsidRPr="00483403" w:rsidRDefault="004648F7" w:rsidP="00483403">
      <w:pPr>
        <w:jc w:val="center"/>
        <w:rPr>
          <w:rFonts w:ascii="Verdana" w:hAnsi="Verdana"/>
        </w:rPr>
      </w:pPr>
    </w:p>
    <w:sectPr w:rsidR="004648F7" w:rsidRPr="004834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31"/>
    <w:rsid w:val="001C5161"/>
    <w:rsid w:val="003D3231"/>
    <w:rsid w:val="004648F7"/>
    <w:rsid w:val="00483403"/>
    <w:rsid w:val="00C144FF"/>
    <w:rsid w:val="00CB0EBF"/>
    <w:rsid w:val="00DF52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E355"/>
  <w15:chartTrackingRefBased/>
  <w15:docId w15:val="{1782982C-8D29-4EF6-83AE-E4C7750F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8340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403"/>
    <w:rPr>
      <w:color w:val="0563C1" w:themeColor="hyperlink"/>
      <w:u w:val="single"/>
    </w:rPr>
  </w:style>
  <w:style w:type="character" w:styleId="Mencinsinresolver">
    <w:name w:val="Unresolved Mention"/>
    <w:basedOn w:val="Fuentedeprrafopredeter"/>
    <w:uiPriority w:val="99"/>
    <w:semiHidden/>
    <w:unhideWhenUsed/>
    <w:rsid w:val="00483403"/>
    <w:rPr>
      <w:color w:val="605E5C"/>
      <w:shd w:val="clear" w:color="auto" w:fill="E1DFDD"/>
    </w:rPr>
  </w:style>
  <w:style w:type="paragraph" w:styleId="Sinespaciado">
    <w:name w:val="No Spacing"/>
    <w:uiPriority w:val="1"/>
    <w:qFormat/>
    <w:rsid w:val="00C144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4387">
      <w:bodyDiv w:val="1"/>
      <w:marLeft w:val="0"/>
      <w:marRight w:val="0"/>
      <w:marTop w:val="0"/>
      <w:marBottom w:val="0"/>
      <w:divBdr>
        <w:top w:val="none" w:sz="0" w:space="0" w:color="auto"/>
        <w:left w:val="none" w:sz="0" w:space="0" w:color="auto"/>
        <w:bottom w:val="none" w:sz="0" w:space="0" w:color="auto"/>
        <w:right w:val="none" w:sz="0" w:space="0" w:color="auto"/>
      </w:divBdr>
    </w:div>
    <w:div w:id="261690935">
      <w:bodyDiv w:val="1"/>
      <w:marLeft w:val="0"/>
      <w:marRight w:val="0"/>
      <w:marTop w:val="0"/>
      <w:marBottom w:val="0"/>
      <w:divBdr>
        <w:top w:val="none" w:sz="0" w:space="0" w:color="auto"/>
        <w:left w:val="none" w:sz="0" w:space="0" w:color="auto"/>
        <w:bottom w:val="none" w:sz="0" w:space="0" w:color="auto"/>
        <w:right w:val="none" w:sz="0" w:space="0" w:color="auto"/>
      </w:divBdr>
    </w:div>
    <w:div w:id="1288124584">
      <w:bodyDiv w:val="1"/>
      <w:marLeft w:val="0"/>
      <w:marRight w:val="0"/>
      <w:marTop w:val="0"/>
      <w:marBottom w:val="0"/>
      <w:divBdr>
        <w:top w:val="none" w:sz="0" w:space="0" w:color="auto"/>
        <w:left w:val="none" w:sz="0" w:space="0" w:color="auto"/>
        <w:bottom w:val="none" w:sz="0" w:space="0" w:color="auto"/>
        <w:right w:val="none" w:sz="0" w:space="0" w:color="auto"/>
      </w:divBdr>
    </w:div>
    <w:div w:id="1572079258">
      <w:bodyDiv w:val="1"/>
      <w:marLeft w:val="0"/>
      <w:marRight w:val="0"/>
      <w:marTop w:val="0"/>
      <w:marBottom w:val="0"/>
      <w:divBdr>
        <w:top w:val="none" w:sz="0" w:space="0" w:color="auto"/>
        <w:left w:val="none" w:sz="0" w:space="0" w:color="auto"/>
        <w:bottom w:val="none" w:sz="0" w:space="0" w:color="auto"/>
        <w:right w:val="none" w:sz="0" w:space="0" w:color="auto"/>
      </w:divBdr>
    </w:div>
    <w:div w:id="1680816078">
      <w:bodyDiv w:val="1"/>
      <w:marLeft w:val="0"/>
      <w:marRight w:val="0"/>
      <w:marTop w:val="0"/>
      <w:marBottom w:val="0"/>
      <w:divBdr>
        <w:top w:val="none" w:sz="0" w:space="0" w:color="auto"/>
        <w:left w:val="none" w:sz="0" w:space="0" w:color="auto"/>
        <w:bottom w:val="none" w:sz="0" w:space="0" w:color="auto"/>
        <w:right w:val="none" w:sz="0" w:space="0" w:color="auto"/>
      </w:divBdr>
    </w:div>
    <w:div w:id="1739134630">
      <w:bodyDiv w:val="1"/>
      <w:marLeft w:val="0"/>
      <w:marRight w:val="0"/>
      <w:marTop w:val="0"/>
      <w:marBottom w:val="0"/>
      <w:divBdr>
        <w:top w:val="none" w:sz="0" w:space="0" w:color="auto"/>
        <w:left w:val="none" w:sz="0" w:space="0" w:color="auto"/>
        <w:bottom w:val="none" w:sz="0" w:space="0" w:color="auto"/>
        <w:right w:val="none" w:sz="0" w:space="0" w:color="auto"/>
      </w:divBdr>
    </w:div>
    <w:div w:id="1823425276">
      <w:bodyDiv w:val="1"/>
      <w:marLeft w:val="0"/>
      <w:marRight w:val="0"/>
      <w:marTop w:val="0"/>
      <w:marBottom w:val="0"/>
      <w:divBdr>
        <w:top w:val="none" w:sz="0" w:space="0" w:color="auto"/>
        <w:left w:val="none" w:sz="0" w:space="0" w:color="auto"/>
        <w:bottom w:val="none" w:sz="0" w:space="0" w:color="auto"/>
        <w:right w:val="none" w:sz="0" w:space="0" w:color="auto"/>
      </w:divBdr>
    </w:div>
    <w:div w:id="1829901734">
      <w:bodyDiv w:val="1"/>
      <w:marLeft w:val="0"/>
      <w:marRight w:val="0"/>
      <w:marTop w:val="0"/>
      <w:marBottom w:val="0"/>
      <w:divBdr>
        <w:top w:val="none" w:sz="0" w:space="0" w:color="auto"/>
        <w:left w:val="none" w:sz="0" w:space="0" w:color="auto"/>
        <w:bottom w:val="none" w:sz="0" w:space="0" w:color="auto"/>
        <w:right w:val="none" w:sz="0" w:space="0" w:color="auto"/>
      </w:divBdr>
    </w:div>
    <w:div w:id="1995180705">
      <w:bodyDiv w:val="1"/>
      <w:marLeft w:val="0"/>
      <w:marRight w:val="0"/>
      <w:marTop w:val="0"/>
      <w:marBottom w:val="0"/>
      <w:divBdr>
        <w:top w:val="none" w:sz="0" w:space="0" w:color="auto"/>
        <w:left w:val="none" w:sz="0" w:space="0" w:color="auto"/>
        <w:bottom w:val="none" w:sz="0" w:space="0" w:color="auto"/>
        <w:right w:val="none" w:sz="0" w:space="0" w:color="auto"/>
      </w:divBdr>
    </w:div>
    <w:div w:id="20275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CE276-06D9-4771-B12D-344191C81AD9}"/>
</file>

<file path=customXml/itemProps2.xml><?xml version="1.0" encoding="utf-8"?>
<ds:datastoreItem xmlns:ds="http://schemas.openxmlformats.org/officeDocument/2006/customXml" ds:itemID="{A1C75C0A-2A4A-4C49-9FE8-FC2FAD91C900}"/>
</file>

<file path=customXml/itemProps3.xml><?xml version="1.0" encoding="utf-8"?>
<ds:datastoreItem xmlns:ds="http://schemas.openxmlformats.org/officeDocument/2006/customXml" ds:itemID="{751C85D9-13A6-442A-B15D-5A5343333AF1}"/>
</file>

<file path=docProps/app.xml><?xml version="1.0" encoding="utf-8"?>
<Properties xmlns="http://schemas.openxmlformats.org/officeDocument/2006/extended-properties" xmlns:vt="http://schemas.openxmlformats.org/officeDocument/2006/docPropsVTypes">
  <Template>Normal</Template>
  <TotalTime>2</TotalTime>
  <Pages>1</Pages>
  <Words>780</Words>
  <Characters>4148</Characters>
  <Application>Microsoft Office Word</Application>
  <DocSecurity>0</DocSecurity>
  <Lines>90</Lines>
  <Paragraphs>55</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2025-12-04T19:16:00Z</dcterms:created>
  <dcterms:modified xsi:type="dcterms:W3CDTF">2026-01-22T20:07:00Z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