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45CC4" w:rsidRDefault="00000000">
      <w:pPr>
        <w:spacing w:after="160" w:line="240" w:lineRule="auto"/>
        <w:jc w:val="center"/>
        <w:rPr>
          <w:rFonts w:ascii="Verdana" w:eastAsia="Verdana" w:hAnsi="Verdana" w:cs="Verdana"/>
          <w:b/>
          <w:bCs/>
        </w:rPr>
      </w:pPr>
      <w:r>
        <w:rPr>
          <w:rFonts w:ascii="Verdana" w:eastAsia="Verdana" w:hAnsi="Verdana" w:cs="Verdana"/>
          <w:b/>
          <w:bCs/>
        </w:rPr>
        <w:t>RESOLUCIÓN 2177 DE 2010</w:t>
      </w:r>
    </w:p>
    <w:p w14:paraId="00000002" w14:textId="77777777" w:rsidR="00545CC4" w:rsidRPr="00571115" w:rsidRDefault="00000000">
      <w:pPr>
        <w:spacing w:line="240" w:lineRule="auto"/>
        <w:rPr>
          <w:rFonts w:ascii="Verdana" w:eastAsia="Verdana" w:hAnsi="Verdana" w:cs="Verdana"/>
          <w:sz w:val="20"/>
          <w:szCs w:val="20"/>
        </w:rPr>
      </w:pPr>
      <w:r w:rsidRPr="00571115">
        <w:rPr>
          <w:rFonts w:ascii="Verdana" w:eastAsia="Verdana" w:hAnsi="Verdana" w:cs="Verdana"/>
          <w:sz w:val="20"/>
          <w:szCs w:val="20"/>
        </w:rPr>
        <w:t>Fecha de Expedición: 28 de mayo de 2010</w:t>
      </w:r>
    </w:p>
    <w:p w14:paraId="00000003" w14:textId="77777777" w:rsidR="00545CC4" w:rsidRPr="00571115" w:rsidRDefault="00000000">
      <w:pPr>
        <w:spacing w:line="240" w:lineRule="auto"/>
        <w:rPr>
          <w:rFonts w:ascii="Verdana" w:eastAsia="Verdana" w:hAnsi="Verdana" w:cs="Verdana"/>
          <w:sz w:val="20"/>
          <w:szCs w:val="20"/>
          <w:highlight w:val="white"/>
        </w:rPr>
      </w:pPr>
      <w:r w:rsidRPr="00571115">
        <w:rPr>
          <w:rFonts w:ascii="Verdana" w:eastAsia="Verdana" w:hAnsi="Verdana" w:cs="Verdana"/>
          <w:sz w:val="20"/>
          <w:szCs w:val="20"/>
        </w:rPr>
        <w:t xml:space="preserve">Fecha de </w:t>
      </w:r>
      <w:proofErr w:type="gramStart"/>
      <w:r w:rsidRPr="00571115">
        <w:rPr>
          <w:rFonts w:ascii="Verdana" w:eastAsia="Verdana" w:hAnsi="Verdana" w:cs="Verdana"/>
          <w:sz w:val="20"/>
          <w:szCs w:val="20"/>
        </w:rPr>
        <w:t>entrada en vigencia</w:t>
      </w:r>
      <w:proofErr w:type="gramEnd"/>
      <w:r w:rsidRPr="00571115">
        <w:rPr>
          <w:rFonts w:ascii="Verdana" w:eastAsia="Verdana" w:hAnsi="Verdana" w:cs="Verdana"/>
          <w:sz w:val="20"/>
          <w:szCs w:val="20"/>
        </w:rPr>
        <w:t xml:space="preserve">: </w:t>
      </w:r>
      <w:r w:rsidRPr="00571115">
        <w:rPr>
          <w:rFonts w:ascii="Verdana" w:eastAsia="Verdana" w:hAnsi="Verdana" w:cs="Verdana"/>
          <w:sz w:val="20"/>
          <w:szCs w:val="20"/>
          <w:highlight w:val="white"/>
        </w:rPr>
        <w:t xml:space="preserve"> 28 de mayo de 2010</w:t>
      </w:r>
    </w:p>
    <w:p w14:paraId="00000004" w14:textId="33C0C744" w:rsidR="00545CC4" w:rsidRPr="00571115" w:rsidRDefault="00000000">
      <w:pPr>
        <w:spacing w:line="240" w:lineRule="auto"/>
        <w:rPr>
          <w:rFonts w:ascii="Verdana" w:eastAsia="Verdana" w:hAnsi="Verdana" w:cs="Verdana"/>
          <w:sz w:val="20"/>
          <w:szCs w:val="20"/>
        </w:rPr>
      </w:pPr>
      <w:r w:rsidRPr="00571115">
        <w:rPr>
          <w:rFonts w:ascii="Verdana" w:eastAsia="Verdana" w:hAnsi="Verdana" w:cs="Verdana"/>
          <w:sz w:val="20"/>
          <w:szCs w:val="20"/>
        </w:rPr>
        <w:t>Estado de la vigencia: Derogada</w:t>
      </w:r>
      <w:r w:rsidR="00571115">
        <w:rPr>
          <w:rFonts w:ascii="Verdana" w:eastAsia="Verdana" w:hAnsi="Verdana" w:cs="Verdana"/>
          <w:sz w:val="20"/>
          <w:szCs w:val="20"/>
        </w:rPr>
        <w:t xml:space="preserve"> por el artículo 2 de la resolución 790 de 2011</w:t>
      </w:r>
    </w:p>
    <w:p w14:paraId="00000005" w14:textId="77777777" w:rsidR="00545CC4" w:rsidRPr="00571115" w:rsidRDefault="00545CC4">
      <w:pPr>
        <w:spacing w:line="240" w:lineRule="auto"/>
        <w:rPr>
          <w:rFonts w:ascii="Verdana" w:eastAsia="Verdana" w:hAnsi="Verdana" w:cs="Verdana"/>
          <w:sz w:val="20"/>
          <w:szCs w:val="20"/>
        </w:rPr>
      </w:pPr>
    </w:p>
    <w:p w14:paraId="00000006" w14:textId="05A95A57" w:rsidR="00545CC4" w:rsidRPr="00571115" w:rsidRDefault="00000000">
      <w:pPr>
        <w:spacing w:line="240" w:lineRule="auto"/>
        <w:rPr>
          <w:rFonts w:ascii="Verdana" w:eastAsia="Verdana" w:hAnsi="Verdana" w:cs="Verdana"/>
          <w:sz w:val="20"/>
          <w:szCs w:val="20"/>
          <w:highlight w:val="white"/>
        </w:rPr>
      </w:pPr>
      <w:r w:rsidRPr="00571115">
        <w:rPr>
          <w:rFonts w:ascii="Verdana" w:eastAsia="Verdana" w:hAnsi="Verdana" w:cs="Verdana"/>
          <w:sz w:val="20"/>
          <w:szCs w:val="20"/>
        </w:rPr>
        <w:t>Fecha de publicación en Diario Oficial:</w:t>
      </w:r>
      <w:r w:rsidR="00571115">
        <w:rPr>
          <w:rFonts w:ascii="Verdana" w:eastAsia="Verdana" w:hAnsi="Verdana" w:cs="Verdana"/>
          <w:sz w:val="20"/>
          <w:szCs w:val="20"/>
        </w:rPr>
        <w:t xml:space="preserve"> </w:t>
      </w:r>
      <w:r w:rsidRPr="00571115">
        <w:rPr>
          <w:rFonts w:ascii="Verdana" w:eastAsia="Verdana" w:hAnsi="Verdana" w:cs="Verdana"/>
          <w:sz w:val="20"/>
          <w:szCs w:val="20"/>
          <w:highlight w:val="white"/>
        </w:rPr>
        <w:t>N/A</w:t>
      </w:r>
    </w:p>
    <w:p w14:paraId="00000007" w14:textId="77777777" w:rsidR="00545CC4" w:rsidRPr="00571115" w:rsidRDefault="00000000">
      <w:pPr>
        <w:spacing w:line="240" w:lineRule="auto"/>
        <w:rPr>
          <w:rFonts w:ascii="Verdana" w:eastAsia="Verdana" w:hAnsi="Verdana" w:cs="Verdana"/>
          <w:sz w:val="20"/>
          <w:szCs w:val="20"/>
          <w:highlight w:val="white"/>
        </w:rPr>
      </w:pPr>
      <w:r w:rsidRPr="00571115">
        <w:rPr>
          <w:rFonts w:ascii="Verdana" w:eastAsia="Verdana" w:hAnsi="Verdana" w:cs="Verdana"/>
          <w:sz w:val="20"/>
          <w:szCs w:val="20"/>
        </w:rPr>
        <w:t>Número del Diario Oficial:</w:t>
      </w:r>
      <w:r w:rsidRPr="00571115">
        <w:rPr>
          <w:rFonts w:ascii="Verdana" w:eastAsia="Verdana" w:hAnsi="Verdana" w:cs="Verdana"/>
          <w:sz w:val="20"/>
          <w:szCs w:val="20"/>
          <w:highlight w:val="white"/>
        </w:rPr>
        <w:t xml:space="preserve"> N/A</w:t>
      </w:r>
    </w:p>
    <w:p w14:paraId="00000008" w14:textId="77777777" w:rsidR="00545CC4" w:rsidRDefault="00545CC4">
      <w:pPr>
        <w:spacing w:line="240" w:lineRule="auto"/>
        <w:rPr>
          <w:rFonts w:ascii="Verdana" w:eastAsia="Verdana" w:hAnsi="Verdana" w:cs="Verdana"/>
          <w:highlight w:val="white"/>
        </w:rPr>
      </w:pPr>
    </w:p>
    <w:p w14:paraId="00000009" w14:textId="77777777" w:rsidR="00545CC4" w:rsidRDefault="00000000">
      <w:pPr>
        <w:spacing w:after="160" w:line="240" w:lineRule="auto"/>
        <w:jc w:val="center"/>
        <w:rPr>
          <w:rFonts w:ascii="Verdana" w:eastAsia="Verdana" w:hAnsi="Verdana" w:cs="Verdana"/>
          <w:b/>
          <w:bCs/>
        </w:rPr>
      </w:pPr>
      <w:r>
        <w:rPr>
          <w:rFonts w:ascii="Verdana" w:eastAsia="Verdana" w:hAnsi="Verdana" w:cs="Verdana"/>
          <w:b/>
          <w:bCs/>
        </w:rPr>
        <w:t>RESOLUCIÓN 2177 2010</w:t>
      </w:r>
    </w:p>
    <w:p w14:paraId="0000000A" w14:textId="77777777" w:rsidR="00545CC4" w:rsidRDefault="00000000">
      <w:pPr>
        <w:spacing w:after="160" w:line="240" w:lineRule="auto"/>
        <w:jc w:val="center"/>
        <w:rPr>
          <w:rFonts w:ascii="Verdana" w:eastAsia="Verdana" w:hAnsi="Verdana" w:cs="Verdana"/>
        </w:rPr>
      </w:pPr>
      <w:r>
        <w:rPr>
          <w:rFonts w:ascii="Verdana" w:eastAsia="Verdana" w:hAnsi="Verdana" w:cs="Verdana"/>
        </w:rPr>
        <w:t>(28 de mayo)</w:t>
      </w:r>
    </w:p>
    <w:p w14:paraId="0000000B" w14:textId="77777777" w:rsidR="00545CC4"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D" w14:textId="77777777" w:rsidR="00545CC4"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Por la cual se crea el Grupo Interno de Trabajo de Recuperación Nutricional y Acciones Comunitarias en la Subdirección de Nutrición de la Dirección de Prevención del ICBF, y establecen sus funciones</w:t>
      </w:r>
    </w:p>
    <w:p w14:paraId="0000000E" w14:textId="77777777" w:rsidR="00545CC4"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F" w14:textId="14415940" w:rsidR="00545CC4"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 xml:space="preserve">En uso de sus facultades legales, en especial las conferidas por el artículo </w:t>
      </w:r>
      <w:r w:rsidR="00545CC4">
        <w:rPr>
          <w:rFonts w:ascii="Verdana" w:eastAsia="Verdana" w:hAnsi="Verdana" w:cs="Verdana"/>
          <w:highlight w:val="white"/>
        </w:rPr>
        <w:t>115</w:t>
      </w:r>
      <w:r>
        <w:rPr>
          <w:rFonts w:ascii="Verdana" w:eastAsia="Verdana" w:hAnsi="Verdana" w:cs="Verdana"/>
          <w:highlight w:val="white"/>
        </w:rPr>
        <w:t xml:space="preserve"> de la Ley 489 de 1998, el artículo </w:t>
      </w:r>
      <w:r w:rsidR="00545CC4">
        <w:rPr>
          <w:rFonts w:ascii="Verdana" w:eastAsia="Verdana" w:hAnsi="Verdana" w:cs="Verdana"/>
          <w:highlight w:val="white"/>
        </w:rPr>
        <w:t>28</w:t>
      </w:r>
      <w:r>
        <w:rPr>
          <w:rFonts w:ascii="Verdana" w:eastAsia="Verdana" w:hAnsi="Verdana" w:cs="Verdana"/>
          <w:highlight w:val="white"/>
        </w:rPr>
        <w:t xml:space="preserve"> del Decreto 1138 del 29 de junio de 1999 y el artículo </w:t>
      </w:r>
      <w:r w:rsidR="00545CC4">
        <w:rPr>
          <w:rFonts w:ascii="Verdana" w:eastAsia="Verdana" w:hAnsi="Verdana" w:cs="Verdana"/>
          <w:highlight w:val="white"/>
        </w:rPr>
        <w:t>37</w:t>
      </w:r>
      <w:r>
        <w:rPr>
          <w:rFonts w:ascii="Verdana" w:eastAsia="Verdana" w:hAnsi="Verdana" w:cs="Verdana"/>
          <w:highlight w:val="white"/>
        </w:rPr>
        <w:t xml:space="preserve"> del Decreto 117 del 21 de enero de 2010 y</w:t>
      </w:r>
    </w:p>
    <w:p w14:paraId="00000010" w14:textId="77777777" w:rsidR="00545CC4" w:rsidRPr="00571115" w:rsidRDefault="00000000">
      <w:pPr>
        <w:shd w:val="clear" w:color="auto" w:fill="FFFFFF"/>
        <w:spacing w:after="280" w:line="426" w:lineRule="auto"/>
        <w:jc w:val="center"/>
        <w:rPr>
          <w:rFonts w:ascii="Verdana" w:eastAsia="Verdana" w:hAnsi="Verdana" w:cs="Verdana"/>
          <w:b/>
          <w:bCs/>
          <w:highlight w:val="white"/>
        </w:rPr>
      </w:pPr>
      <w:r w:rsidRPr="00571115">
        <w:rPr>
          <w:rFonts w:ascii="Verdana" w:eastAsia="Verdana" w:hAnsi="Verdana" w:cs="Verdana"/>
          <w:b/>
          <w:bCs/>
          <w:highlight w:val="white"/>
        </w:rPr>
        <w:t>CONSIDERANDO:</w:t>
      </w:r>
    </w:p>
    <w:p w14:paraId="00000011" w14:textId="3044284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Que el inciso 2° del artículo </w:t>
      </w:r>
      <w:r w:rsidR="00545CC4">
        <w:rPr>
          <w:rFonts w:ascii="Verdana" w:eastAsia="Verdana" w:hAnsi="Verdana" w:cs="Verdana"/>
          <w:highlight w:val="white"/>
        </w:rPr>
        <w:t>115</w:t>
      </w:r>
      <w:r>
        <w:rPr>
          <w:rFonts w:ascii="Verdana" w:eastAsia="Verdana" w:hAnsi="Verdana" w:cs="Verdana"/>
          <w:highlight w:val="white"/>
        </w:rPr>
        <w:t xml:space="preserve"> de la Ley 489 de 1998 establece:</w:t>
      </w:r>
    </w:p>
    <w:p w14:paraId="00000012" w14:textId="307A199C" w:rsidR="00545CC4" w:rsidRDefault="00000000">
      <w:pPr>
        <w:shd w:val="clear" w:color="auto" w:fill="FFFFFF"/>
        <w:spacing w:after="280" w:line="426" w:lineRule="auto"/>
        <w:jc w:val="both"/>
        <w:rPr>
          <w:rFonts w:ascii="Verdana" w:eastAsia="Verdana" w:hAnsi="Verdana" w:cs="Verdana"/>
          <w:i/>
          <w:iCs/>
          <w:highlight w:val="white"/>
        </w:rPr>
      </w:pPr>
      <w:r>
        <w:rPr>
          <w:rFonts w:ascii="Verdana" w:eastAsia="Verdana" w:hAnsi="Verdana" w:cs="Verdana"/>
          <w:i/>
          <w:iCs/>
          <w:highlight w:val="white"/>
        </w:rPr>
        <w:t xml:space="preserve">"Artículo </w:t>
      </w:r>
      <w:r w:rsidR="00545CC4">
        <w:rPr>
          <w:rFonts w:ascii="Verdana" w:eastAsia="Verdana" w:hAnsi="Verdana" w:cs="Verdana"/>
          <w:i/>
          <w:iCs/>
          <w:highlight w:val="white"/>
        </w:rPr>
        <w:t>115</w:t>
      </w:r>
      <w:proofErr w:type="gramStart"/>
      <w:r>
        <w:rPr>
          <w:rFonts w:ascii="Verdana" w:eastAsia="Verdana" w:hAnsi="Verdana" w:cs="Verdana"/>
          <w:i/>
          <w:iCs/>
          <w:highlight w:val="white"/>
        </w:rPr>
        <w:t>°.-</w:t>
      </w:r>
      <w:proofErr w:type="gramEnd"/>
      <w:r>
        <w:rPr>
          <w:rFonts w:ascii="Verdana" w:eastAsia="Verdana" w:hAnsi="Verdana" w:cs="Verdana"/>
          <w:i/>
          <w:iCs/>
          <w:highlight w:val="white"/>
        </w:rPr>
        <w:t xml:space="preserve"> Planta global y grupos internos de trabajo. El Gobierno Nacional aprobará las plantas de personal de los organismos y entidades de que trata la presente Ley de manera global. En todo caso el director del organismo distribuirá los cargos de acuerdo con la estructura, las necesidades de organización y sus planes y programas.</w:t>
      </w:r>
    </w:p>
    <w:p w14:paraId="00000013" w14:textId="77777777" w:rsidR="00545CC4" w:rsidRDefault="00000000">
      <w:pPr>
        <w:shd w:val="clear" w:color="auto" w:fill="FFFFFF"/>
        <w:spacing w:after="280" w:line="426" w:lineRule="auto"/>
        <w:jc w:val="both"/>
        <w:rPr>
          <w:rFonts w:ascii="Verdana" w:eastAsia="Verdana" w:hAnsi="Verdana" w:cs="Verdana"/>
          <w:i/>
          <w:iCs/>
          <w:highlight w:val="white"/>
        </w:rPr>
      </w:pPr>
      <w:r>
        <w:rPr>
          <w:rFonts w:ascii="Verdana" w:eastAsia="Verdana" w:hAnsi="Verdana" w:cs="Verdana"/>
          <w:i/>
          <w:iCs/>
          <w:highlight w:val="white"/>
        </w:rPr>
        <w:t>Con el fin de atender las necesidades del servicio y cumplir con eficacia y eficiencia los objetivos, políticas y programas de organismo o entidad, su representante legal podrá crear y organizar, con carácter permanente o transitorio, grupos internos de trabajo.</w:t>
      </w:r>
    </w:p>
    <w:p w14:paraId="00000014" w14:textId="77777777" w:rsidR="00545CC4" w:rsidRDefault="00000000">
      <w:pPr>
        <w:shd w:val="clear" w:color="auto" w:fill="FFFFFF"/>
        <w:spacing w:after="280" w:line="426" w:lineRule="auto"/>
        <w:jc w:val="both"/>
        <w:rPr>
          <w:rFonts w:ascii="Verdana" w:eastAsia="Verdana" w:hAnsi="Verdana" w:cs="Verdana"/>
          <w:i/>
          <w:iCs/>
          <w:highlight w:val="white"/>
        </w:rPr>
      </w:pPr>
      <w:r>
        <w:rPr>
          <w:rFonts w:ascii="Verdana" w:eastAsia="Verdana" w:hAnsi="Verdana" w:cs="Verdana"/>
          <w:i/>
          <w:iCs/>
          <w:highlight w:val="white"/>
        </w:rPr>
        <w:lastRenderedPageBreak/>
        <w:t>En el acto de creación de tales grupos se determinarán las tareas que deberán cumplir y las consiguientes responsabilidades y las demás normas necesarias para su funcionamiento."</w:t>
      </w:r>
    </w:p>
    <w:p w14:paraId="00000015" w14:textId="77EB360A"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Que el artículo </w:t>
      </w:r>
      <w:r w:rsidR="00545CC4">
        <w:rPr>
          <w:rFonts w:ascii="Verdana" w:eastAsia="Verdana" w:hAnsi="Verdana" w:cs="Verdana"/>
          <w:highlight w:val="white"/>
        </w:rPr>
        <w:t>28</w:t>
      </w:r>
      <w:r>
        <w:rPr>
          <w:rFonts w:ascii="Verdana" w:eastAsia="Verdana" w:hAnsi="Verdana" w:cs="Verdana"/>
          <w:highlight w:val="white"/>
        </w:rPr>
        <w:t xml:space="preserve"> del Decreto 1138 del 29 de junio de 1999 establece:</w:t>
      </w:r>
    </w:p>
    <w:p w14:paraId="00000016" w14:textId="4914ED58" w:rsidR="00545CC4" w:rsidRDefault="00000000">
      <w:pPr>
        <w:shd w:val="clear" w:color="auto" w:fill="FFFFFF"/>
        <w:spacing w:after="280" w:line="426" w:lineRule="auto"/>
        <w:jc w:val="both"/>
        <w:rPr>
          <w:rFonts w:ascii="Verdana" w:eastAsia="Verdana" w:hAnsi="Verdana" w:cs="Verdana"/>
          <w:i/>
          <w:iCs/>
          <w:highlight w:val="white"/>
        </w:rPr>
      </w:pPr>
      <w:r>
        <w:rPr>
          <w:rFonts w:ascii="Verdana" w:eastAsia="Verdana" w:hAnsi="Verdana" w:cs="Verdana"/>
          <w:i/>
          <w:iCs/>
          <w:highlight w:val="white"/>
        </w:rPr>
        <w:t xml:space="preserve">"Artículo </w:t>
      </w:r>
      <w:r w:rsidR="00545CC4">
        <w:rPr>
          <w:rFonts w:ascii="Verdana" w:eastAsia="Verdana" w:hAnsi="Verdana" w:cs="Verdana"/>
          <w:i/>
          <w:iCs/>
          <w:highlight w:val="white"/>
        </w:rPr>
        <w:t>28</w:t>
      </w:r>
      <w:r>
        <w:rPr>
          <w:rFonts w:ascii="Verdana" w:eastAsia="Verdana" w:hAnsi="Verdana" w:cs="Verdana"/>
          <w:i/>
          <w:iCs/>
          <w:highlight w:val="white"/>
        </w:rPr>
        <w:t>. GRUPOS INTERNOS DE TRABAJO. La Dirección General podrá crear y organizar grupos internos de trabajo, de acuerdo con la estructura interna, necesidades del servicio y los planes y programas de desarrollo institucional."</w:t>
      </w:r>
    </w:p>
    <w:p w14:paraId="00000017" w14:textId="5B44C4D5"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Que el artículo </w:t>
      </w:r>
      <w:r w:rsidR="00545CC4">
        <w:rPr>
          <w:rFonts w:ascii="Verdana" w:eastAsia="Verdana" w:hAnsi="Verdana" w:cs="Verdana"/>
          <w:highlight w:val="white"/>
        </w:rPr>
        <w:t>37</w:t>
      </w:r>
      <w:r>
        <w:rPr>
          <w:rFonts w:ascii="Verdana" w:eastAsia="Verdana" w:hAnsi="Verdana" w:cs="Verdana"/>
          <w:highlight w:val="white"/>
        </w:rPr>
        <w:t xml:space="preserve"> del Decreto 117 de 2010, que derogó el Decreto </w:t>
      </w:r>
      <w:r w:rsidR="00545CC4">
        <w:rPr>
          <w:rFonts w:ascii="Verdana" w:eastAsia="Verdana" w:hAnsi="Verdana" w:cs="Verdana"/>
          <w:highlight w:val="white"/>
        </w:rPr>
        <w:t>3264</w:t>
      </w:r>
      <w:r>
        <w:rPr>
          <w:rFonts w:ascii="Verdana" w:eastAsia="Verdana" w:hAnsi="Verdana" w:cs="Verdana"/>
          <w:highlight w:val="white"/>
        </w:rPr>
        <w:t xml:space="preserve"> del 30 de diciembre de 2002, establece:</w:t>
      </w:r>
    </w:p>
    <w:p w14:paraId="00000018" w14:textId="3D2171D5" w:rsidR="00545CC4" w:rsidRDefault="00000000">
      <w:pPr>
        <w:shd w:val="clear" w:color="auto" w:fill="FFFFFF"/>
        <w:spacing w:after="280" w:line="426" w:lineRule="auto"/>
        <w:jc w:val="both"/>
        <w:rPr>
          <w:rFonts w:ascii="Verdana" w:eastAsia="Verdana" w:hAnsi="Verdana" w:cs="Verdana"/>
          <w:i/>
          <w:iCs/>
          <w:highlight w:val="white"/>
        </w:rPr>
      </w:pPr>
      <w:r>
        <w:rPr>
          <w:rFonts w:ascii="Verdana" w:eastAsia="Verdana" w:hAnsi="Verdana" w:cs="Verdana"/>
          <w:i/>
          <w:iCs/>
          <w:highlight w:val="white"/>
        </w:rPr>
        <w:t xml:space="preserve">Artículo </w:t>
      </w:r>
      <w:r w:rsidR="00545CC4">
        <w:rPr>
          <w:rFonts w:ascii="Verdana" w:eastAsia="Verdana" w:hAnsi="Verdana" w:cs="Verdana"/>
          <w:i/>
          <w:iCs/>
          <w:highlight w:val="white"/>
        </w:rPr>
        <w:t>37</w:t>
      </w:r>
      <w:r>
        <w:rPr>
          <w:rFonts w:ascii="Verdana" w:eastAsia="Verdana" w:hAnsi="Verdana" w:cs="Verdana"/>
          <w:i/>
          <w:iCs/>
          <w:highlight w:val="white"/>
        </w:rPr>
        <w:t xml:space="preserve">°. Grupos internos de trabajo: El </w:t>
      </w:r>
      <w:proofErr w:type="gramStart"/>
      <w:r>
        <w:rPr>
          <w:rFonts w:ascii="Verdana" w:eastAsia="Verdana" w:hAnsi="Verdana" w:cs="Verdana"/>
          <w:i/>
          <w:iCs/>
          <w:highlight w:val="white"/>
        </w:rPr>
        <w:t>Director General</w:t>
      </w:r>
      <w:proofErr w:type="gramEnd"/>
      <w:r>
        <w:rPr>
          <w:rFonts w:ascii="Verdana" w:eastAsia="Verdana" w:hAnsi="Verdana" w:cs="Verdana"/>
          <w:i/>
          <w:iCs/>
          <w:highlight w:val="white"/>
        </w:rPr>
        <w:t xml:space="preserve"> del Instituto Colombiano de Bienestar Familiar Cecilia De la Fuente de Lleras, podrá crear, organizar y conformar, con carácter permanente o transitorio, mediante resolución interna, los grupos funcionales que se requieran para optimizar el funcionamiento del Instituto."</w:t>
      </w:r>
    </w:p>
    <w:p w14:paraId="00000019"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Que la </w:t>
      </w:r>
      <w:proofErr w:type="gramStart"/>
      <w:r>
        <w:rPr>
          <w:rFonts w:ascii="Verdana" w:eastAsia="Verdana" w:hAnsi="Verdana" w:cs="Verdana"/>
          <w:highlight w:val="white"/>
        </w:rPr>
        <w:t>Directora</w:t>
      </w:r>
      <w:proofErr w:type="gramEnd"/>
      <w:r>
        <w:rPr>
          <w:rFonts w:ascii="Verdana" w:eastAsia="Verdana" w:hAnsi="Verdana" w:cs="Verdana"/>
          <w:highlight w:val="white"/>
        </w:rPr>
        <w:t xml:space="preserve"> de Prevención del ICBF, mediante oficio de fecha 23 de abril de 2010, radicado con el número 004640, solicitó adelantar los trámites pertinentes para la creación del Grupo Interno de Trabajo de Recuperación Nutricional y Acciones Comunitarias que dependerá de la Subdirección de Nutrición, para lo cual allegó el respectivo documento, argumentando entre otros aspectos los siguientes:</w:t>
      </w:r>
    </w:p>
    <w:p w14:paraId="0000001A" w14:textId="77777777" w:rsidR="00545CC4" w:rsidRDefault="00000000">
      <w:pPr>
        <w:shd w:val="clear" w:color="auto" w:fill="FFFFFF"/>
        <w:spacing w:after="280" w:line="426" w:lineRule="auto"/>
        <w:jc w:val="both"/>
        <w:rPr>
          <w:rFonts w:ascii="Verdana" w:eastAsia="Verdana" w:hAnsi="Verdana" w:cs="Verdana"/>
          <w:i/>
          <w:iCs/>
          <w:highlight w:val="white"/>
        </w:rPr>
      </w:pPr>
      <w:r>
        <w:rPr>
          <w:rFonts w:ascii="Verdana" w:eastAsia="Verdana" w:hAnsi="Verdana" w:cs="Verdana"/>
          <w:i/>
          <w:iCs/>
          <w:highlight w:val="white"/>
        </w:rPr>
        <w:t>"(...) remito la descripción de cargas de trabajo adelantadas en forma conjunta con la subdirección de mejoramiento, en las cuales se mencionan las actividades que tiene el grupo y se discrimina las tareas, frecuencias, periodicidad y tiempo empleado por horas."</w:t>
      </w:r>
    </w:p>
    <w:p w14:paraId="0000001B"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lastRenderedPageBreak/>
        <w:t>Que se considera pertinente, por necesidad y especificidad del servicio, crear el Grupo Interno de Trabajo de Recuperación Nutricional y Acciones Comunitarias en la Subdirección de Nutrición de la Dirección de Prevención del ICBF y establecer sus funciones.</w:t>
      </w:r>
    </w:p>
    <w:p w14:paraId="0000001C" w14:textId="45A17242"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Que en los artículos </w:t>
      </w:r>
      <w:r w:rsidR="00545CC4">
        <w:rPr>
          <w:rFonts w:ascii="Verdana" w:eastAsia="Verdana" w:hAnsi="Verdana" w:cs="Verdana"/>
          <w:highlight w:val="white"/>
        </w:rPr>
        <w:t>20</w:t>
      </w:r>
      <w:r>
        <w:rPr>
          <w:rFonts w:ascii="Verdana" w:eastAsia="Verdana" w:hAnsi="Verdana" w:cs="Verdana"/>
          <w:highlight w:val="white"/>
        </w:rPr>
        <w:t xml:space="preserve"> y </w:t>
      </w:r>
      <w:r w:rsidR="00545CC4">
        <w:rPr>
          <w:rFonts w:ascii="Verdana" w:eastAsia="Verdana" w:hAnsi="Verdana" w:cs="Verdana"/>
          <w:highlight w:val="white"/>
        </w:rPr>
        <w:t>21</w:t>
      </w:r>
      <w:r>
        <w:rPr>
          <w:rFonts w:ascii="Verdana" w:eastAsia="Verdana" w:hAnsi="Verdana" w:cs="Verdana"/>
          <w:highlight w:val="white"/>
        </w:rPr>
        <w:t xml:space="preserve"> del Decreto 117 de 2010, "Por la cual se aprueba la estructura del Instituto Colombiano de Bienestar Familiar Cecilia De la Fuente de Lleras y se determinan las funciones de sus dependencias" se establecen las funciones de la Dirección de Prevención y la Subdirección de Nutrición.</w:t>
      </w:r>
    </w:p>
    <w:p w14:paraId="0000001D" w14:textId="5813F5DB"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Que las funciones asignadas al Grupo Interno de Trabajo "Recuperación Nutricional y Acciones Comunitarias" que se pretende crear </w:t>
      </w:r>
      <w:proofErr w:type="gramStart"/>
      <w:r>
        <w:rPr>
          <w:rFonts w:ascii="Verdana" w:eastAsia="Verdana" w:hAnsi="Verdana" w:cs="Verdana"/>
          <w:highlight w:val="white"/>
        </w:rPr>
        <w:t>se enmarcan dentro de</w:t>
      </w:r>
      <w:proofErr w:type="gramEnd"/>
      <w:r>
        <w:rPr>
          <w:rFonts w:ascii="Verdana" w:eastAsia="Verdana" w:hAnsi="Verdana" w:cs="Verdana"/>
          <w:highlight w:val="white"/>
        </w:rPr>
        <w:t xml:space="preserve"> las actividades establecidas para el proceso de "Prevención de la Amenaza y Vulneración de Derechos" por el Decreto 117 del 21 de enero de 2010 en sus artículos </w:t>
      </w:r>
      <w:r w:rsidR="00545CC4">
        <w:rPr>
          <w:rFonts w:ascii="Verdana" w:eastAsia="Verdana" w:hAnsi="Verdana" w:cs="Verdana"/>
          <w:highlight w:val="white"/>
        </w:rPr>
        <w:t>20</w:t>
      </w:r>
      <w:r>
        <w:rPr>
          <w:rFonts w:ascii="Verdana" w:eastAsia="Verdana" w:hAnsi="Verdana" w:cs="Verdana"/>
          <w:highlight w:val="white"/>
        </w:rPr>
        <w:t xml:space="preserve"> y </w:t>
      </w:r>
      <w:r w:rsidR="00545CC4">
        <w:rPr>
          <w:rFonts w:ascii="Verdana" w:eastAsia="Verdana" w:hAnsi="Verdana" w:cs="Verdana"/>
          <w:highlight w:val="white"/>
        </w:rPr>
        <w:t>21</w:t>
      </w:r>
      <w:r>
        <w:rPr>
          <w:rFonts w:ascii="Verdana" w:eastAsia="Verdana" w:hAnsi="Verdana" w:cs="Verdana"/>
          <w:highlight w:val="white"/>
        </w:rPr>
        <w:t>.</w:t>
      </w:r>
    </w:p>
    <w:p w14:paraId="0000001E" w14:textId="119DAB44"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Que es preciso dar cumplimiento a lo ordenado en el artículo </w:t>
      </w:r>
      <w:r w:rsidR="00545CC4">
        <w:rPr>
          <w:rFonts w:ascii="Verdana" w:eastAsia="Verdana" w:hAnsi="Verdana" w:cs="Verdana"/>
          <w:highlight w:val="white"/>
        </w:rPr>
        <w:t>8</w:t>
      </w:r>
      <w:r>
        <w:rPr>
          <w:rFonts w:ascii="Verdana" w:eastAsia="Verdana" w:hAnsi="Verdana" w:cs="Verdana"/>
          <w:highlight w:val="white"/>
        </w:rPr>
        <w:t xml:space="preserve">o del Decreto 2489 de 2006, en el sentido de </w:t>
      </w:r>
      <w:proofErr w:type="gramStart"/>
      <w:r>
        <w:rPr>
          <w:rFonts w:ascii="Verdana" w:eastAsia="Verdana" w:hAnsi="Verdana" w:cs="Verdana"/>
          <w:highlight w:val="white"/>
        </w:rPr>
        <w:t>que</w:t>
      </w:r>
      <w:proofErr w:type="gramEnd"/>
      <w:r>
        <w:rPr>
          <w:rFonts w:ascii="Verdana" w:eastAsia="Verdana" w:hAnsi="Verdana" w:cs="Verdana"/>
          <w:highlight w:val="white"/>
        </w:rPr>
        <w:t xml:space="preserve"> para la creación de los Grupos Internos de Trabajo, su integración no puede ser inferior a cuatro (4) empleados.</w:t>
      </w:r>
    </w:p>
    <w:p w14:paraId="0000001F"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Que la Dirección de Planeación, mediante memorando </w:t>
      </w:r>
      <w:proofErr w:type="spellStart"/>
      <w:r>
        <w:rPr>
          <w:rFonts w:ascii="Verdana" w:eastAsia="Verdana" w:hAnsi="Verdana" w:cs="Verdana"/>
          <w:highlight w:val="white"/>
        </w:rPr>
        <w:t>N°</w:t>
      </w:r>
      <w:proofErr w:type="spellEnd"/>
      <w:r>
        <w:rPr>
          <w:rFonts w:ascii="Verdana" w:eastAsia="Verdana" w:hAnsi="Verdana" w:cs="Verdana"/>
          <w:highlight w:val="white"/>
        </w:rPr>
        <w:t xml:space="preserve"> 005285 del 7 de mayo de 2010, y la Dirección de Gestión Humana, mediante certificación del 12 de mayo de 2010, emitieron conceptos favorables respecto de la creación del Grupo Interno de Trabajo de Recuperación Nutricional y Acciones Comunitarias en la Subdirección de Nutrición de la Dirección de Prevención del ICBF, sus funciones y la asignación del reconocimiento por su coordinación.</w:t>
      </w:r>
    </w:p>
    <w:p w14:paraId="00000020" w14:textId="77777777" w:rsidR="00545CC4" w:rsidRDefault="00000000">
      <w:pPr>
        <w:shd w:val="clear" w:color="auto" w:fill="FFFFFF"/>
        <w:spacing w:after="280" w:line="426" w:lineRule="auto"/>
        <w:jc w:val="both"/>
        <w:rPr>
          <w:rFonts w:ascii="Verdana" w:eastAsia="Verdana" w:hAnsi="Verdana" w:cs="Verdana"/>
          <w:highlight w:val="white"/>
        </w:rPr>
      </w:pPr>
      <w:proofErr w:type="gramStart"/>
      <w:r>
        <w:rPr>
          <w:rFonts w:ascii="Verdana" w:eastAsia="Verdana" w:hAnsi="Verdana" w:cs="Verdana"/>
          <w:highlight w:val="white"/>
        </w:rPr>
        <w:t>Que</w:t>
      </w:r>
      <w:proofErr w:type="gramEnd"/>
      <w:r>
        <w:rPr>
          <w:rFonts w:ascii="Verdana" w:eastAsia="Verdana" w:hAnsi="Verdana" w:cs="Verdana"/>
          <w:highlight w:val="white"/>
        </w:rPr>
        <w:t xml:space="preserve"> en mérito de lo expuesto,</w:t>
      </w:r>
    </w:p>
    <w:p w14:paraId="00000021" w14:textId="77777777" w:rsidR="00545CC4" w:rsidRDefault="00000000">
      <w:pPr>
        <w:shd w:val="clear" w:color="auto" w:fill="FFFFFF"/>
        <w:spacing w:after="280" w:line="426" w:lineRule="auto"/>
        <w:jc w:val="center"/>
        <w:rPr>
          <w:rFonts w:ascii="Verdana" w:eastAsia="Verdana" w:hAnsi="Verdana" w:cs="Verdana"/>
          <w:b/>
          <w:bCs/>
          <w:highlight w:val="white"/>
        </w:rPr>
      </w:pPr>
      <w:r>
        <w:rPr>
          <w:rFonts w:ascii="Verdana" w:eastAsia="Verdana" w:hAnsi="Verdana" w:cs="Verdana"/>
          <w:b/>
          <w:bCs/>
          <w:highlight w:val="white"/>
        </w:rPr>
        <w:t>RESUELVE:</w:t>
      </w:r>
    </w:p>
    <w:p w14:paraId="00000022" w14:textId="4CFB7EE4"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b/>
          <w:bCs/>
          <w:highlight w:val="white"/>
        </w:rPr>
        <w:lastRenderedPageBreak/>
        <w:t>ARTÍCULO PRIMERO.</w:t>
      </w:r>
      <w:r>
        <w:rPr>
          <w:rFonts w:ascii="Verdana" w:eastAsia="Verdana" w:hAnsi="Verdana" w:cs="Verdana"/>
          <w:highlight w:val="white"/>
        </w:rPr>
        <w:t xml:space="preserve"> Crear el Grupo Interno de Trabajo de Recuperación Nutricional y Acciones Comunitarias en la Subdirección de Nutrición de la Dirección de Prevención, de la siguiente manera:</w:t>
      </w:r>
    </w:p>
    <w:p w14:paraId="00000023"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Grupo Recuperación Nutricional y Acciones Comunitarias: Este Grupo es el encargado de orientar y articular las acciones comunitarias, interinstitucionales e intersectoriales relacionadas con la recuperación nutricional y la seguridad alimentaria y nutricional del país; así mismo, asesora a todas las áreas del ICBF en acciones comunitarias de recuperación nutricional, las promueve institucionalmente y aporta los insumos necesarios para su desarrollo.</w:t>
      </w:r>
    </w:p>
    <w:p w14:paraId="00000024"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Para tal fin, cumplirá con las siguientes funciones:</w:t>
      </w:r>
    </w:p>
    <w:p w14:paraId="00000025"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1. Fortalecer la gestión interinstitucional e intersectorial que permita la consecución de recursos, por medio de la participación del sector público y privado, que apoye la apertura y sostenibilidad de nuevos centros de recuperación nutricional y de recuperación nutricional ambulatoria.</w:t>
      </w:r>
    </w:p>
    <w:p w14:paraId="00000026"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2. Formar a los equipos interdisciplinarios y a las familias de los niños en proceso de recuperación nutricional, en temas de alimentación, nutrición y salud.</w:t>
      </w:r>
    </w:p>
    <w:p w14:paraId="00000027"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3. Diseñar y desarrollar programas de </w:t>
      </w:r>
      <w:proofErr w:type="gramStart"/>
      <w:r>
        <w:rPr>
          <w:rFonts w:ascii="Verdana" w:eastAsia="Verdana" w:hAnsi="Verdana" w:cs="Verdana"/>
          <w:highlight w:val="white"/>
        </w:rPr>
        <w:t>políticas alimentarias y educación alimentaria</w:t>
      </w:r>
      <w:proofErr w:type="gramEnd"/>
      <w:r>
        <w:rPr>
          <w:rFonts w:ascii="Verdana" w:eastAsia="Verdana" w:hAnsi="Verdana" w:cs="Verdana"/>
          <w:highlight w:val="white"/>
        </w:rPr>
        <w:t xml:space="preserve"> dentro de las directrices de política pública aplicable a los centros de recuperación nutricional, y la modalidad de recuperación nutricional ambulatoria.</w:t>
      </w:r>
    </w:p>
    <w:p w14:paraId="00000028"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4. Fortalecer el desarrollo de los centros de recuperación nutricional y la modalidad de recuperación nutricional ambulatoria, a través de capacitación en valoración y seguimientos nutricional, Educación Alimentaria y Nutricional, a la familia y comunidad.</w:t>
      </w:r>
    </w:p>
    <w:p w14:paraId="00000029"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5. Coordinar el desarrollo de investigaciones y estudios en materia de nutrición y la aplicación de sus resultados.</w:t>
      </w:r>
    </w:p>
    <w:p w14:paraId="0000002A"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lastRenderedPageBreak/>
        <w:t xml:space="preserve">6. Verificar el funcionamiento técnico, administrativo y financiero de las unidades de servicio de los centros de recuperación nutricional, y la modalidad recuperación nutricional ambulatoria </w:t>
      </w:r>
      <w:proofErr w:type="gramStart"/>
      <w:r>
        <w:rPr>
          <w:rFonts w:ascii="Verdana" w:eastAsia="Verdana" w:hAnsi="Verdana" w:cs="Verdana"/>
          <w:highlight w:val="white"/>
        </w:rPr>
        <w:t>de acuerdo a</w:t>
      </w:r>
      <w:proofErr w:type="gramEnd"/>
      <w:r>
        <w:rPr>
          <w:rFonts w:ascii="Verdana" w:eastAsia="Verdana" w:hAnsi="Verdana" w:cs="Verdana"/>
          <w:highlight w:val="white"/>
        </w:rPr>
        <w:t xml:space="preserve"> los estándares definidos.</w:t>
      </w:r>
    </w:p>
    <w:p w14:paraId="0000002B"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7. Realizar acciones integrales en materia de educación Alimentaria Nutricional, cuidado de la salud y fortalecimiento de las familias en sus responsabilidades esenciales, involucrando a todos los actores sociales.</w:t>
      </w:r>
    </w:p>
    <w:p w14:paraId="0000002C"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8. Promover la participación de todos los sectores y el fortalecimiento de los consejos de política social como ámbito de coordinación de las políticas sociales de cada municipio y departamento, con énfasis en el seguimiento de la Política y Plan Nacional de Seguridad Alimentaria.</w:t>
      </w:r>
    </w:p>
    <w:p w14:paraId="0000002D"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 xml:space="preserve">9. Fortalecer las redes de servicio (salud, educación y sociales) para ofrecer oportunidades a las personas, sus familias y la comunidad, facilitando las interacciones en aprendizajes mutuos y accesibilidad para satisfacer sus necesidades básicas y el </w:t>
      </w:r>
      <w:proofErr w:type="spellStart"/>
      <w:r>
        <w:rPr>
          <w:rFonts w:ascii="Verdana" w:eastAsia="Verdana" w:hAnsi="Verdana" w:cs="Verdana"/>
          <w:highlight w:val="white"/>
        </w:rPr>
        <w:t>autosostenimiento</w:t>
      </w:r>
      <w:proofErr w:type="spellEnd"/>
      <w:r>
        <w:rPr>
          <w:rFonts w:ascii="Verdana" w:eastAsia="Verdana" w:hAnsi="Verdana" w:cs="Verdana"/>
          <w:highlight w:val="white"/>
        </w:rPr>
        <w:t>.</w:t>
      </w:r>
    </w:p>
    <w:p w14:paraId="0000002E"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10. Elaborar, socializar y realizar seguimiento de las directrices e instrucciones para la construcción de minutas diferenciales.</w:t>
      </w:r>
    </w:p>
    <w:p w14:paraId="0000002F"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11. Establecer y orientar el desarrollo de las acciones de mejora para el correcto funcionamiento de los centros de recuperación nutricional y de la modalidad recuperación nutricional ambulatoria.</w:t>
      </w:r>
    </w:p>
    <w:p w14:paraId="00000030"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12. Elaborar los informes de seguimiento a la ejecución administrativa, financiera y técnica de los centros de recuperación nutricional.</w:t>
      </w:r>
    </w:p>
    <w:p w14:paraId="00000031"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13. Realizar capacitación y seguimiento continuo a los profesionales, coordinadores, y agentes del sistema nacional de bienestar familiar que participan en centros de recuperación nutricional.</w:t>
      </w:r>
    </w:p>
    <w:p w14:paraId="00000032"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lastRenderedPageBreak/>
        <w:t>14. Dar las orientaciones y directrices para la creación e implementación de los centros de recuperación nutricional a nivel territorial</w:t>
      </w:r>
    </w:p>
    <w:p w14:paraId="00000033"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15. Orientar la formulación y desarrollo de lineamientos y estándares para los servicios de atención integral a la niñez y la familia que competa a recuperación nutricional y acciones comunitarias.</w:t>
      </w:r>
    </w:p>
    <w:p w14:paraId="00000034"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16. Brindar asistencia técnica para la ejecución y seguimiento a los planes y programas de segundad alimentaria y nutricional de carácter nacional y departamental.</w:t>
      </w:r>
    </w:p>
    <w:p w14:paraId="00000035"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17. Contribuir en la gestión de la normativa relacionada con recuperación nutricional y seguridad alimentaria y nutricional.</w:t>
      </w:r>
    </w:p>
    <w:p w14:paraId="00000036" w14:textId="77777777"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highlight w:val="white"/>
        </w:rPr>
        <w:t>18. Las demás que le sean asignadas o delegadas.</w:t>
      </w:r>
    </w:p>
    <w:p w14:paraId="00000037" w14:textId="673FCF03"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b/>
          <w:bCs/>
          <w:highlight w:val="white"/>
        </w:rPr>
        <w:t>ARTÍCULO SEGUNDO.</w:t>
      </w:r>
      <w:r>
        <w:rPr>
          <w:rFonts w:ascii="Verdana" w:eastAsia="Verdana" w:hAnsi="Verdana" w:cs="Verdana"/>
          <w:highlight w:val="white"/>
        </w:rPr>
        <w:t xml:space="preserve"> En desarrollo de la delegación otorgada por el Consejo Directivo del ICBF según Acuerdo 002 del 15 de febrero de 2005, se aprueba el reconocimiento de un 20% adicional al valor de la asignación básica mensual del empleo que se encuentre desempeñando el servidor público que sea designado para ejercer la función de coordinación del grupo interno de trabajo creado por esta resolución en la Dirección General, previa la correspondiente aprobación de la conformación del grupo por parte de la Dirección de Gestión Humana, la disponibilidad presupuestal y el traslado de los dineros que para el efecto se soliciten a la Dirección Financiera.</w:t>
      </w:r>
    </w:p>
    <w:p w14:paraId="00000038" w14:textId="15F58C4C" w:rsidR="00545CC4" w:rsidRDefault="00000000">
      <w:pPr>
        <w:shd w:val="clear" w:color="auto" w:fill="FFFFFF"/>
        <w:spacing w:after="280" w:line="426" w:lineRule="auto"/>
        <w:jc w:val="both"/>
        <w:rPr>
          <w:rFonts w:ascii="Verdana" w:eastAsia="Verdana" w:hAnsi="Verdana" w:cs="Verdana"/>
          <w:highlight w:val="white"/>
        </w:rPr>
      </w:pPr>
      <w:r>
        <w:rPr>
          <w:rFonts w:ascii="Verdana" w:eastAsia="Verdana" w:hAnsi="Verdana" w:cs="Verdana"/>
          <w:b/>
          <w:bCs/>
          <w:highlight w:val="white"/>
        </w:rPr>
        <w:t>ARTÍCULO TERCERO.</w:t>
      </w:r>
      <w:r>
        <w:rPr>
          <w:rFonts w:ascii="Verdana" w:eastAsia="Verdana" w:hAnsi="Verdana" w:cs="Verdana"/>
          <w:highlight w:val="white"/>
        </w:rPr>
        <w:t xml:space="preserve"> La presente Resolución rige a partir de la fecha de su expedición.</w:t>
      </w:r>
    </w:p>
    <w:p w14:paraId="00000039" w14:textId="77777777" w:rsidR="00545CC4" w:rsidRDefault="00000000">
      <w:pPr>
        <w:shd w:val="clear" w:color="auto" w:fill="FFFFFF"/>
        <w:spacing w:after="280" w:line="426" w:lineRule="auto"/>
        <w:jc w:val="center"/>
        <w:rPr>
          <w:rFonts w:ascii="Verdana" w:eastAsia="Verdana" w:hAnsi="Verdana" w:cs="Verdana"/>
          <w:b/>
          <w:bCs/>
          <w:highlight w:val="white"/>
        </w:rPr>
      </w:pPr>
      <w:r>
        <w:rPr>
          <w:rFonts w:ascii="Verdana" w:eastAsia="Verdana" w:hAnsi="Verdana" w:cs="Verdana"/>
          <w:b/>
          <w:bCs/>
          <w:highlight w:val="white"/>
        </w:rPr>
        <w:t>COMUNÍQUESE Y CÚMPLASE</w:t>
      </w:r>
    </w:p>
    <w:p w14:paraId="0000003A" w14:textId="77777777" w:rsidR="00545CC4"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Dada en Bogotá D.C., a los 28 días de mayo de 2010</w:t>
      </w:r>
    </w:p>
    <w:p w14:paraId="0000003B" w14:textId="77777777" w:rsidR="00545CC4" w:rsidRDefault="00000000">
      <w:pPr>
        <w:shd w:val="clear" w:color="auto" w:fill="FFFFFF"/>
        <w:spacing w:after="280" w:line="426" w:lineRule="auto"/>
        <w:jc w:val="center"/>
        <w:rPr>
          <w:rFonts w:ascii="Verdana" w:eastAsia="Verdana" w:hAnsi="Verdana" w:cs="Verdana"/>
          <w:b/>
          <w:bCs/>
          <w:highlight w:val="white"/>
        </w:rPr>
      </w:pPr>
      <w:r>
        <w:rPr>
          <w:rFonts w:ascii="Verdana" w:eastAsia="Verdana" w:hAnsi="Verdana" w:cs="Verdana"/>
          <w:b/>
          <w:bCs/>
          <w:highlight w:val="white"/>
        </w:rPr>
        <w:lastRenderedPageBreak/>
        <w:t>ELVIRA FORERO HERNANDEZ</w:t>
      </w:r>
    </w:p>
    <w:p w14:paraId="0000003C" w14:textId="77777777" w:rsidR="00545CC4"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DIRECTORA GENERAL</w:t>
      </w:r>
    </w:p>
    <w:p w14:paraId="0000003D" w14:textId="77777777" w:rsidR="00545CC4" w:rsidRDefault="00545CC4">
      <w:pPr>
        <w:shd w:val="clear" w:color="auto" w:fill="FFFFFF"/>
        <w:spacing w:after="280" w:line="426" w:lineRule="auto"/>
        <w:jc w:val="center"/>
        <w:rPr>
          <w:rFonts w:ascii="Verdana" w:eastAsia="Verdana" w:hAnsi="Verdana" w:cs="Verdana"/>
          <w:highlight w:val="white"/>
        </w:rPr>
      </w:pPr>
    </w:p>
    <w:p w14:paraId="0000003E" w14:textId="77777777" w:rsidR="00545CC4" w:rsidRDefault="00545CC4">
      <w:pPr>
        <w:rPr>
          <w:rFonts w:ascii="Verdana" w:eastAsia="Verdana" w:hAnsi="Verdana" w:cs="Verdana"/>
        </w:rPr>
      </w:pPr>
    </w:p>
    <w:sectPr w:rsidR="00545CC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5E982430-245B-42F6-AB16-9A3E247FFCB3}"/>
    <w:embedBold r:id="rId2" w:fontKey="{363D3DFC-CCF4-4299-8C5E-2A87E973EA2B}"/>
    <w:embedItalic r:id="rId3" w:fontKey="{4B5016C7-D999-4E79-A4C0-6B5F63408845}"/>
  </w:font>
  <w:font w:name="Calibri">
    <w:panose1 w:val="020F0502020204030204"/>
    <w:charset w:val="00"/>
    <w:family w:val="swiss"/>
    <w:pitch w:val="variable"/>
    <w:sig w:usb0="E4002EFF" w:usb1="C200247B" w:usb2="00000009" w:usb3="00000000" w:csb0="000001FF" w:csb1="00000000"/>
    <w:embedRegular r:id="rId4" w:fontKey="{E4EE434B-30B7-4B30-A745-624B7E73D6F2}"/>
  </w:font>
  <w:font w:name="Cambria">
    <w:panose1 w:val="02040503050406030204"/>
    <w:charset w:val="00"/>
    <w:family w:val="roman"/>
    <w:pitch w:val="variable"/>
    <w:sig w:usb0="E00006FF" w:usb1="420024FF" w:usb2="02000000" w:usb3="00000000" w:csb0="0000019F" w:csb1="00000000"/>
    <w:embedRegular r:id="rId5" w:fontKey="{7B22716A-2038-40BF-9946-2141B548A8F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CC4"/>
    <w:rsid w:val="004D50F5"/>
    <w:rsid w:val="00545CC4"/>
    <w:rsid w:val="00571115"/>
    <w:rsid w:val="007F04C2"/>
    <w:rsid w:val="00DD014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A7D8A"/>
  <w15:docId w15:val="{3FB03DC6-CA97-4A4A-90E7-C8A09ED59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5F87CE-B552-4F96-BDC2-DD7141F75B97}"/>
</file>

<file path=customXml/itemProps2.xml><?xml version="1.0" encoding="utf-8"?>
<ds:datastoreItem xmlns:ds="http://schemas.openxmlformats.org/officeDocument/2006/customXml" ds:itemID="{2CD34681-4C56-4C1C-80F9-54A4932A9239}"/>
</file>

<file path=customXml/itemProps3.xml><?xml version="1.0" encoding="utf-8"?>
<ds:datastoreItem xmlns:ds="http://schemas.openxmlformats.org/officeDocument/2006/customXml" ds:itemID="{39A09BD9-4D00-42BA-96F7-4CBF22E35E42}"/>
</file>

<file path=docProps/app.xml><?xml version="1.0" encoding="utf-8"?>
<Properties xmlns="http://schemas.openxmlformats.org/officeDocument/2006/extended-properties" xmlns:vt="http://schemas.openxmlformats.org/officeDocument/2006/docPropsVTypes">
  <Template>Normal</Template>
  <TotalTime>2</TotalTime>
  <Pages>1</Pages>
  <Words>1486</Words>
  <Characters>8179</Characters>
  <Application>Microsoft Office Word</Application>
  <DocSecurity>0</DocSecurity>
  <Lines>68</Lines>
  <Paragraphs>19</Paragraphs>
  <ScaleCrop>false</ScaleCrop>
  <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2026-01-29T20:41:00Z</dcterms:created>
  <dcterms:modified xsi:type="dcterms:W3CDTF">2026-04-15T16:01:00Z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