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08C1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2166 DE 2010</w:t>
      </w:r>
    </w:p>
    <w:p w14:paraId="00000002" w14:textId="77777777" w:rsidR="00C708C1" w:rsidRPr="004E1A12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4E1A12">
        <w:rPr>
          <w:rFonts w:ascii="Verdana" w:eastAsia="Verdana" w:hAnsi="Verdana" w:cs="Verdana"/>
          <w:sz w:val="20"/>
          <w:szCs w:val="20"/>
        </w:rPr>
        <w:t>Fecha de Expedición: 27 de mayo de 2010</w:t>
      </w:r>
    </w:p>
    <w:p w14:paraId="00000003" w14:textId="77777777" w:rsidR="00C708C1" w:rsidRPr="004E1A12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4E1A12">
        <w:rPr>
          <w:rFonts w:ascii="Verdana" w:eastAsia="Verdana" w:hAnsi="Verdana" w:cs="Verdana"/>
          <w:sz w:val="20"/>
          <w:szCs w:val="20"/>
        </w:rPr>
        <w:t xml:space="preserve">Fecha de </w:t>
      </w:r>
      <w:proofErr w:type="gramStart"/>
      <w:r w:rsidRPr="004E1A12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4E1A12">
        <w:rPr>
          <w:rFonts w:ascii="Verdana" w:eastAsia="Verdana" w:hAnsi="Verdana" w:cs="Verdana"/>
          <w:sz w:val="20"/>
          <w:szCs w:val="20"/>
        </w:rPr>
        <w:t xml:space="preserve">: </w:t>
      </w:r>
      <w:r w:rsidRPr="004E1A12">
        <w:rPr>
          <w:rFonts w:ascii="Verdana" w:eastAsia="Verdana" w:hAnsi="Verdana" w:cs="Verdana"/>
          <w:sz w:val="20"/>
          <w:szCs w:val="20"/>
          <w:highlight w:val="white"/>
        </w:rPr>
        <w:t xml:space="preserve"> 3 de junio de 2010</w:t>
      </w:r>
    </w:p>
    <w:p w14:paraId="00000004" w14:textId="3984E62D" w:rsidR="00C708C1" w:rsidRPr="004E1A12" w:rsidRDefault="00000000">
      <w:pPr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4E1A12">
        <w:rPr>
          <w:rFonts w:ascii="Verdana" w:eastAsia="Verdana" w:hAnsi="Verdana" w:cs="Verdana"/>
          <w:sz w:val="20"/>
          <w:szCs w:val="20"/>
        </w:rPr>
        <w:t>Estado de la vigencia: Derogada</w:t>
      </w:r>
      <w:r w:rsidR="004E1A12" w:rsidRPr="004E1A12">
        <w:rPr>
          <w:rFonts w:ascii="Verdana" w:eastAsia="Verdana" w:hAnsi="Verdana" w:cs="Verdana"/>
          <w:sz w:val="20"/>
          <w:szCs w:val="20"/>
        </w:rPr>
        <w:t xml:space="preserve"> por el artículo 7 de la Resolución 9595 de 2012</w:t>
      </w:r>
    </w:p>
    <w:p w14:paraId="00000005" w14:textId="77777777" w:rsidR="00C708C1" w:rsidRPr="004E1A12" w:rsidRDefault="00C708C1">
      <w:pPr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00000006" w14:textId="77777777" w:rsidR="00C708C1" w:rsidRPr="004E1A12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4E1A12">
        <w:rPr>
          <w:rFonts w:ascii="Verdana" w:eastAsia="Verdana" w:hAnsi="Verdana" w:cs="Verdana"/>
          <w:sz w:val="20"/>
          <w:szCs w:val="20"/>
        </w:rPr>
        <w:t>Fecha de publicación en Diario Oficial:</w:t>
      </w:r>
      <w:r w:rsidRPr="004E1A12">
        <w:rPr>
          <w:rFonts w:ascii="Verdana" w:eastAsia="Verdana" w:hAnsi="Verdana" w:cs="Verdana"/>
          <w:sz w:val="20"/>
          <w:szCs w:val="20"/>
          <w:highlight w:val="white"/>
        </w:rPr>
        <w:t xml:space="preserve"> 3 de junio de 2010</w:t>
      </w:r>
    </w:p>
    <w:p w14:paraId="00000007" w14:textId="77777777" w:rsidR="00C708C1" w:rsidRPr="004E1A12" w:rsidRDefault="00000000">
      <w:pPr>
        <w:spacing w:line="240" w:lineRule="auto"/>
        <w:rPr>
          <w:rFonts w:ascii="Verdana" w:eastAsia="Verdana" w:hAnsi="Verdana" w:cs="Verdana"/>
          <w:sz w:val="20"/>
          <w:szCs w:val="20"/>
          <w:highlight w:val="white"/>
        </w:rPr>
      </w:pPr>
      <w:r w:rsidRPr="004E1A12">
        <w:rPr>
          <w:rFonts w:ascii="Verdana" w:eastAsia="Verdana" w:hAnsi="Verdana" w:cs="Verdana"/>
          <w:sz w:val="20"/>
          <w:szCs w:val="20"/>
        </w:rPr>
        <w:t>Número del Diario Oficial:</w:t>
      </w:r>
      <w:r w:rsidRPr="004E1A12">
        <w:rPr>
          <w:rFonts w:ascii="Verdana" w:eastAsia="Verdana" w:hAnsi="Verdana" w:cs="Verdana"/>
          <w:sz w:val="20"/>
          <w:szCs w:val="20"/>
          <w:highlight w:val="white"/>
        </w:rPr>
        <w:t xml:space="preserve"> 47.729 </w:t>
      </w:r>
    </w:p>
    <w:p w14:paraId="00000008" w14:textId="77777777" w:rsidR="00C708C1" w:rsidRDefault="00C708C1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C708C1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2166 2010</w:t>
      </w:r>
    </w:p>
    <w:p w14:paraId="0000000A" w14:textId="77777777" w:rsidR="00C708C1" w:rsidRDefault="00000000">
      <w:pPr>
        <w:spacing w:after="160" w:line="240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(27 de mayo)</w:t>
      </w:r>
    </w:p>
    <w:p w14:paraId="0000000B" w14:textId="77777777" w:rsidR="00C708C1" w:rsidRDefault="00000000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000000D" w14:textId="77777777" w:rsidR="00C708C1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Por la cual se estructura el Comité Interno </w:t>
      </w:r>
      <w:proofErr w:type="spellStart"/>
      <w:r>
        <w:rPr>
          <w:rFonts w:ascii="Verdana" w:eastAsia="Verdana" w:hAnsi="Verdana" w:cs="Verdana"/>
          <w:highlight w:val="white"/>
        </w:rPr>
        <w:t>Antitrámites</w:t>
      </w:r>
      <w:proofErr w:type="spellEnd"/>
      <w:r>
        <w:rPr>
          <w:rFonts w:ascii="Verdana" w:eastAsia="Verdana" w:hAnsi="Verdana" w:cs="Verdana"/>
          <w:highlight w:val="white"/>
        </w:rPr>
        <w:t>, Atención Efectiva al Ciudadano y Gobierno en Línea y se modifica una resolución.</w:t>
      </w:r>
    </w:p>
    <w:p w14:paraId="0000000E" w14:textId="77777777" w:rsidR="00C708C1" w:rsidRDefault="00000000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</w:t>
      </w:r>
    </w:p>
    <w:p w14:paraId="0000000F" w14:textId="19459A65" w:rsidR="00C708C1" w:rsidRDefault="00000000">
      <w:pPr>
        <w:shd w:val="clear" w:color="auto" w:fill="FFFFFF"/>
        <w:spacing w:after="280" w:line="426" w:lineRule="auto"/>
        <w:jc w:val="center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en uso de sus facultades constitucionales y legales, en especial las consagradas en el artículo </w:t>
      </w:r>
      <w:r w:rsidR="00C708C1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el artículo </w:t>
      </w:r>
      <w:r w:rsidR="00C708C1">
        <w:rPr>
          <w:rFonts w:ascii="Verdana" w:eastAsia="Verdana" w:hAnsi="Verdana" w:cs="Verdana"/>
          <w:highlight w:val="white"/>
        </w:rPr>
        <w:t>27</w:t>
      </w:r>
      <w:r>
        <w:rPr>
          <w:rFonts w:ascii="Verdana" w:eastAsia="Verdana" w:hAnsi="Verdana" w:cs="Verdana"/>
          <w:highlight w:val="white"/>
        </w:rPr>
        <w:t xml:space="preserve"> del Decreto 1138 de 1999 y el Decreto </w:t>
      </w:r>
      <w:r w:rsidR="00C708C1">
        <w:rPr>
          <w:rFonts w:ascii="Verdana" w:eastAsia="Verdana" w:hAnsi="Verdana" w:cs="Verdana"/>
          <w:highlight w:val="white"/>
        </w:rPr>
        <w:t>117</w:t>
      </w:r>
      <w:r>
        <w:rPr>
          <w:rFonts w:ascii="Verdana" w:eastAsia="Verdana" w:hAnsi="Verdana" w:cs="Verdana"/>
          <w:highlight w:val="white"/>
        </w:rPr>
        <w:t xml:space="preserve"> de 2010, y</w:t>
      </w:r>
    </w:p>
    <w:p w14:paraId="00000010" w14:textId="77777777" w:rsidR="00C708C1" w:rsidRDefault="00000000">
      <w:pPr>
        <w:shd w:val="clear" w:color="auto" w:fill="FFFFFF"/>
        <w:spacing w:after="280" w:line="426" w:lineRule="auto"/>
        <w:jc w:val="center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b/>
          <w:bCs/>
          <w:highlight w:val="white"/>
        </w:rPr>
        <w:t>CONSIDERACIONES</w:t>
      </w:r>
    </w:p>
    <w:p w14:paraId="00000011" w14:textId="15ECF1EE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C708C1">
        <w:rPr>
          <w:rFonts w:ascii="Verdana" w:eastAsia="Verdana" w:hAnsi="Verdana" w:cs="Verdana"/>
        </w:rPr>
        <w:t>209</w:t>
      </w:r>
      <w:r>
        <w:rPr>
          <w:rFonts w:ascii="Verdana" w:eastAsia="Verdana" w:hAnsi="Verdana" w:cs="Verdana"/>
        </w:rPr>
        <w:t xml:space="preserve"> de la Constitución Política establece que la función administrativa debe estar al servicio de los intereses generales y se desarrolla con fundamento en los principios de igualdad, moralidad, eficacia, economía, celeridad, imparcialidad y publicidad, mediante la descentralización, delegación y desconcentración de funciones.</w:t>
      </w:r>
    </w:p>
    <w:p w14:paraId="00000012" w14:textId="1DE42659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Resolución número </w:t>
      </w:r>
      <w:r w:rsidR="00C708C1">
        <w:rPr>
          <w:rFonts w:ascii="Verdana" w:eastAsia="Verdana" w:hAnsi="Verdana" w:cs="Verdana"/>
        </w:rPr>
        <w:t>3264</w:t>
      </w:r>
      <w:r>
        <w:rPr>
          <w:rFonts w:ascii="Verdana" w:eastAsia="Verdana" w:hAnsi="Verdana" w:cs="Verdana"/>
        </w:rPr>
        <w:t xml:space="preserve"> del 12 de agosto de 2009 creó el Comité Interno </w:t>
      </w:r>
      <w:proofErr w:type="spellStart"/>
      <w:r>
        <w:rPr>
          <w:rFonts w:ascii="Verdana" w:eastAsia="Verdana" w:hAnsi="Verdana" w:cs="Verdana"/>
        </w:rPr>
        <w:t>Antitrámites</w:t>
      </w:r>
      <w:proofErr w:type="spellEnd"/>
      <w:r>
        <w:rPr>
          <w:rFonts w:ascii="Verdana" w:eastAsia="Verdana" w:hAnsi="Verdana" w:cs="Verdana"/>
        </w:rPr>
        <w:t>, Atención Efectiva al Ciudadano y Gobierno en Línea, con el principal objetivo de velar por el cumplimiento de los criterios y lineamientos establecidos para la prestación del servicio al ciudadano en los niveles nacional, regional y zonal y garantizar la implementación del proceso de racionalización de trámites al interior del ICBF.</w:t>
      </w:r>
    </w:p>
    <w:p w14:paraId="00000013" w14:textId="1B5E4D63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Que el Decreto </w:t>
      </w:r>
      <w:r w:rsidR="00C708C1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del 21 de enero de 2010, </w:t>
      </w:r>
      <w:r>
        <w:rPr>
          <w:rFonts w:ascii="Verdana" w:eastAsia="Verdana" w:hAnsi="Verdana" w:cs="Verdana"/>
          <w:i/>
          <w:iCs/>
        </w:rPr>
        <w:t>por el cual se aprueba la estructura del Instituto Colombiano de Bienestar Familiar, Cecilia de la Fuente de Lleras y se determinan las funciones de sus dependencias</w:t>
      </w:r>
      <w:r>
        <w:rPr>
          <w:rFonts w:ascii="Verdana" w:eastAsia="Verdana" w:hAnsi="Verdana" w:cs="Verdana"/>
        </w:rPr>
        <w:t xml:space="preserve">, modificó la denominación de algunas de las que integran el Comité Interno </w:t>
      </w:r>
      <w:proofErr w:type="spellStart"/>
      <w:r>
        <w:rPr>
          <w:rFonts w:ascii="Verdana" w:eastAsia="Verdana" w:hAnsi="Verdana" w:cs="Verdana"/>
        </w:rPr>
        <w:t>Antitrámites</w:t>
      </w:r>
      <w:proofErr w:type="spellEnd"/>
      <w:r>
        <w:rPr>
          <w:rFonts w:ascii="Verdana" w:eastAsia="Verdana" w:hAnsi="Verdana" w:cs="Verdana"/>
        </w:rPr>
        <w:t>, Atención Efectiva al Ciudadano y Gobierno en Línea, por lo que se hace necesario ajustarlo con la nueva estructura.</w:t>
      </w:r>
    </w:p>
    <w:p w14:paraId="00000014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00000015" w14:textId="77777777" w:rsidR="00C708C1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6" w14:textId="508D4816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1o. OBJETO. </w:t>
      </w:r>
      <w:r>
        <w:rPr>
          <w:rFonts w:ascii="Verdana" w:eastAsia="Verdana" w:hAnsi="Verdana" w:cs="Verdana"/>
        </w:rPr>
        <w:t xml:space="preserve">En el Instituto Colombiano de Bienestar Familiar, Cecilia de la Fuente de Lleras (ICBF) continuará operando el Comité Interno </w:t>
      </w:r>
      <w:proofErr w:type="spellStart"/>
      <w:r>
        <w:rPr>
          <w:rFonts w:ascii="Verdana" w:eastAsia="Verdana" w:hAnsi="Verdana" w:cs="Verdana"/>
        </w:rPr>
        <w:t>Antitrámites</w:t>
      </w:r>
      <w:proofErr w:type="spellEnd"/>
      <w:r>
        <w:rPr>
          <w:rFonts w:ascii="Verdana" w:eastAsia="Verdana" w:hAnsi="Verdana" w:cs="Verdana"/>
        </w:rPr>
        <w:t xml:space="preserve">, Atención Efectiva al Ciudadano y Gobierno en Línea, creado mediante la Resolución número </w:t>
      </w:r>
      <w:r w:rsidR="00C708C1">
        <w:rPr>
          <w:rFonts w:ascii="Verdana" w:eastAsia="Verdana" w:hAnsi="Verdana" w:cs="Verdana"/>
        </w:rPr>
        <w:t>3264</w:t>
      </w:r>
      <w:r>
        <w:rPr>
          <w:rFonts w:ascii="Verdana" w:eastAsia="Verdana" w:hAnsi="Verdana" w:cs="Verdana"/>
        </w:rPr>
        <w:t xml:space="preserve"> del 12 de agosto de 2009, con el objeto de velar por el cumplimiento de los criterios y lineamientos establecidos para la prestación del servicio al ciudadano en los niveles nacional, regional y zonal y garantizar la implementación del proceso de racionalización de trámites al interior de la entidad.</w:t>
      </w:r>
    </w:p>
    <w:p w14:paraId="00000017" w14:textId="3393331E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 INTEGRACIÓN.</w:t>
      </w:r>
      <w:r>
        <w:rPr>
          <w:rFonts w:ascii="Verdana" w:eastAsia="Verdana" w:hAnsi="Verdana" w:cs="Verdana"/>
        </w:rPr>
        <w:t xml:space="preserve"> El Comité Interno </w:t>
      </w:r>
      <w:proofErr w:type="spellStart"/>
      <w:r>
        <w:rPr>
          <w:rFonts w:ascii="Verdana" w:eastAsia="Verdana" w:hAnsi="Verdana" w:cs="Verdana"/>
        </w:rPr>
        <w:t>Antitrámites</w:t>
      </w:r>
      <w:proofErr w:type="spellEnd"/>
      <w:r>
        <w:rPr>
          <w:rFonts w:ascii="Verdana" w:eastAsia="Verdana" w:hAnsi="Verdana" w:cs="Verdana"/>
        </w:rPr>
        <w:t>, Atención Efectiva al Ciudadano y Gobierno en Línea, estará conformado por los siguientes servidores públicos:</w:t>
      </w:r>
    </w:p>
    <w:p w14:paraId="00000018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Secretario General</w:t>
      </w:r>
      <w:proofErr w:type="gramEnd"/>
      <w:r>
        <w:rPr>
          <w:rFonts w:ascii="Verdana" w:eastAsia="Verdana" w:hAnsi="Verdana" w:cs="Verdana"/>
        </w:rPr>
        <w:t>, quien lo presidirá.</w:t>
      </w:r>
    </w:p>
    <w:p w14:paraId="00000019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Director</w:t>
      </w:r>
      <w:proofErr w:type="gramEnd"/>
      <w:r>
        <w:rPr>
          <w:rFonts w:ascii="Verdana" w:eastAsia="Verdana" w:hAnsi="Verdana" w:cs="Verdana"/>
        </w:rPr>
        <w:t xml:space="preserve"> de Planeación y Control de Gestión.</w:t>
      </w:r>
    </w:p>
    <w:p w14:paraId="0000001A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Subdirector de Mejoramiento Organizacional.</w:t>
      </w:r>
    </w:p>
    <w:p w14:paraId="0000001B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Sistemas Integrados de Información.</w:t>
      </w:r>
    </w:p>
    <w:p w14:paraId="0000001C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de Control Interno.</w:t>
      </w:r>
    </w:p>
    <w:p w14:paraId="0000001D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de Comunicaciones y Atención al Ciudadano.</w:t>
      </w:r>
    </w:p>
    <w:p w14:paraId="0000001E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Coordinador del Grupo Centro Nacional de Atención al Ciudadano.</w:t>
      </w:r>
    </w:p>
    <w:p w14:paraId="0000001F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PARÁGRAFO 1o.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Jurídica será invitado permanente del Comité.</w:t>
      </w:r>
    </w:p>
    <w:p w14:paraId="00000020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2o.</w:t>
      </w:r>
      <w:r>
        <w:rPr>
          <w:rFonts w:ascii="Verdana" w:eastAsia="Verdana" w:hAnsi="Verdana" w:cs="Verdana"/>
        </w:rPr>
        <w:t xml:space="preserve"> 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Mejoramiento Organizacional es el Coordinador del Sistema Único de Información de Trámites (SUIT) y del proceso de racionalización de trámites al interior de la entidad.</w:t>
      </w:r>
    </w:p>
    <w:p w14:paraId="00000021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PARÁGRAFO 3o.</w:t>
      </w:r>
      <w:r>
        <w:rPr>
          <w:rFonts w:ascii="Verdana" w:eastAsia="Verdana" w:hAnsi="Verdana" w:cs="Verdana"/>
        </w:rPr>
        <w:t xml:space="preserve"> 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de Control Interno es el responsable de realizar el seguimiento y verificación del cumplimiento del Plan de Acción de Racionalización de Trámites, y el Coordinador del Grupo Centro Nacional de Atención al Ciudadano es el responsable de la administración de los contenidos que la entidad reporte al Portal del Estado Colombiano (PEC).</w:t>
      </w:r>
    </w:p>
    <w:p w14:paraId="00000022" w14:textId="311CDE8A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 FUNCIONES.</w:t>
      </w:r>
      <w:r>
        <w:rPr>
          <w:rFonts w:ascii="Verdana" w:eastAsia="Verdana" w:hAnsi="Verdana" w:cs="Verdana"/>
        </w:rPr>
        <w:t xml:space="preserve"> Serán funciones del Comité Interno </w:t>
      </w:r>
      <w:proofErr w:type="spellStart"/>
      <w:r>
        <w:rPr>
          <w:rFonts w:ascii="Verdana" w:eastAsia="Verdana" w:hAnsi="Verdana" w:cs="Verdana"/>
        </w:rPr>
        <w:t>Antitrámites</w:t>
      </w:r>
      <w:proofErr w:type="spellEnd"/>
      <w:r>
        <w:rPr>
          <w:rFonts w:ascii="Verdana" w:eastAsia="Verdana" w:hAnsi="Verdana" w:cs="Verdana"/>
        </w:rPr>
        <w:t>, Atención Efectiva al Ciudadano y Gobierno en Línea:</w:t>
      </w:r>
    </w:p>
    <w:p w14:paraId="00000023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Definir y velar por el cumplimiento de la política de atención al ciudadano para el ICBF con el fin de lograr que la prestación de ese servicio sea integral, homogénea y estandarizada.</w:t>
      </w:r>
    </w:p>
    <w:p w14:paraId="00000024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Estandarizar los procesos de atención al ciudadano en los niveles nacional, regional y zonal.</w:t>
      </w:r>
    </w:p>
    <w:p w14:paraId="00000025" w14:textId="71B6F10E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3. Proponer los procesos y procedimientos que se deben seguir para dar respuesta a los ciudadanos de manera oportuna, humana y eficiente, cumpliendo con los postulados del artículo </w:t>
      </w:r>
      <w:r w:rsidR="00C708C1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2006.</w:t>
      </w:r>
    </w:p>
    <w:p w14:paraId="00000026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4. Definir las líneas de acción prioritarias para la atención al ciudadano que se desarrollarán en cada vigencia, en concordancia con las políticas, planes y programas establecidos por el Comité.</w:t>
      </w:r>
    </w:p>
    <w:p w14:paraId="00000027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Velar por que los mecanismos de evaluación, seguimiento y control de las acciones específicas del proceso de atención al ciudadano garanticen la oportunidad y calidad del servicio.</w:t>
      </w:r>
    </w:p>
    <w:p w14:paraId="00000028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6. Identificar, priorizar y apoyar las iniciativas en materia de servicio al ciudadano propuestas por las regionales y centros zonales, teniendo en cuenta los análisis y estudios presentados por las mismas.</w:t>
      </w:r>
    </w:p>
    <w:p w14:paraId="00000029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7. Aprobar mediante acto administrativo el Plan de Acción de Racionalización de Trámites de la entidad y liderar la implementación </w:t>
      </w:r>
      <w:proofErr w:type="gramStart"/>
      <w:r>
        <w:rPr>
          <w:rFonts w:ascii="Verdana" w:eastAsia="Verdana" w:hAnsi="Verdana" w:cs="Verdana"/>
        </w:rPr>
        <w:t>del mismo</w:t>
      </w:r>
      <w:proofErr w:type="gramEnd"/>
      <w:r>
        <w:rPr>
          <w:rFonts w:ascii="Verdana" w:eastAsia="Verdana" w:hAnsi="Verdana" w:cs="Verdana"/>
        </w:rPr>
        <w:t>, teniendo en cuenta las directrices del Departamento Administrativo de la Función Pública –DAFP–.</w:t>
      </w:r>
    </w:p>
    <w:p w14:paraId="0000002A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8. Aprobar la información que el ICBF reporte en el Sistema Único de Información de Trámites (SUIT), como módulo que permite a la ciudadanía consultar la información de los trámites de la administración pública, a través del Portal del Estado Colombiano (PEC).</w:t>
      </w:r>
    </w:p>
    <w:p w14:paraId="0000002B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9. Liderar, planear e impulsar la estrategia de Gobierno en Línea en la entidad.</w:t>
      </w:r>
    </w:p>
    <w:p w14:paraId="0000002C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10. Liderar, bajo los lineamientos de la estrategia de Gobierno en Línea, la elaboración del diagnóstico y seguimiento a su Plan de Acción en la entidad.</w:t>
      </w:r>
    </w:p>
    <w:p w14:paraId="0000002D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11. Identificar las barreras normativas para la provisión de trámites y servicios en línea y propender por levantarlas, de manera que estos puedan ser prestados por medios electrónicos.</w:t>
      </w:r>
    </w:p>
    <w:p w14:paraId="0000002E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12. Definir los lineamientos para la implementación efectiva de políticas y estándares asociados, como la actualización del sitio web, política de uso aceptable de los servicios de red y de Internet, política de servicio por medios electrónicos, </w:t>
      </w:r>
      <w:r>
        <w:rPr>
          <w:rFonts w:ascii="Verdana" w:eastAsia="Verdana" w:hAnsi="Verdana" w:cs="Verdana"/>
        </w:rPr>
        <w:lastRenderedPageBreak/>
        <w:t>política de privacidad y condiciones de uso y política de seguridad del sitio web, entre otros.</w:t>
      </w:r>
    </w:p>
    <w:p w14:paraId="0000002F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13. Definir e implementar el esquema de vinculación de la entidad a la intranet Gubernamental y cada uno de sus componentes.</w:t>
      </w:r>
    </w:p>
    <w:p w14:paraId="00000030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14. Definir y generar incentivos y estímulos para el uso de los servicios de Gobierno en Línea por parte de los ciudadanos, las empresas y la entidad.</w:t>
      </w:r>
    </w:p>
    <w:p w14:paraId="00000031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15. Garantizar la participación de funcionarios de la entidad en los procesos de generación de capacidades (sensibilización, capacitación y formación) que se desarrollen bajo el liderazgo de la institución responsable de coordinar la implementación de la estrategia de Gobierno en Línea.</w:t>
      </w:r>
    </w:p>
    <w:p w14:paraId="00000032" w14:textId="3B92296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4o. REUNIONES.</w:t>
      </w:r>
      <w:r>
        <w:rPr>
          <w:rFonts w:ascii="Verdana" w:eastAsia="Verdana" w:hAnsi="Verdana" w:cs="Verdana"/>
        </w:rPr>
        <w:t xml:space="preserve"> El Comité se reunirá en forma ordinaria por lo menos cada tres meses previa convocatoria del </w:t>
      </w:r>
      <w:proofErr w:type="gramStart"/>
      <w:r>
        <w:rPr>
          <w:rFonts w:ascii="Verdana" w:eastAsia="Verdana" w:hAnsi="Verdana" w:cs="Verdana"/>
        </w:rPr>
        <w:t>Secretario General</w:t>
      </w:r>
      <w:proofErr w:type="gramEnd"/>
      <w:r>
        <w:rPr>
          <w:rFonts w:ascii="Verdana" w:eastAsia="Verdana" w:hAnsi="Verdana" w:cs="Verdana"/>
        </w:rPr>
        <w:t xml:space="preserve"> por medio de la Secretaría Técnica, y en forma extraordinaria cada vez que así se requiera.</w:t>
      </w:r>
    </w:p>
    <w:p w14:paraId="00000033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PARÁGRAFO: A las sesiones del Comité podrán asistir otras personas en calidad de invitadas, cuando se considere pertinente.</w:t>
      </w:r>
    </w:p>
    <w:p w14:paraId="00000034" w14:textId="714B2304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5o. QUÓRUM. </w:t>
      </w:r>
      <w:r>
        <w:rPr>
          <w:rFonts w:ascii="Verdana" w:eastAsia="Verdana" w:hAnsi="Verdana" w:cs="Verdana"/>
        </w:rPr>
        <w:t xml:space="preserve">Se constituirá quórum </w:t>
      </w:r>
      <w:proofErr w:type="spellStart"/>
      <w:r>
        <w:rPr>
          <w:rFonts w:ascii="Verdana" w:eastAsia="Verdana" w:hAnsi="Verdana" w:cs="Verdana"/>
        </w:rPr>
        <w:t>deliberatorio</w:t>
      </w:r>
      <w:proofErr w:type="spellEnd"/>
      <w:r>
        <w:rPr>
          <w:rFonts w:ascii="Verdana" w:eastAsia="Verdana" w:hAnsi="Verdana" w:cs="Verdana"/>
        </w:rPr>
        <w:t xml:space="preserve"> con la participación de no menos de la mitad de los integrantes del Comité y las decisiones se adoptarán por mayoría simple de los asistentes.</w:t>
      </w:r>
    </w:p>
    <w:p w14:paraId="00000035" w14:textId="6A8B3F0C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6o. RESPONSABILIDADES ESPECIALES.</w:t>
      </w:r>
      <w:r>
        <w:rPr>
          <w:rFonts w:ascii="Verdana" w:eastAsia="Verdana" w:hAnsi="Verdana" w:cs="Verdana"/>
        </w:rPr>
        <w:t xml:space="preserve"> El </w:t>
      </w:r>
      <w:proofErr w:type="gramStart"/>
      <w:r>
        <w:rPr>
          <w:rFonts w:ascii="Verdana" w:eastAsia="Verdana" w:hAnsi="Verdana" w:cs="Verdana"/>
        </w:rPr>
        <w:t>Subdirector</w:t>
      </w:r>
      <w:proofErr w:type="gramEnd"/>
      <w:r>
        <w:rPr>
          <w:rFonts w:ascii="Verdana" w:eastAsia="Verdana" w:hAnsi="Verdana" w:cs="Verdana"/>
        </w:rPr>
        <w:t xml:space="preserve"> de Mejoramiento Organizacional, como responsable del reporte al SUIT, y el Coordinador del Grupo Centro Nacional de Atención al Ciudadano, como responsable del PEC, tendrán las siguientes funciones específicas:</w:t>
      </w:r>
    </w:p>
    <w:p w14:paraId="00000036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Subdirección de Mejoramiento Organizacional, como responsable del reporte SUIT:</w:t>
      </w:r>
    </w:p>
    <w:p w14:paraId="00000037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a) Actualizar e ingresar la información contenida en las hojas de vida de los trámites en el SUIT cuando haya cambios en los costos, lugares, etc., o cuando estos sean racionalizados.</w:t>
      </w:r>
    </w:p>
    <w:p w14:paraId="00000038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b) Implementar el desarrollo del conocimiento y destreza en el manejo del módulo de administración de trámites de la entidad en el SUIT.</w:t>
      </w:r>
    </w:p>
    <w:p w14:paraId="00000039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Coordinador del Grupo Centro Nacional de Atención al Ciudadano, como responsable del reporte al PEC:</w:t>
      </w:r>
    </w:p>
    <w:p w14:paraId="0000003A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a) Actualizar los datos de la entidad en cuanto a nombre, representante legal, dirección, teléfono, naturaleza jurídica, sigla/abreviatura, sitio web URL, clasificación orgánica, nivel sector, sedes, líneas de atención al ciudadano, otros sitios web, puntos de atención y clasificación temática de los contenidos.</w:t>
      </w:r>
    </w:p>
    <w:p w14:paraId="0000003B" w14:textId="7AFE8D1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7o. SECRETARÍA TÉCNICA.</w:t>
      </w:r>
      <w:r>
        <w:rPr>
          <w:rFonts w:ascii="Verdana" w:eastAsia="Verdana" w:hAnsi="Verdana" w:cs="Verdana"/>
        </w:rPr>
        <w:t xml:space="preserve"> La Secretaría Técnica del Comité estará a cargo del </w:t>
      </w:r>
      <w:proofErr w:type="gramStart"/>
      <w:r>
        <w:rPr>
          <w:rFonts w:ascii="Verdana" w:eastAsia="Verdana" w:hAnsi="Verdana" w:cs="Verdana"/>
        </w:rPr>
        <w:t>Jefe</w:t>
      </w:r>
      <w:proofErr w:type="gramEnd"/>
      <w:r>
        <w:rPr>
          <w:rFonts w:ascii="Verdana" w:eastAsia="Verdana" w:hAnsi="Verdana" w:cs="Verdana"/>
        </w:rPr>
        <w:t xml:space="preserve"> de la Oficina Asesora de Comunicaciones y Atención al Ciudadano, y cumplirá las siguientes funciones:</w:t>
      </w:r>
    </w:p>
    <w:p w14:paraId="0000003C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1. Citar a las sesiones ordinarias y extraordinarias, previa convocatoria de la Secretaría General.</w:t>
      </w:r>
    </w:p>
    <w:p w14:paraId="0000003D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2. Elaborar el orden del día de cada reunión.</w:t>
      </w:r>
    </w:p>
    <w:p w14:paraId="0000003E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3. Elaborar, suscribir y archivar las actas de cada sesión del Comité, los antecedentes y demás soportes documentales.</w:t>
      </w:r>
    </w:p>
    <w:p w14:paraId="0000003F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4. Coordinar el cumplimiento de las funciones del Comité en cada una de las líneas de acción.</w:t>
      </w:r>
    </w:p>
    <w:p w14:paraId="00000040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5. Verificar el cumplimiento de las decisiones adoptadas por el Comité en cada una de las líneas de acción.</w:t>
      </w:r>
    </w:p>
    <w:p w14:paraId="00000041" w14:textId="77777777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6. Las demás que le sean asignadas por el comité.</w:t>
      </w:r>
    </w:p>
    <w:p w14:paraId="00000042" w14:textId="5F78B0E8" w:rsidR="00C708C1" w:rsidRDefault="00000000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8o. VIGENCIA Y DEROGACIONES. </w:t>
      </w:r>
      <w:r>
        <w:rPr>
          <w:rFonts w:ascii="Verdana" w:eastAsia="Verdana" w:hAnsi="Verdana" w:cs="Verdana"/>
        </w:rPr>
        <w:t xml:space="preserve">[Resolución derogada por el artículo </w:t>
      </w:r>
      <w:r w:rsidR="00C708C1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9595 de 2012] La presente resolución rige a partir de la fecha de su publicación y deroga el Título IV de la Resolución número </w:t>
      </w:r>
      <w:r w:rsidR="00C708C1">
        <w:rPr>
          <w:rFonts w:ascii="Verdana" w:eastAsia="Verdana" w:hAnsi="Verdana" w:cs="Verdana"/>
        </w:rPr>
        <w:t>3264</w:t>
      </w:r>
      <w:r>
        <w:rPr>
          <w:rFonts w:ascii="Verdana" w:eastAsia="Verdana" w:hAnsi="Verdana" w:cs="Verdana"/>
        </w:rPr>
        <w:t xml:space="preserve"> del 12 de agosto de 2009 y las demás disposiciones que le sean contrarias.</w:t>
      </w:r>
    </w:p>
    <w:p w14:paraId="00000043" w14:textId="77777777" w:rsidR="00C708C1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00000044" w14:textId="77777777" w:rsidR="00C708C1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 C., a los 27 días de mayo de 2010</w:t>
      </w:r>
    </w:p>
    <w:p w14:paraId="00000045" w14:textId="77777777" w:rsidR="00C708C1" w:rsidRDefault="00000000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HERNÁNDEZ.</w:t>
      </w:r>
    </w:p>
    <w:p w14:paraId="00000046" w14:textId="77777777" w:rsidR="00C708C1" w:rsidRDefault="00000000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DIRECTORA GENERAL</w:t>
      </w:r>
    </w:p>
    <w:p w14:paraId="00000047" w14:textId="77777777" w:rsidR="00C708C1" w:rsidRDefault="00C708C1">
      <w:pPr>
        <w:spacing w:after="280" w:line="426" w:lineRule="auto"/>
        <w:jc w:val="center"/>
        <w:rPr>
          <w:rFonts w:ascii="Verdana" w:eastAsia="Verdana" w:hAnsi="Verdana" w:cs="Verdana"/>
        </w:rPr>
      </w:pPr>
    </w:p>
    <w:p w14:paraId="00000048" w14:textId="77777777" w:rsidR="00C708C1" w:rsidRDefault="00C708C1">
      <w:pPr>
        <w:rPr>
          <w:rFonts w:ascii="Verdana" w:eastAsia="Verdana" w:hAnsi="Verdana" w:cs="Verdana"/>
        </w:rPr>
      </w:pPr>
    </w:p>
    <w:sectPr w:rsidR="00C708C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AB6B18F-4881-45B5-873D-357D10B6FC44}"/>
    <w:embedBold r:id="rId2" w:fontKey="{63B14ACC-CC4B-4A60-BCCC-EAEEBFA04EA2}"/>
    <w:embedItalic r:id="rId3" w:fontKey="{A7B9B0D2-573B-46F9-9020-4FDABF8D93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CAFF33-3D58-4776-BCA4-5E70666ED8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F2F3A6-C803-4298-88E9-D881E9AC10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8C1"/>
    <w:rsid w:val="004E1A12"/>
    <w:rsid w:val="0055737B"/>
    <w:rsid w:val="00A112B2"/>
    <w:rsid w:val="00C708C1"/>
    <w:rsid w:val="00CE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E694E"/>
  <w15:docId w15:val="{DE8B0EE0-FD84-4436-8E3C-16222744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FFE54A-461E-4076-8A58-07AF74E7BAB9}"/>
</file>

<file path=customXml/itemProps2.xml><?xml version="1.0" encoding="utf-8"?>
<ds:datastoreItem xmlns:ds="http://schemas.openxmlformats.org/officeDocument/2006/customXml" ds:itemID="{83C4FE63-6A35-4041-8DFD-FB129508F89C}"/>
</file>

<file path=customXml/itemProps3.xml><?xml version="1.0" encoding="utf-8"?>
<ds:datastoreItem xmlns:ds="http://schemas.openxmlformats.org/officeDocument/2006/customXml" ds:itemID="{11C40AAF-02D6-4D9B-B07B-2D74F1C077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1475</Words>
  <Characters>8114</Characters>
  <Application>Microsoft Office Word</Application>
  <DocSecurity>0</DocSecurity>
  <Lines>67</Lines>
  <Paragraphs>19</Paragraphs>
  <ScaleCrop>false</ScaleCrop>
  <Company/>
  <LinksUpToDate>false</LinksUpToDate>
  <CharactersWithSpaces>9570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2026-01-29T20:36:00Z</dcterms:created>
  <dcterms:modified xsi:type="dcterms:W3CDTF">2026-04-15T15:59:00Z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