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0D92" w14:textId="1D43819D" w:rsidR="00D338E2" w:rsidRPr="00D338E2" w:rsidRDefault="00D338E2" w:rsidP="00D338E2">
      <w:pPr>
        <w:jc w:val="center"/>
        <w:rPr>
          <w:rFonts w:ascii="Verdana" w:hAnsi="Verdana"/>
          <w:b/>
          <w:bCs/>
          <w:sz w:val="22"/>
          <w:szCs w:val="22"/>
          <w:lang w:val="es-MX"/>
        </w:rPr>
      </w:pPr>
      <w:r w:rsidRPr="000008E2">
        <w:rPr>
          <w:rFonts w:ascii="Verdana" w:hAnsi="Verdana"/>
          <w:b/>
          <w:bCs/>
          <w:sz w:val="22"/>
          <w:szCs w:val="22"/>
          <w:lang w:val="es-MX"/>
        </w:rPr>
        <w:t>RESOLUCIÓN 21 DE 2010</w:t>
      </w:r>
    </w:p>
    <w:p w14:paraId="36D1DC52" w14:textId="1C6BD1B4" w:rsidR="009C2ED1" w:rsidRPr="009C2ED1" w:rsidRDefault="009C2ED1" w:rsidP="009C2ED1">
      <w:pPr>
        <w:pStyle w:val="Sinespaciado"/>
        <w:rPr>
          <w:rFonts w:ascii="Verdana" w:hAnsi="Verdana"/>
          <w:sz w:val="22"/>
          <w:szCs w:val="22"/>
          <w:lang w:val="es-MX"/>
        </w:rPr>
      </w:pPr>
      <w:r w:rsidRPr="009C2ED1">
        <w:rPr>
          <w:rFonts w:ascii="Verdana" w:hAnsi="Verdana"/>
          <w:sz w:val="22"/>
          <w:szCs w:val="22"/>
          <w:lang w:val="es-MX"/>
        </w:rPr>
        <w:t>Fecha de Expedición: 5 de enero de 2010</w:t>
      </w:r>
    </w:p>
    <w:p w14:paraId="4B31D61A" w14:textId="20E56BF8" w:rsidR="009C2ED1" w:rsidRPr="009C2ED1" w:rsidRDefault="009C2ED1" w:rsidP="009C2ED1">
      <w:pPr>
        <w:pStyle w:val="Sinespaciado"/>
        <w:rPr>
          <w:rFonts w:ascii="Verdana" w:hAnsi="Verdana"/>
          <w:sz w:val="22"/>
          <w:szCs w:val="22"/>
          <w:lang w:val="es-MX"/>
        </w:rPr>
      </w:pPr>
      <w:r w:rsidRPr="009C2ED1">
        <w:rPr>
          <w:rFonts w:ascii="Verdana" w:hAnsi="Verdana"/>
          <w:sz w:val="22"/>
          <w:szCs w:val="22"/>
          <w:lang w:val="es-MX"/>
        </w:rPr>
        <w:t>Fecha de entrada en vigencia: 5 de enero de 2010</w:t>
      </w:r>
    </w:p>
    <w:p w14:paraId="6BFF472E" w14:textId="6E6E84B1" w:rsidR="009C2ED1" w:rsidRPr="009C2ED1" w:rsidRDefault="009C2ED1" w:rsidP="009C2ED1">
      <w:pPr>
        <w:pStyle w:val="Sinespaciado"/>
        <w:rPr>
          <w:rFonts w:ascii="Verdana" w:hAnsi="Verdana"/>
          <w:sz w:val="22"/>
          <w:szCs w:val="22"/>
          <w:lang w:val="es-MX"/>
        </w:rPr>
      </w:pPr>
      <w:r w:rsidRPr="009C2ED1">
        <w:rPr>
          <w:rFonts w:ascii="Verdana" w:hAnsi="Verdana"/>
          <w:sz w:val="22"/>
          <w:szCs w:val="22"/>
          <w:lang w:val="es-MX"/>
        </w:rPr>
        <w:t>Estado de la vigencia: Vigente</w:t>
      </w:r>
    </w:p>
    <w:p w14:paraId="53F57BEE" w14:textId="77777777" w:rsidR="009C2ED1" w:rsidRDefault="009C2ED1" w:rsidP="009C2ED1">
      <w:pPr>
        <w:pStyle w:val="Sinespaciado"/>
        <w:rPr>
          <w:rFonts w:ascii="Verdana" w:hAnsi="Verdana"/>
          <w:sz w:val="22"/>
          <w:szCs w:val="22"/>
          <w:lang w:val="es-MX"/>
        </w:rPr>
      </w:pPr>
    </w:p>
    <w:p w14:paraId="3B5AA2CD" w14:textId="5FFEFB24" w:rsidR="009C2ED1" w:rsidRPr="009C2ED1" w:rsidRDefault="009C2ED1" w:rsidP="009C2ED1">
      <w:pPr>
        <w:pStyle w:val="Sinespaciado"/>
        <w:rPr>
          <w:rFonts w:ascii="Verdana" w:hAnsi="Verdana"/>
          <w:sz w:val="22"/>
          <w:szCs w:val="22"/>
          <w:lang w:val="es-MX"/>
        </w:rPr>
      </w:pPr>
      <w:r w:rsidRPr="009C2ED1">
        <w:rPr>
          <w:rFonts w:ascii="Verdana" w:hAnsi="Verdana"/>
          <w:sz w:val="22"/>
          <w:szCs w:val="22"/>
          <w:lang w:val="es-MX"/>
        </w:rPr>
        <w:t>Fecha de publicación en Diario Oficial: N/A</w:t>
      </w:r>
    </w:p>
    <w:p w14:paraId="35C036A5" w14:textId="1F246C50" w:rsidR="00C930E8" w:rsidRDefault="009C2ED1" w:rsidP="009C2ED1">
      <w:pPr>
        <w:pStyle w:val="Sinespaciado"/>
        <w:rPr>
          <w:rFonts w:ascii="Verdana" w:hAnsi="Verdana"/>
          <w:sz w:val="22"/>
          <w:szCs w:val="22"/>
          <w:lang w:val="es-MX"/>
        </w:rPr>
      </w:pPr>
      <w:r w:rsidRPr="009C2ED1">
        <w:rPr>
          <w:rFonts w:ascii="Verdana" w:hAnsi="Verdana"/>
          <w:sz w:val="22"/>
          <w:szCs w:val="22"/>
          <w:lang w:val="es-MX"/>
        </w:rPr>
        <w:t>Número del Diario Oficial: N/A</w:t>
      </w:r>
    </w:p>
    <w:p w14:paraId="785BA24E" w14:textId="77777777" w:rsidR="009C2ED1" w:rsidRDefault="009C2ED1" w:rsidP="009C2ED1">
      <w:pPr>
        <w:pStyle w:val="Sinespaciado"/>
        <w:rPr>
          <w:rFonts w:ascii="Verdana" w:hAnsi="Verdana"/>
          <w:sz w:val="22"/>
          <w:szCs w:val="22"/>
          <w:lang w:val="es-MX"/>
        </w:rPr>
      </w:pPr>
    </w:p>
    <w:p w14:paraId="25D30207" w14:textId="77777777" w:rsidR="009C2ED1" w:rsidRDefault="009C2ED1" w:rsidP="009C2ED1">
      <w:pPr>
        <w:pStyle w:val="Sinespaciado"/>
        <w:rPr>
          <w:rFonts w:ascii="Verdana" w:hAnsi="Verdana"/>
          <w:sz w:val="22"/>
          <w:szCs w:val="22"/>
          <w:lang w:val="es-MX"/>
        </w:rPr>
      </w:pPr>
      <w:r w:rsidRPr="009C2ED1">
        <w:rPr>
          <w:rFonts w:ascii="Verdana" w:hAnsi="Verdana"/>
          <w:sz w:val="22"/>
          <w:szCs w:val="22"/>
          <w:lang w:val="es-MX"/>
        </w:rPr>
        <w:t xml:space="preserve">Notas: Lineamientos modificados por la Resolución 5781 de 2010; Lineamientos modificados por la Resolución 5750 de 2010; Lineamientos modificados por la Resolución 2684 de 2010; Resolución modificada por la Resolución 855 de 19 de febrero de 2010. </w:t>
      </w:r>
      <w:r w:rsidRPr="009C2ED1">
        <w:rPr>
          <w:rFonts w:ascii="Verdana" w:hAnsi="Verdana"/>
          <w:sz w:val="22"/>
          <w:szCs w:val="22"/>
          <w:lang w:val="es-MX"/>
        </w:rPr>
        <w:tab/>
      </w:r>
    </w:p>
    <w:p w14:paraId="0D14A7B1" w14:textId="77777777" w:rsidR="009C2ED1" w:rsidRPr="009C2ED1" w:rsidRDefault="009C2ED1" w:rsidP="009C2ED1">
      <w:pPr>
        <w:pStyle w:val="Sinespaciado"/>
        <w:rPr>
          <w:rFonts w:ascii="Verdana" w:hAnsi="Verdana"/>
          <w:sz w:val="22"/>
          <w:szCs w:val="22"/>
          <w:lang w:val="es-MX"/>
        </w:rPr>
      </w:pPr>
    </w:p>
    <w:p w14:paraId="4207C79C" w14:textId="72DFDBE0" w:rsidR="003658B2" w:rsidRPr="000008E2" w:rsidRDefault="003658B2" w:rsidP="000008E2">
      <w:pPr>
        <w:jc w:val="center"/>
        <w:rPr>
          <w:rFonts w:ascii="Verdana" w:hAnsi="Verdana"/>
          <w:b/>
          <w:bCs/>
          <w:sz w:val="22"/>
          <w:szCs w:val="22"/>
          <w:lang w:val="es-MX"/>
        </w:rPr>
      </w:pPr>
      <w:r w:rsidRPr="000008E2">
        <w:rPr>
          <w:rFonts w:ascii="Verdana" w:hAnsi="Verdana"/>
          <w:b/>
          <w:bCs/>
          <w:sz w:val="22"/>
          <w:szCs w:val="22"/>
          <w:lang w:val="es-MX"/>
        </w:rPr>
        <w:t>RESOLUCIÓN 21 DE 2010</w:t>
      </w:r>
    </w:p>
    <w:p w14:paraId="3F818D01" w14:textId="44DA0A24" w:rsidR="003658B2" w:rsidRPr="000008E2" w:rsidRDefault="003658B2" w:rsidP="000008E2">
      <w:pPr>
        <w:jc w:val="center"/>
        <w:rPr>
          <w:rFonts w:ascii="Verdana" w:hAnsi="Verdana"/>
          <w:b/>
          <w:bCs/>
          <w:sz w:val="22"/>
          <w:szCs w:val="22"/>
          <w:lang w:val="es-MX"/>
        </w:rPr>
      </w:pPr>
      <w:r w:rsidRPr="000008E2">
        <w:rPr>
          <w:rFonts w:ascii="Verdana" w:hAnsi="Verdana"/>
          <w:b/>
          <w:bCs/>
          <w:sz w:val="22"/>
          <w:szCs w:val="22"/>
          <w:lang w:val="es-MX"/>
        </w:rPr>
        <w:t>(</w:t>
      </w:r>
      <w:r w:rsidR="000008E2">
        <w:rPr>
          <w:rFonts w:ascii="Verdana" w:hAnsi="Verdana"/>
          <w:b/>
          <w:bCs/>
          <w:sz w:val="22"/>
          <w:szCs w:val="22"/>
          <w:lang w:val="es-MX"/>
        </w:rPr>
        <w:t xml:space="preserve">5 de </w:t>
      </w:r>
      <w:r w:rsidRPr="000008E2">
        <w:rPr>
          <w:rFonts w:ascii="Verdana" w:hAnsi="Verdana"/>
          <w:b/>
          <w:bCs/>
          <w:sz w:val="22"/>
          <w:szCs w:val="22"/>
          <w:lang w:val="es-MX"/>
        </w:rPr>
        <w:t>enero)</w:t>
      </w:r>
    </w:p>
    <w:p w14:paraId="104CE5EE" w14:textId="2B67EEE8" w:rsidR="003658B2" w:rsidRPr="000008E2" w:rsidRDefault="003658B2" w:rsidP="000008E2">
      <w:pPr>
        <w:jc w:val="center"/>
        <w:rPr>
          <w:rFonts w:ascii="Verdana" w:hAnsi="Verdana"/>
          <w:b/>
          <w:bCs/>
          <w:sz w:val="22"/>
          <w:szCs w:val="22"/>
          <w:lang w:val="es-MX"/>
        </w:rPr>
      </w:pPr>
      <w:r w:rsidRPr="000008E2">
        <w:rPr>
          <w:rFonts w:ascii="Verdana" w:hAnsi="Verdana"/>
          <w:b/>
          <w:bCs/>
          <w:sz w:val="22"/>
          <w:szCs w:val="22"/>
          <w:lang w:val="es-MX"/>
        </w:rPr>
        <w:t>INSTITUTO COLOMBIANO DE BIENESTAR FAMILIAR – ICBF</w:t>
      </w:r>
    </w:p>
    <w:p w14:paraId="72FB0797" w14:textId="5BC178AE" w:rsidR="003658B2" w:rsidRPr="000008E2" w:rsidRDefault="003658B2" w:rsidP="000008E2">
      <w:pPr>
        <w:jc w:val="center"/>
        <w:rPr>
          <w:rFonts w:ascii="Verdana" w:hAnsi="Verdana"/>
          <w:sz w:val="22"/>
          <w:szCs w:val="22"/>
          <w:lang w:val="es-MX"/>
        </w:rPr>
      </w:pPr>
      <w:r w:rsidRPr="000008E2">
        <w:rPr>
          <w:rFonts w:ascii="Verdana" w:hAnsi="Verdana"/>
          <w:sz w:val="22"/>
          <w:szCs w:val="22"/>
          <w:lang w:val="es-MX"/>
        </w:rPr>
        <w:t>"Por el cual se aprueban los Lineamientos de Programación y Ejecución, de Metas Sociales y Financieras del Instituto Colombiano de Bienestar Familiar"</w:t>
      </w:r>
    </w:p>
    <w:p w14:paraId="73D756B7" w14:textId="6CFCA377" w:rsidR="003658B2" w:rsidRPr="000008E2" w:rsidRDefault="003658B2" w:rsidP="000008E2">
      <w:pPr>
        <w:jc w:val="center"/>
        <w:rPr>
          <w:rFonts w:ascii="Verdana" w:hAnsi="Verdana"/>
          <w:b/>
          <w:bCs/>
          <w:sz w:val="22"/>
          <w:szCs w:val="22"/>
          <w:lang w:val="es-MX"/>
        </w:rPr>
      </w:pPr>
      <w:r w:rsidRPr="000008E2">
        <w:rPr>
          <w:rFonts w:ascii="Verdana" w:hAnsi="Verdana"/>
          <w:b/>
          <w:bCs/>
          <w:sz w:val="22"/>
          <w:szCs w:val="22"/>
          <w:lang w:val="es-MX"/>
        </w:rPr>
        <w:t>LA DIRECTORA GENERAL DEL INSTITUTO COLOMBIANO DE BIENESTAR</w:t>
      </w:r>
      <w:r w:rsidR="000008E2" w:rsidRPr="000008E2">
        <w:rPr>
          <w:rFonts w:ascii="Verdana" w:hAnsi="Verdana"/>
          <w:b/>
          <w:bCs/>
          <w:sz w:val="22"/>
          <w:szCs w:val="22"/>
          <w:lang w:val="es-MX"/>
        </w:rPr>
        <w:t xml:space="preserve"> </w:t>
      </w:r>
      <w:r w:rsidRPr="000008E2">
        <w:rPr>
          <w:rFonts w:ascii="Verdana" w:hAnsi="Verdana"/>
          <w:b/>
          <w:bCs/>
          <w:sz w:val="22"/>
          <w:szCs w:val="22"/>
          <w:lang w:val="es-MX"/>
        </w:rPr>
        <w:t>FAMILIAR</w:t>
      </w:r>
    </w:p>
    <w:p w14:paraId="0D473D2D" w14:textId="05E68963" w:rsidR="003658B2" w:rsidRPr="000008E2" w:rsidRDefault="003658B2" w:rsidP="000008E2">
      <w:pPr>
        <w:jc w:val="center"/>
        <w:rPr>
          <w:rFonts w:ascii="Verdana" w:hAnsi="Verdana"/>
          <w:sz w:val="22"/>
          <w:szCs w:val="22"/>
          <w:lang w:val="es-MX"/>
        </w:rPr>
      </w:pPr>
      <w:r w:rsidRPr="000008E2">
        <w:rPr>
          <w:rFonts w:ascii="Verdana" w:hAnsi="Verdana"/>
          <w:sz w:val="22"/>
          <w:szCs w:val="22"/>
          <w:lang w:val="es-MX"/>
        </w:rPr>
        <w:t>En uso de sus facultades legales y en especial las que confiere el numeral 4o del artículo veintiuno de la ley 7ª de 1979.</w:t>
      </w:r>
    </w:p>
    <w:p w14:paraId="5B7EC7E2" w14:textId="7037D411" w:rsidR="003658B2" w:rsidRPr="000008E2" w:rsidRDefault="003658B2" w:rsidP="000008E2">
      <w:pPr>
        <w:jc w:val="center"/>
        <w:rPr>
          <w:rFonts w:ascii="Verdana" w:hAnsi="Verdana"/>
          <w:b/>
          <w:bCs/>
          <w:sz w:val="22"/>
          <w:szCs w:val="22"/>
          <w:lang w:val="es-MX"/>
        </w:rPr>
      </w:pPr>
      <w:r w:rsidRPr="000008E2">
        <w:rPr>
          <w:rFonts w:ascii="Verdana" w:hAnsi="Verdana"/>
          <w:b/>
          <w:bCs/>
          <w:sz w:val="22"/>
          <w:szCs w:val="22"/>
          <w:lang w:val="es-MX"/>
        </w:rPr>
        <w:t>CONSIDERANDO:</w:t>
      </w:r>
    </w:p>
    <w:p w14:paraId="5646AC77" w14:textId="6998B20F" w:rsidR="003658B2" w:rsidRPr="000008E2" w:rsidRDefault="003658B2" w:rsidP="000008E2">
      <w:pPr>
        <w:pStyle w:val="Prrafodelista"/>
        <w:numPr>
          <w:ilvl w:val="0"/>
          <w:numId w:val="1"/>
        </w:numPr>
        <w:jc w:val="both"/>
        <w:rPr>
          <w:rFonts w:ascii="Verdana" w:hAnsi="Verdana"/>
          <w:sz w:val="22"/>
          <w:szCs w:val="22"/>
          <w:lang w:val="es-MX"/>
        </w:rPr>
      </w:pPr>
      <w:r w:rsidRPr="000008E2">
        <w:rPr>
          <w:rFonts w:ascii="Verdana" w:hAnsi="Verdana"/>
          <w:sz w:val="22"/>
          <w:szCs w:val="22"/>
          <w:lang w:val="es-MX"/>
        </w:rPr>
        <w:t>Que de conformidad con las funciones establecidas en el Decreto 3264 de 30 de diciembre de 2002, es función de la Dirección de Planeación a través de la Subdirección de Programación, elaborar en coordinación con las dependencias involucradas los lineamientos de Programación, seguimiento y evaluación de las metas sociales y financieras, las cuales serán la base para la focalización y la asignación presupuestal por nivel territorial.</w:t>
      </w:r>
    </w:p>
    <w:p w14:paraId="43CA4AA4" w14:textId="0D152476" w:rsidR="003658B2" w:rsidRPr="000008E2" w:rsidRDefault="003658B2" w:rsidP="000008E2">
      <w:pPr>
        <w:pStyle w:val="Prrafodelista"/>
        <w:numPr>
          <w:ilvl w:val="0"/>
          <w:numId w:val="1"/>
        </w:numPr>
        <w:jc w:val="both"/>
        <w:rPr>
          <w:rFonts w:ascii="Verdana" w:hAnsi="Verdana"/>
          <w:sz w:val="22"/>
          <w:szCs w:val="22"/>
          <w:lang w:val="es-MX"/>
        </w:rPr>
      </w:pPr>
      <w:r w:rsidRPr="000008E2">
        <w:rPr>
          <w:rFonts w:ascii="Verdana" w:hAnsi="Verdana"/>
          <w:sz w:val="22"/>
          <w:szCs w:val="22"/>
          <w:lang w:val="es-MX"/>
        </w:rPr>
        <w:t>Que de conformidad con las funciones establecidas en el Decreto 3624 del 30 de Diciembre de 2002, es función de la Subdirección de Programación, coordinar la elaboración de la programación anual de las metas sociales y financieras, y asistir a las regionales y seccionales para que realicen este proceso.</w:t>
      </w:r>
    </w:p>
    <w:p w14:paraId="4BECA97A" w14:textId="0F51C20B" w:rsidR="003658B2" w:rsidRPr="00D338E2" w:rsidRDefault="003658B2" w:rsidP="000008E2">
      <w:pPr>
        <w:pStyle w:val="Prrafodelista"/>
        <w:numPr>
          <w:ilvl w:val="0"/>
          <w:numId w:val="1"/>
        </w:numPr>
        <w:jc w:val="both"/>
        <w:rPr>
          <w:rFonts w:ascii="Verdana" w:hAnsi="Verdana"/>
          <w:sz w:val="22"/>
          <w:szCs w:val="22"/>
          <w:lang w:val="es-MX"/>
        </w:rPr>
      </w:pPr>
      <w:r w:rsidRPr="000008E2">
        <w:rPr>
          <w:rFonts w:ascii="Verdana" w:hAnsi="Verdana"/>
          <w:sz w:val="22"/>
          <w:szCs w:val="22"/>
          <w:lang w:val="es-MX"/>
        </w:rPr>
        <w:t xml:space="preserve">Que de conformidad con las funciones establecidas en el Decreto 3264 del 30 de Diciembre de 2002, es función de la Dirección Técnica orientar la formulación y desarrollo de lineamientos técnicos y estándares para los </w:t>
      </w:r>
      <w:r w:rsidRPr="000008E2">
        <w:rPr>
          <w:rFonts w:ascii="Verdana" w:hAnsi="Verdana"/>
          <w:sz w:val="22"/>
          <w:szCs w:val="22"/>
          <w:lang w:val="es-MX"/>
        </w:rPr>
        <w:lastRenderedPageBreak/>
        <w:t>servicios como fundamento para la formulación de los Lineamientos de Programación.</w:t>
      </w:r>
    </w:p>
    <w:p w14:paraId="021DB4E6" w14:textId="0C587D20" w:rsidR="003658B2" w:rsidRPr="000008E2" w:rsidRDefault="003658B2" w:rsidP="000008E2">
      <w:pPr>
        <w:pStyle w:val="Prrafodelista"/>
        <w:numPr>
          <w:ilvl w:val="0"/>
          <w:numId w:val="1"/>
        </w:numPr>
        <w:jc w:val="both"/>
        <w:rPr>
          <w:rFonts w:ascii="Verdana" w:hAnsi="Verdana"/>
          <w:sz w:val="22"/>
          <w:szCs w:val="22"/>
          <w:lang w:val="es-MX"/>
        </w:rPr>
      </w:pPr>
      <w:r w:rsidRPr="000008E2">
        <w:rPr>
          <w:rFonts w:ascii="Verdana" w:hAnsi="Verdana"/>
          <w:sz w:val="22"/>
          <w:szCs w:val="22"/>
          <w:lang w:val="es-MX"/>
        </w:rPr>
        <w:t>Que es necesario establecer en el nivel nacional, los "Lineamientos de Programación y Ejecución de Metas Sociales y Financieras", los cuales precisan los objetivos criterios y parámetros para la programación y ejecución de las distintas modalidades de atención del servicio Público de Bienestar Familiar financiados con recursos apropiados del presupuesto de la entidad en el Decreto de Liquidación del Presupuesto General de la Nación.</w:t>
      </w:r>
    </w:p>
    <w:p w14:paraId="0BB17FAF" w14:textId="77777777" w:rsidR="000008E2" w:rsidRPr="000008E2" w:rsidRDefault="003658B2" w:rsidP="000008E2">
      <w:pPr>
        <w:pStyle w:val="Prrafodelista"/>
        <w:numPr>
          <w:ilvl w:val="0"/>
          <w:numId w:val="1"/>
        </w:numPr>
        <w:jc w:val="both"/>
        <w:rPr>
          <w:rFonts w:ascii="Verdana" w:hAnsi="Verdana"/>
          <w:sz w:val="22"/>
          <w:szCs w:val="22"/>
          <w:lang w:val="es-MX"/>
        </w:rPr>
      </w:pPr>
      <w:r w:rsidRPr="000008E2">
        <w:rPr>
          <w:rFonts w:ascii="Verdana" w:hAnsi="Verdana"/>
          <w:sz w:val="22"/>
          <w:szCs w:val="22"/>
          <w:lang w:val="es-MX"/>
        </w:rPr>
        <w:t>En concordancia con lo anterior,</w:t>
      </w:r>
    </w:p>
    <w:p w14:paraId="32274717" w14:textId="223919A3" w:rsidR="003658B2" w:rsidRPr="000008E2" w:rsidRDefault="003658B2" w:rsidP="000008E2">
      <w:pPr>
        <w:jc w:val="center"/>
        <w:rPr>
          <w:rFonts w:ascii="Verdana" w:hAnsi="Verdana"/>
          <w:b/>
          <w:bCs/>
          <w:sz w:val="22"/>
          <w:szCs w:val="22"/>
          <w:lang w:val="es-MX"/>
        </w:rPr>
      </w:pPr>
      <w:r w:rsidRPr="000008E2">
        <w:rPr>
          <w:rFonts w:ascii="Verdana" w:hAnsi="Verdana"/>
          <w:b/>
          <w:bCs/>
          <w:sz w:val="22"/>
          <w:szCs w:val="22"/>
          <w:lang w:val="es-MX"/>
        </w:rPr>
        <w:t>RESUELVE:</w:t>
      </w:r>
    </w:p>
    <w:p w14:paraId="27DF16E6" w14:textId="35220AAD" w:rsidR="003658B2" w:rsidRPr="000008E2" w:rsidRDefault="003658B2" w:rsidP="000008E2">
      <w:pPr>
        <w:jc w:val="both"/>
        <w:rPr>
          <w:rFonts w:ascii="Verdana" w:hAnsi="Verdana"/>
          <w:sz w:val="22"/>
          <w:szCs w:val="22"/>
          <w:lang w:val="es-MX"/>
        </w:rPr>
      </w:pPr>
      <w:r w:rsidRPr="000008E2">
        <w:rPr>
          <w:rFonts w:ascii="Verdana" w:hAnsi="Verdana"/>
          <w:b/>
          <w:bCs/>
          <w:sz w:val="22"/>
          <w:szCs w:val="22"/>
          <w:lang w:val="es-MX"/>
        </w:rPr>
        <w:t>ARTÍCULO 1o.</w:t>
      </w:r>
      <w:r w:rsidRPr="000008E2">
        <w:rPr>
          <w:rFonts w:ascii="Verdana" w:hAnsi="Verdana"/>
          <w:sz w:val="22"/>
          <w:szCs w:val="22"/>
          <w:lang w:val="es-MX"/>
        </w:rPr>
        <w:t xml:space="preserve"> Aprobar los "Lineamientos de Programación y Ejecución de Metas Sociales y Financieras - Vigencia 2010", a ser aplicados en la operación de las diferentes modalidades de atención del Servicio Público de Bienestar Familiar, los cuales forman parte integral de la presente resolución.</w:t>
      </w:r>
    </w:p>
    <w:p w14:paraId="0487FF0C" w14:textId="77777777" w:rsidR="003658B2" w:rsidRPr="000008E2" w:rsidRDefault="003658B2" w:rsidP="000008E2">
      <w:pPr>
        <w:jc w:val="both"/>
        <w:rPr>
          <w:rFonts w:ascii="Verdana" w:hAnsi="Verdana"/>
          <w:sz w:val="22"/>
          <w:szCs w:val="22"/>
          <w:lang w:val="es-MX"/>
        </w:rPr>
      </w:pPr>
      <w:r w:rsidRPr="000008E2">
        <w:rPr>
          <w:rFonts w:ascii="Verdana" w:hAnsi="Verdana"/>
          <w:b/>
          <w:bCs/>
          <w:sz w:val="22"/>
          <w:szCs w:val="22"/>
          <w:lang w:val="es-MX"/>
        </w:rPr>
        <w:t>ARTÍCULO 2o.</w:t>
      </w:r>
      <w:r w:rsidRPr="000008E2">
        <w:rPr>
          <w:rFonts w:ascii="Verdana" w:hAnsi="Verdana"/>
          <w:sz w:val="22"/>
          <w:szCs w:val="22"/>
          <w:lang w:val="es-MX"/>
        </w:rPr>
        <w:t xml:space="preserve"> Cualquier modificación, adicional, o ajuste a los Lineamientos de Programación deberá contar con el análisis de viabilidad técnica y presupuestal emitido por la respectiva Dirección responsable del proyecto y con el aval de la Subdirección de Programación de la Dirección de Planeación*, y adoptada mediante Resolución.</w:t>
      </w:r>
    </w:p>
    <w:p w14:paraId="014F9015" w14:textId="5FE83F94" w:rsidR="003658B2" w:rsidRPr="000008E2" w:rsidRDefault="003658B2" w:rsidP="000008E2">
      <w:pPr>
        <w:jc w:val="both"/>
        <w:rPr>
          <w:rFonts w:ascii="Verdana" w:hAnsi="Verdana"/>
          <w:sz w:val="22"/>
          <w:szCs w:val="22"/>
          <w:lang w:val="es-MX"/>
        </w:rPr>
      </w:pPr>
      <w:r w:rsidRPr="000008E2">
        <w:rPr>
          <w:rFonts w:ascii="Verdana" w:hAnsi="Verdana"/>
          <w:b/>
          <w:bCs/>
          <w:sz w:val="22"/>
          <w:szCs w:val="22"/>
          <w:lang w:val="es-MX"/>
        </w:rPr>
        <w:t>ARTÍCULO 3o.</w:t>
      </w:r>
      <w:r w:rsidRPr="000008E2">
        <w:rPr>
          <w:rFonts w:ascii="Verdana" w:hAnsi="Verdana"/>
          <w:sz w:val="22"/>
          <w:szCs w:val="22"/>
          <w:lang w:val="es-MX"/>
        </w:rPr>
        <w:t xml:space="preserve"> La presente resolución rige a partir de la fecha de su expedición.</w:t>
      </w:r>
    </w:p>
    <w:p w14:paraId="64573098" w14:textId="24939163" w:rsidR="003658B2" w:rsidRPr="000008E2" w:rsidRDefault="003658B2" w:rsidP="000008E2">
      <w:pPr>
        <w:jc w:val="center"/>
        <w:rPr>
          <w:rFonts w:ascii="Verdana" w:hAnsi="Verdana"/>
          <w:b/>
          <w:bCs/>
          <w:sz w:val="22"/>
          <w:szCs w:val="22"/>
          <w:lang w:val="es-MX"/>
        </w:rPr>
      </w:pPr>
      <w:r w:rsidRPr="000008E2">
        <w:rPr>
          <w:rFonts w:ascii="Verdana" w:hAnsi="Verdana"/>
          <w:b/>
          <w:bCs/>
          <w:sz w:val="22"/>
          <w:szCs w:val="22"/>
          <w:lang w:val="es-MX"/>
        </w:rPr>
        <w:t>COMUNIQUESE Y CUMPLASE</w:t>
      </w:r>
      <w:r w:rsidR="000008E2" w:rsidRPr="000008E2">
        <w:rPr>
          <w:rFonts w:ascii="Verdana" w:hAnsi="Verdana"/>
          <w:b/>
          <w:bCs/>
          <w:sz w:val="22"/>
          <w:szCs w:val="22"/>
          <w:lang w:val="es-MX"/>
        </w:rPr>
        <w:t>,</w:t>
      </w:r>
    </w:p>
    <w:p w14:paraId="3D432A9B" w14:textId="58C243B5" w:rsidR="003658B2" w:rsidRPr="000008E2" w:rsidRDefault="003658B2" w:rsidP="000008E2">
      <w:pPr>
        <w:jc w:val="center"/>
        <w:rPr>
          <w:rFonts w:ascii="Verdana" w:hAnsi="Verdana"/>
          <w:sz w:val="22"/>
          <w:szCs w:val="22"/>
          <w:lang w:val="es-MX"/>
        </w:rPr>
      </w:pPr>
      <w:r w:rsidRPr="000008E2">
        <w:rPr>
          <w:rFonts w:ascii="Verdana" w:hAnsi="Verdana"/>
          <w:sz w:val="22"/>
          <w:szCs w:val="22"/>
          <w:lang w:val="es-MX"/>
        </w:rPr>
        <w:t xml:space="preserve">Dada en Bogotá D.C. a los </w:t>
      </w:r>
      <w:r w:rsidR="000008E2">
        <w:rPr>
          <w:rFonts w:ascii="Verdana" w:hAnsi="Verdana"/>
          <w:sz w:val="22"/>
          <w:szCs w:val="22"/>
          <w:lang w:val="es-MX"/>
        </w:rPr>
        <w:t>5 días del mes de enero de 2010</w:t>
      </w:r>
    </w:p>
    <w:p w14:paraId="54D5E4A7" w14:textId="77777777" w:rsidR="003658B2" w:rsidRPr="000008E2" w:rsidRDefault="003658B2" w:rsidP="000008E2">
      <w:pPr>
        <w:jc w:val="center"/>
        <w:rPr>
          <w:rFonts w:ascii="Verdana" w:hAnsi="Verdana"/>
          <w:b/>
          <w:bCs/>
          <w:sz w:val="22"/>
          <w:szCs w:val="22"/>
          <w:lang w:val="es-MX"/>
        </w:rPr>
      </w:pPr>
      <w:r w:rsidRPr="000008E2">
        <w:rPr>
          <w:rFonts w:ascii="Verdana" w:hAnsi="Verdana"/>
          <w:b/>
          <w:bCs/>
          <w:sz w:val="22"/>
          <w:szCs w:val="22"/>
          <w:lang w:val="es-MX"/>
        </w:rPr>
        <w:t>ELVIRA FORERO HERNÁNDEZ</w:t>
      </w:r>
    </w:p>
    <w:p w14:paraId="39976331" w14:textId="68B0E16C" w:rsidR="003658B2" w:rsidRPr="000008E2" w:rsidRDefault="000008E2" w:rsidP="000008E2">
      <w:pPr>
        <w:jc w:val="center"/>
        <w:rPr>
          <w:rFonts w:ascii="Verdana" w:hAnsi="Verdana"/>
          <w:sz w:val="22"/>
          <w:szCs w:val="22"/>
          <w:lang w:val="es-MX"/>
        </w:rPr>
      </w:pPr>
      <w:r w:rsidRPr="000008E2">
        <w:rPr>
          <w:rFonts w:ascii="Verdana" w:hAnsi="Verdana"/>
          <w:sz w:val="22"/>
          <w:szCs w:val="22"/>
          <w:lang w:val="es-MX"/>
        </w:rPr>
        <w:t>DIRECTORA GENERAL</w:t>
      </w:r>
    </w:p>
    <w:p w14:paraId="24B3C92D" w14:textId="097BE2B8" w:rsidR="00A724C4" w:rsidRPr="000008E2" w:rsidRDefault="00A724C4" w:rsidP="000008E2">
      <w:pPr>
        <w:jc w:val="both"/>
        <w:rPr>
          <w:rFonts w:ascii="Verdana" w:hAnsi="Verdana"/>
          <w:sz w:val="22"/>
          <w:szCs w:val="22"/>
          <w:lang w:val="es-MX"/>
        </w:rPr>
      </w:pPr>
    </w:p>
    <w:sectPr w:rsidR="00A724C4" w:rsidRPr="000008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81AE4"/>
    <w:multiLevelType w:val="hybridMultilevel"/>
    <w:tmpl w:val="9808DF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036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BF"/>
    <w:rsid w:val="000008E2"/>
    <w:rsid w:val="00243CB4"/>
    <w:rsid w:val="003658B2"/>
    <w:rsid w:val="00395ABF"/>
    <w:rsid w:val="003C16BA"/>
    <w:rsid w:val="003E5717"/>
    <w:rsid w:val="004876CE"/>
    <w:rsid w:val="008F1B7D"/>
    <w:rsid w:val="00943AC5"/>
    <w:rsid w:val="009C2ED1"/>
    <w:rsid w:val="00A724C4"/>
    <w:rsid w:val="00B0179E"/>
    <w:rsid w:val="00BB0EED"/>
    <w:rsid w:val="00C930E8"/>
    <w:rsid w:val="00D338E2"/>
    <w:rsid w:val="00DD6355"/>
    <w:rsid w:val="00F80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22C0"/>
  <w15:chartTrackingRefBased/>
  <w15:docId w15:val="{1384B308-7B0F-4CE9-A953-C2BDE96F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5A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5A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5A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5A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5A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5A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5A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5A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5A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5A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5A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5A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5A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5A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5A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5ABF"/>
    <w:rPr>
      <w:rFonts w:eastAsiaTheme="majorEastAsia" w:cstheme="majorBidi"/>
      <w:color w:val="272727" w:themeColor="text1" w:themeTint="D8"/>
    </w:rPr>
  </w:style>
  <w:style w:type="paragraph" w:styleId="Ttulo">
    <w:name w:val="Title"/>
    <w:basedOn w:val="Normal"/>
    <w:next w:val="Normal"/>
    <w:link w:val="TtuloCar"/>
    <w:uiPriority w:val="10"/>
    <w:qFormat/>
    <w:rsid w:val="00395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5A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5A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5A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5ABF"/>
    <w:pPr>
      <w:spacing w:before="160"/>
      <w:jc w:val="center"/>
    </w:pPr>
    <w:rPr>
      <w:i/>
      <w:iCs/>
      <w:color w:val="404040" w:themeColor="text1" w:themeTint="BF"/>
    </w:rPr>
  </w:style>
  <w:style w:type="character" w:customStyle="1" w:styleId="CitaCar">
    <w:name w:val="Cita Car"/>
    <w:basedOn w:val="Fuentedeprrafopredeter"/>
    <w:link w:val="Cita"/>
    <w:uiPriority w:val="29"/>
    <w:rsid w:val="00395ABF"/>
    <w:rPr>
      <w:i/>
      <w:iCs/>
      <w:color w:val="404040" w:themeColor="text1" w:themeTint="BF"/>
    </w:rPr>
  </w:style>
  <w:style w:type="paragraph" w:styleId="Prrafodelista">
    <w:name w:val="List Paragraph"/>
    <w:basedOn w:val="Normal"/>
    <w:uiPriority w:val="34"/>
    <w:qFormat/>
    <w:rsid w:val="00395ABF"/>
    <w:pPr>
      <w:ind w:left="720"/>
      <w:contextualSpacing/>
    </w:pPr>
  </w:style>
  <w:style w:type="character" w:styleId="nfasisintenso">
    <w:name w:val="Intense Emphasis"/>
    <w:basedOn w:val="Fuentedeprrafopredeter"/>
    <w:uiPriority w:val="21"/>
    <w:qFormat/>
    <w:rsid w:val="00395ABF"/>
    <w:rPr>
      <w:i/>
      <w:iCs/>
      <w:color w:val="0F4761" w:themeColor="accent1" w:themeShade="BF"/>
    </w:rPr>
  </w:style>
  <w:style w:type="paragraph" w:styleId="Citadestacada">
    <w:name w:val="Intense Quote"/>
    <w:basedOn w:val="Normal"/>
    <w:next w:val="Normal"/>
    <w:link w:val="CitadestacadaCar"/>
    <w:uiPriority w:val="30"/>
    <w:qFormat/>
    <w:rsid w:val="0039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5ABF"/>
    <w:rPr>
      <w:i/>
      <w:iCs/>
      <w:color w:val="0F4761" w:themeColor="accent1" w:themeShade="BF"/>
    </w:rPr>
  </w:style>
  <w:style w:type="character" w:styleId="Referenciaintensa">
    <w:name w:val="Intense Reference"/>
    <w:basedOn w:val="Fuentedeprrafopredeter"/>
    <w:uiPriority w:val="32"/>
    <w:qFormat/>
    <w:rsid w:val="00395ABF"/>
    <w:rPr>
      <w:b/>
      <w:bCs/>
      <w:smallCaps/>
      <w:color w:val="0F4761" w:themeColor="accent1" w:themeShade="BF"/>
      <w:spacing w:val="5"/>
    </w:rPr>
  </w:style>
  <w:style w:type="table" w:styleId="Tablaconcuadrcula">
    <w:name w:val="Table Grid"/>
    <w:basedOn w:val="Tablanormal"/>
    <w:uiPriority w:val="59"/>
    <w:rsid w:val="00C930E8"/>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9C2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E20B4-024C-4078-8E07-6EC42B2EA943}"/>
</file>

<file path=customXml/itemProps2.xml><?xml version="1.0" encoding="utf-8"?>
<ds:datastoreItem xmlns:ds="http://schemas.openxmlformats.org/officeDocument/2006/customXml" ds:itemID="{21C52AE6-0DAD-49D8-A128-0DB2D0B79D61}"/>
</file>

<file path=customXml/itemProps3.xml><?xml version="1.0" encoding="utf-8"?>
<ds:datastoreItem xmlns:ds="http://schemas.openxmlformats.org/officeDocument/2006/customXml" ds:itemID="{46D52624-540B-4591-AD14-31C7816A3A93}"/>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2755</Characters>
  <Application>Microsoft Office Word</Application>
  <DocSecurity>0</DocSecurity>
  <Lines>67</Lines>
  <Paragraphs>34</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2025-12-03T20:48:00Z</dcterms:created>
  <dcterms:modified xsi:type="dcterms:W3CDTF">2026-01-23T19:51:00Z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