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FC34" w14:textId="77777777" w:rsidR="00426E8E" w:rsidRPr="00426E8E" w:rsidRDefault="00426E8E" w:rsidP="00426E8E">
      <w:pPr>
        <w:jc w:val="center"/>
      </w:pPr>
      <w:r w:rsidRPr="00426E8E">
        <w:rPr>
          <w:b/>
          <w:bCs/>
        </w:rPr>
        <w:t>RESOLUCIÓN 2 DE 2014</w:t>
      </w:r>
    </w:p>
    <w:p w14:paraId="20B4F291" w14:textId="77777777" w:rsidR="003A7265" w:rsidRPr="003A7265" w:rsidRDefault="003A7265" w:rsidP="003A7265">
      <w:pPr>
        <w:pStyle w:val="Sinespaciado"/>
        <w:rPr>
          <w:sz w:val="20"/>
          <w:szCs w:val="20"/>
        </w:rPr>
      </w:pPr>
      <w:r w:rsidRPr="003A7265">
        <w:rPr>
          <w:sz w:val="20"/>
          <w:szCs w:val="20"/>
        </w:rPr>
        <w:t>Fecha de Expedición: 2 de enero de 2014</w:t>
      </w:r>
    </w:p>
    <w:p w14:paraId="58CA5B5F" w14:textId="77777777" w:rsidR="003A7265" w:rsidRPr="003A7265" w:rsidRDefault="003A7265" w:rsidP="003A7265">
      <w:pPr>
        <w:pStyle w:val="Sinespaciado"/>
        <w:rPr>
          <w:sz w:val="20"/>
          <w:szCs w:val="20"/>
        </w:rPr>
      </w:pPr>
      <w:r w:rsidRPr="003A7265">
        <w:rPr>
          <w:sz w:val="20"/>
          <w:szCs w:val="20"/>
        </w:rPr>
        <w:t xml:space="preserve">Fecha de </w:t>
      </w:r>
      <w:proofErr w:type="gramStart"/>
      <w:r w:rsidRPr="003A7265">
        <w:rPr>
          <w:sz w:val="20"/>
          <w:szCs w:val="20"/>
        </w:rPr>
        <w:t>entrada en vigencia</w:t>
      </w:r>
      <w:proofErr w:type="gramEnd"/>
      <w:r w:rsidRPr="003A7265">
        <w:rPr>
          <w:sz w:val="20"/>
          <w:szCs w:val="20"/>
        </w:rPr>
        <w:t>: 2 de enero de 2014</w:t>
      </w:r>
    </w:p>
    <w:p w14:paraId="595801C1" w14:textId="77777777" w:rsidR="003A7265" w:rsidRDefault="003A7265" w:rsidP="003A7265">
      <w:pPr>
        <w:pStyle w:val="Sinespaciado"/>
        <w:rPr>
          <w:sz w:val="20"/>
          <w:szCs w:val="20"/>
        </w:rPr>
      </w:pPr>
      <w:r w:rsidRPr="003A7265">
        <w:rPr>
          <w:sz w:val="20"/>
          <w:szCs w:val="20"/>
        </w:rPr>
        <w:t xml:space="preserve">Estado de la vigencia: vigente </w:t>
      </w:r>
      <w:r w:rsidRPr="003A7265">
        <w:rPr>
          <w:sz w:val="20"/>
          <w:szCs w:val="20"/>
        </w:rPr>
        <w:tab/>
      </w:r>
    </w:p>
    <w:p w14:paraId="0DD2F564" w14:textId="77777777" w:rsidR="003A7265" w:rsidRDefault="003A7265" w:rsidP="003A7265">
      <w:pPr>
        <w:pStyle w:val="Sinespaciado"/>
        <w:rPr>
          <w:sz w:val="20"/>
          <w:szCs w:val="20"/>
        </w:rPr>
      </w:pPr>
    </w:p>
    <w:p w14:paraId="66203C47" w14:textId="20483982" w:rsidR="003A7265" w:rsidRPr="003A7265" w:rsidRDefault="003A7265" w:rsidP="003A7265">
      <w:pPr>
        <w:pStyle w:val="Sinespaciado"/>
        <w:rPr>
          <w:sz w:val="20"/>
          <w:szCs w:val="20"/>
        </w:rPr>
      </w:pPr>
      <w:r w:rsidRPr="003A7265">
        <w:rPr>
          <w:sz w:val="20"/>
          <w:szCs w:val="20"/>
        </w:rPr>
        <w:t>Fecha de publicación en Diario Oficial: N/A</w:t>
      </w:r>
    </w:p>
    <w:p w14:paraId="4BC034EA" w14:textId="0FE70BAF" w:rsidR="003A7265" w:rsidRDefault="003A7265" w:rsidP="003A7265">
      <w:pPr>
        <w:pStyle w:val="Sinespaciado"/>
        <w:rPr>
          <w:sz w:val="20"/>
          <w:szCs w:val="20"/>
        </w:rPr>
      </w:pPr>
      <w:r w:rsidRPr="003A7265">
        <w:rPr>
          <w:sz w:val="20"/>
          <w:szCs w:val="20"/>
        </w:rPr>
        <w:t>Número del Diario Oficial: N/A</w:t>
      </w:r>
    </w:p>
    <w:p w14:paraId="04E63E0C" w14:textId="77777777" w:rsidR="003A7265" w:rsidRPr="003A7265" w:rsidRDefault="003A7265" w:rsidP="003A7265">
      <w:pPr>
        <w:pStyle w:val="Sinespaciado"/>
        <w:rPr>
          <w:sz w:val="20"/>
          <w:szCs w:val="20"/>
        </w:rPr>
      </w:pPr>
    </w:p>
    <w:p w14:paraId="65D11EAA" w14:textId="4BC12549" w:rsidR="00426E8E" w:rsidRPr="00426E8E" w:rsidRDefault="00426E8E" w:rsidP="00426E8E">
      <w:pPr>
        <w:jc w:val="center"/>
      </w:pPr>
      <w:r w:rsidRPr="00426E8E">
        <w:rPr>
          <w:b/>
          <w:bCs/>
        </w:rPr>
        <w:t>RESOLUCIÓN 2 DE 2014</w:t>
      </w:r>
    </w:p>
    <w:p w14:paraId="22925F5D" w14:textId="0513F893" w:rsidR="00426E8E" w:rsidRPr="00426E8E" w:rsidRDefault="00426E8E" w:rsidP="00426E8E">
      <w:pPr>
        <w:jc w:val="center"/>
      </w:pPr>
      <w:r w:rsidRPr="00426E8E">
        <w:t>(2</w:t>
      </w:r>
      <w:r>
        <w:t xml:space="preserve"> de enero</w:t>
      </w:r>
      <w:r w:rsidRPr="00426E8E">
        <w:t>)</w:t>
      </w:r>
    </w:p>
    <w:p w14:paraId="06178F14" w14:textId="77777777" w:rsidR="00426E8E" w:rsidRPr="00426E8E" w:rsidRDefault="00426E8E" w:rsidP="00426E8E">
      <w:pPr>
        <w:jc w:val="center"/>
      </w:pPr>
      <w:r w:rsidRPr="00426E8E">
        <w:rPr>
          <w:b/>
          <w:bCs/>
        </w:rPr>
        <w:t>INSTITUTO COLOMBIANO DE BIENESTAR FAMILIAR – ICBF</w:t>
      </w:r>
    </w:p>
    <w:p w14:paraId="50D89601" w14:textId="77777777" w:rsidR="00426E8E" w:rsidRPr="00426E8E" w:rsidRDefault="00426E8E" w:rsidP="00426E8E">
      <w:pPr>
        <w:jc w:val="center"/>
      </w:pPr>
      <w:r w:rsidRPr="00426E8E">
        <w:t xml:space="preserve">“Por medio de la cual se delimita la planta transitoria de personal supernumerario para apoyar procesos de fiscalización </w:t>
      </w:r>
      <w:proofErr w:type="spellStart"/>
      <w:r w:rsidRPr="00426E8E">
        <w:t>prejurídico</w:t>
      </w:r>
      <w:proofErr w:type="spellEnd"/>
      <w:r w:rsidRPr="00426E8E">
        <w:t xml:space="preserve"> y cobro coactivo en el ICBF"</w:t>
      </w:r>
    </w:p>
    <w:p w14:paraId="1FFF96DB" w14:textId="77777777" w:rsidR="00426E8E" w:rsidRPr="00426E8E" w:rsidRDefault="00426E8E" w:rsidP="00426E8E">
      <w:pPr>
        <w:jc w:val="center"/>
      </w:pPr>
      <w:r w:rsidRPr="00426E8E">
        <w:rPr>
          <w:b/>
          <w:bCs/>
        </w:rPr>
        <w:t>EL DIRECTOR GENERAL DEL INSTITUTO COLOMBIANO DE BIENESTAR FAMILIAR CECILIA DE LA FUENTE DE LLERAS</w:t>
      </w:r>
    </w:p>
    <w:p w14:paraId="2B4B1804" w14:textId="3431940F" w:rsidR="00426E8E" w:rsidRPr="00426E8E" w:rsidRDefault="00426E8E" w:rsidP="00426E8E">
      <w:pPr>
        <w:jc w:val="center"/>
      </w:pPr>
      <w:r w:rsidRPr="00426E8E">
        <w:t>En ejercicio de las facultades legales y estatutarias, en especial las previstas en el artículo 83 del Decreto 1042 de 1978 y en el artículo 78 de la Ley 489 de 1998, y</w:t>
      </w:r>
    </w:p>
    <w:p w14:paraId="7AE51DBA" w14:textId="77777777" w:rsidR="00426E8E" w:rsidRPr="00426E8E" w:rsidRDefault="00426E8E" w:rsidP="00426E8E">
      <w:pPr>
        <w:jc w:val="center"/>
      </w:pPr>
      <w:r w:rsidRPr="00426E8E">
        <w:rPr>
          <w:b/>
          <w:bCs/>
        </w:rPr>
        <w:t>CONSIDERANDO.</w:t>
      </w:r>
    </w:p>
    <w:p w14:paraId="42B26553" w14:textId="319E2CF5" w:rsidR="00426E8E" w:rsidRPr="00426E8E" w:rsidRDefault="00426E8E" w:rsidP="00426E8E">
      <w:pPr>
        <w:jc w:val="both"/>
      </w:pPr>
      <w:r w:rsidRPr="00426E8E">
        <w:t xml:space="preserve">Que mediante Resolución No.3721 del 20 de diciembre de 2007, prorrogada y modificada por diversas Resoluciones expedidas por este Despacho, siendo la última la Resolución 8515 del 30 de septiembre de 2013, se delimitó la planta transitoria de personal supernumerario para apoyar los procesos de fiscalización, </w:t>
      </w:r>
      <w:proofErr w:type="spellStart"/>
      <w:r w:rsidRPr="00426E8E">
        <w:t>prejurídico</w:t>
      </w:r>
      <w:proofErr w:type="spellEnd"/>
      <w:r w:rsidRPr="00426E8E">
        <w:t xml:space="preserve"> y cobro coactivo en el ICBF, hasta |el treinta y uno (31) de diciembre de 2013.</w:t>
      </w:r>
    </w:p>
    <w:p w14:paraId="50E60BA0" w14:textId="660ED75C" w:rsidR="00426E8E" w:rsidRPr="00426E8E" w:rsidRDefault="00426E8E" w:rsidP="00426E8E">
      <w:pPr>
        <w:jc w:val="both"/>
      </w:pPr>
      <w:r w:rsidRPr="00426E8E">
        <w:t xml:space="preserve">Que la Dirección Financiera solicita sea delimitada nuevamente hasta el 30 de junio de 2014 la planta transitoria de personal supernumerario para apoyar los procesos de fiscalización, </w:t>
      </w:r>
      <w:proofErr w:type="spellStart"/>
      <w:r w:rsidRPr="00426E8E">
        <w:t>prejurídico</w:t>
      </w:r>
      <w:proofErr w:type="spellEnd"/>
      <w:r w:rsidRPr="00426E8E">
        <w:t xml:space="preserve"> y cobro coactivo en el ICBF, de qué trata la Resolución No. 3721 del 20 de diciembre de 2007, exponiendo los argumentos que se mencionan en los siguientes considerandos.</w:t>
      </w:r>
    </w:p>
    <w:p w14:paraId="2458D73D" w14:textId="1BB2594E" w:rsidR="00426E8E" w:rsidRPr="00426E8E" w:rsidRDefault="00426E8E" w:rsidP="00426E8E">
      <w:pPr>
        <w:jc w:val="both"/>
      </w:pPr>
      <w:r w:rsidRPr="00426E8E">
        <w:t>Que según la Ley 1607 de 2012, en los artículos 178, 179 y 180 otorgó facultades, a la Unidad de Gestión Pensional y Parafiscal UGPP, para crear los estándares de cobro que deben implementar las Administradoras del Sistema de la Protección Social.</w:t>
      </w:r>
    </w:p>
    <w:p w14:paraId="7F45F807" w14:textId="58090E1F" w:rsidR="00426E8E" w:rsidRPr="00426E8E" w:rsidRDefault="00426E8E" w:rsidP="00426E8E">
      <w:pPr>
        <w:jc w:val="both"/>
      </w:pPr>
      <w:r w:rsidRPr="00426E8E">
        <w:t xml:space="preserve">Que según lo estipula la Resolución 444 de 2013, expedida por la Unidad de Gestión Pensional y Parafiscal UGPP, se hace necesario por parte del ICBF dar cumplimiento a los artículos 3, 4, 5 y 6, los cuales requieren información sobre actualización de datos de ubicación y contacto de aportantes, reporte </w:t>
      </w:r>
      <w:r w:rsidRPr="00426E8E">
        <w:lastRenderedPageBreak/>
        <w:t>consolidado de cartera, reporte de cartera desagregada por aportante y aviso de incumplimiento en el pago al aportante.</w:t>
      </w:r>
    </w:p>
    <w:p w14:paraId="3A491F93" w14:textId="53162B84" w:rsidR="00426E8E" w:rsidRPr="00426E8E" w:rsidRDefault="00426E8E" w:rsidP="00426E8E">
      <w:pPr>
        <w:jc w:val="both"/>
      </w:pPr>
      <w:r w:rsidRPr="00426E8E">
        <w:t>Que el ICBF debe atender para la UGPP, reportes de información, consolidados de cartera, avisos de incumplimiento, procesos de verificación relacionados con empleadores que han incumplido los requisitos legales previstos en la Ley 1429 y la Ley 1430 de 2010; así como en razón a las competencias que conserva adelanta los procesos de fiscalización respecto de los morosos, expedición de paz y salvos, procesos concúrsales y devoluciones de mayor valor.</w:t>
      </w:r>
    </w:p>
    <w:p w14:paraId="224D2E22" w14:textId="1FF54871" w:rsidR="00426E8E" w:rsidRPr="00426E8E" w:rsidRDefault="00426E8E" w:rsidP="00426E8E">
      <w:pPr>
        <w:jc w:val="both"/>
      </w:pPr>
      <w:r w:rsidRPr="00426E8E">
        <w:t>Que el Ministerio de Hacienda y Crédito Público, expidió con fecha diciembre 27 de 2013 el Decreto 3033 de 2013, el cual impone obligaciones a las Administradoras del Sistema de la Protección Social.</w:t>
      </w:r>
    </w:p>
    <w:p w14:paraId="05EF9F21" w14:textId="0AF23404" w:rsidR="00426E8E" w:rsidRPr="00426E8E" w:rsidRDefault="00426E8E" w:rsidP="00426E8E">
      <w:pPr>
        <w:jc w:val="both"/>
      </w:pPr>
      <w:r w:rsidRPr="00426E8E">
        <w:t>Que la Ley 1429 de 2010, facultó a la Unidad de Gestión Pensional y Parafiscal UGPP para que reporte información a las Administradoras del Sistema de Protección Social para que verifiquen el cumplimiento de esta norma.</w:t>
      </w:r>
    </w:p>
    <w:p w14:paraId="54B8611F" w14:textId="77777777" w:rsidR="00426E8E" w:rsidRPr="00426E8E" w:rsidRDefault="00426E8E" w:rsidP="00426E8E">
      <w:pPr>
        <w:jc w:val="both"/>
      </w:pPr>
      <w:r w:rsidRPr="00426E8E">
        <w:t>Que en razón a lo anteriormente expuesto se analizó la necesidad de garantizar la operación, mientras en el año 2014 se realiza las gestiones ante las autoridades competentes para sustentar la planta de personal, conservando la planta de personal que actualmente ejerce sus funciones de las áreas de recaudo y proceso coactivo en cada una de las 33 regionales y en los Grupos de la Dirección Financiera de la Dirección General, que intervienen de manera transversal en el proceso.</w:t>
      </w:r>
    </w:p>
    <w:p w14:paraId="4072BB94" w14:textId="77777777" w:rsidR="00426E8E" w:rsidRPr="00426E8E" w:rsidRDefault="00426E8E" w:rsidP="00426E8E">
      <w:pPr>
        <w:jc w:val="both"/>
      </w:pPr>
      <w:r w:rsidRPr="00426E8E">
        <w:t>Que la Oficina asesora Jurídica mediante memorando con radicado 12013-01400-NAC del 16 de agosto de 2013 conceptuó sobre la modalidad de contratación de personal requerido para el ejercicio propio del proceso integral de recaudo, y en el mismo se concluye que “….esta oficina considera que la vinculación del personal que se requiere para el proceso integral que hoy en día se encuentra a cargo del ICBF debe ceñirse a las políticas institucionales previstas para ello y las cuales han sido definidas conforme a la ley; lo que conlleva a que la vinculación continúe haciéndose a través de personal supernumerario dada la naturaleza de los aportes parafiscales….”.</w:t>
      </w:r>
    </w:p>
    <w:p w14:paraId="0C92E407" w14:textId="77777777" w:rsidR="00426E8E" w:rsidRPr="00426E8E" w:rsidRDefault="00426E8E" w:rsidP="00426E8E">
      <w:pPr>
        <w:jc w:val="both"/>
      </w:pPr>
      <w:r w:rsidRPr="00426E8E">
        <w:t xml:space="preserve">Que el pago de sueldos, emolumentos laborales, prestaciones sociales y transferencias que se generen por la vinculación del personal supernumerario de que trata la </w:t>
      </w:r>
      <w:proofErr w:type="gramStart"/>
      <w:r w:rsidRPr="00426E8E">
        <w:t>presente  Resolución</w:t>
      </w:r>
      <w:proofErr w:type="gramEnd"/>
      <w:r w:rsidRPr="00426E8E">
        <w:t>, se realizará con cargo al identificador presupuestal. PROGRAMA 310, DIVULGACIÓN, ASISTENCIA TÉCNICA Y CAPACITACIÓN DEL RECURSO HUMANO, SUBPROGRAMA 300 INTERSUBSECTORIAL SALUD, PROYECTO 002 - ASISTENCIA PARA EL FORTALECIMIENTO DEL SNBF PARA LA ATENCIÓN DEL SERVICIO PÚBLICO DE BIENESTAR FAMILIAR, del presupuesto de la actual vigencia, recursos que han sido distribuidos a las regionales mediante Resolución No. 11480 del 31 de diciembre de 2013.</w:t>
      </w:r>
    </w:p>
    <w:p w14:paraId="7A428A0D" w14:textId="77777777" w:rsidR="00426E8E" w:rsidRPr="00426E8E" w:rsidRDefault="00426E8E" w:rsidP="00426E8E">
      <w:pPr>
        <w:jc w:val="both"/>
      </w:pPr>
      <w:r w:rsidRPr="00426E8E">
        <w:t>En mérito de lo expuesto,</w:t>
      </w:r>
    </w:p>
    <w:p w14:paraId="65B706B0" w14:textId="77777777" w:rsidR="00426E8E" w:rsidRPr="00426E8E" w:rsidRDefault="00426E8E" w:rsidP="00426E8E">
      <w:pPr>
        <w:jc w:val="center"/>
      </w:pPr>
      <w:r w:rsidRPr="00426E8E">
        <w:rPr>
          <w:b/>
          <w:bCs/>
        </w:rPr>
        <w:lastRenderedPageBreak/>
        <w:t>RESUELVE.</w:t>
      </w:r>
    </w:p>
    <w:p w14:paraId="3988726B" w14:textId="46537CC2" w:rsidR="00426E8E" w:rsidRPr="00426E8E" w:rsidRDefault="00426E8E" w:rsidP="00426E8E">
      <w:pPr>
        <w:jc w:val="both"/>
      </w:pPr>
      <w:bookmarkStart w:id="0" w:name="1"/>
      <w:r w:rsidRPr="00426E8E">
        <w:rPr>
          <w:b/>
          <w:bCs/>
        </w:rPr>
        <w:t>ARTÍCULO PRIMERO.</w:t>
      </w:r>
      <w:bookmarkEnd w:id="0"/>
      <w:r w:rsidRPr="00426E8E">
        <w:t> </w:t>
      </w:r>
      <w:r w:rsidRPr="00426E8E">
        <w:rPr>
          <w:b/>
          <w:bCs/>
        </w:rPr>
        <w:t> </w:t>
      </w:r>
      <w:r w:rsidRPr="00426E8E">
        <w:t xml:space="preserve">Delimitar la planta transitoria de personal supernumerario para apoyar los procesos de fiscalización, </w:t>
      </w:r>
      <w:proofErr w:type="spellStart"/>
      <w:r w:rsidRPr="00426E8E">
        <w:t>prejurídico</w:t>
      </w:r>
      <w:proofErr w:type="spellEnd"/>
      <w:r w:rsidRPr="00426E8E">
        <w:t xml:space="preserve"> y cobro coactivo en el ICBF, hasta el treinta (30) de junio de dos mil catorce (2014), en los mismos términos de que trata la Resolución No. 3721 del 20 de diciembre de 2007, en los siguientes cargos equivalentes.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74"/>
        <w:gridCol w:w="1069"/>
        <w:gridCol w:w="1415"/>
        <w:gridCol w:w="1170"/>
        <w:gridCol w:w="810"/>
      </w:tblGrid>
      <w:tr w:rsidR="00426E8E" w:rsidRPr="00426E8E" w14:paraId="625C709C"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429A3C9A" w14:textId="77777777" w:rsidR="00426E8E" w:rsidRPr="00426E8E" w:rsidRDefault="00426E8E" w:rsidP="00426E8E">
            <w:pPr>
              <w:jc w:val="both"/>
            </w:pPr>
            <w:r w:rsidRPr="00426E8E">
              <w:t>Cargo Equivalente</w:t>
            </w:r>
          </w:p>
        </w:tc>
        <w:tc>
          <w:tcPr>
            <w:tcW w:w="650" w:type="pct"/>
            <w:tcBorders>
              <w:top w:val="nil"/>
              <w:left w:val="nil"/>
              <w:bottom w:val="nil"/>
              <w:right w:val="nil"/>
            </w:tcBorders>
            <w:tcMar>
              <w:top w:w="0" w:type="dxa"/>
              <w:left w:w="0" w:type="dxa"/>
              <w:bottom w:w="0" w:type="dxa"/>
              <w:right w:w="0" w:type="dxa"/>
            </w:tcMar>
            <w:hideMark/>
          </w:tcPr>
          <w:p w14:paraId="3213AF98" w14:textId="77777777" w:rsidR="00426E8E" w:rsidRPr="00426E8E" w:rsidRDefault="00426E8E" w:rsidP="00426E8E">
            <w:pPr>
              <w:jc w:val="both"/>
            </w:pPr>
            <w:r w:rsidRPr="00426E8E">
              <w:t>Código</w:t>
            </w:r>
          </w:p>
        </w:tc>
        <w:tc>
          <w:tcPr>
            <w:tcW w:w="750" w:type="pct"/>
            <w:tcBorders>
              <w:top w:val="nil"/>
              <w:left w:val="nil"/>
              <w:bottom w:val="nil"/>
              <w:right w:val="nil"/>
            </w:tcBorders>
            <w:tcMar>
              <w:top w:w="0" w:type="dxa"/>
              <w:left w:w="0" w:type="dxa"/>
              <w:bottom w:w="0" w:type="dxa"/>
              <w:right w:w="0" w:type="dxa"/>
            </w:tcMar>
            <w:hideMark/>
          </w:tcPr>
          <w:p w14:paraId="38443748" w14:textId="77777777" w:rsidR="00426E8E" w:rsidRPr="00426E8E" w:rsidRDefault="00426E8E" w:rsidP="00426E8E">
            <w:pPr>
              <w:jc w:val="both"/>
            </w:pPr>
            <w:r w:rsidRPr="00426E8E">
              <w:t>Grado</w:t>
            </w:r>
          </w:p>
        </w:tc>
        <w:tc>
          <w:tcPr>
            <w:tcW w:w="1000" w:type="pct"/>
            <w:tcBorders>
              <w:top w:val="nil"/>
              <w:left w:val="nil"/>
              <w:bottom w:val="nil"/>
              <w:right w:val="nil"/>
            </w:tcBorders>
            <w:tcMar>
              <w:top w:w="0" w:type="dxa"/>
              <w:left w:w="0" w:type="dxa"/>
              <w:bottom w:w="0" w:type="dxa"/>
              <w:right w:w="0" w:type="dxa"/>
            </w:tcMar>
            <w:hideMark/>
          </w:tcPr>
          <w:p w14:paraId="2C098F90" w14:textId="77777777" w:rsidR="00426E8E" w:rsidRPr="00426E8E" w:rsidRDefault="00426E8E" w:rsidP="00426E8E">
            <w:pPr>
              <w:jc w:val="both"/>
            </w:pPr>
            <w:r w:rsidRPr="00426E8E">
              <w:t>Sueldo</w:t>
            </w:r>
            <w:r w:rsidRPr="00426E8E">
              <w:br/>
              <w:t>Mensual</w:t>
            </w:r>
          </w:p>
        </w:tc>
        <w:tc>
          <w:tcPr>
            <w:tcW w:w="700" w:type="pct"/>
            <w:tcBorders>
              <w:top w:val="nil"/>
              <w:left w:val="nil"/>
              <w:bottom w:val="nil"/>
              <w:right w:val="nil"/>
            </w:tcBorders>
            <w:tcMar>
              <w:top w:w="0" w:type="dxa"/>
              <w:left w:w="0" w:type="dxa"/>
              <w:bottom w:w="0" w:type="dxa"/>
              <w:right w:w="0" w:type="dxa"/>
            </w:tcMar>
            <w:hideMark/>
          </w:tcPr>
          <w:p w14:paraId="05D548F4" w14:textId="77777777" w:rsidR="00426E8E" w:rsidRPr="00426E8E" w:rsidRDefault="00426E8E" w:rsidP="00426E8E">
            <w:pPr>
              <w:jc w:val="both"/>
            </w:pPr>
            <w:r w:rsidRPr="00426E8E">
              <w:t>No. Cargos</w:t>
            </w:r>
          </w:p>
        </w:tc>
      </w:tr>
      <w:tr w:rsidR="00426E8E" w:rsidRPr="00426E8E" w14:paraId="4B250071"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0F5904D0" w14:textId="77777777" w:rsidR="00426E8E" w:rsidRPr="00426E8E" w:rsidRDefault="00426E8E" w:rsidP="00426E8E">
            <w:pPr>
              <w:jc w:val="both"/>
            </w:pPr>
            <w:r w:rsidRPr="00426E8E">
              <w:t>Profesional Especializado</w:t>
            </w:r>
          </w:p>
        </w:tc>
        <w:tc>
          <w:tcPr>
            <w:tcW w:w="650" w:type="pct"/>
            <w:tcBorders>
              <w:top w:val="nil"/>
              <w:left w:val="nil"/>
              <w:bottom w:val="nil"/>
              <w:right w:val="nil"/>
            </w:tcBorders>
            <w:tcMar>
              <w:top w:w="0" w:type="dxa"/>
              <w:left w:w="0" w:type="dxa"/>
              <w:bottom w:w="0" w:type="dxa"/>
              <w:right w:w="0" w:type="dxa"/>
            </w:tcMar>
            <w:hideMark/>
          </w:tcPr>
          <w:p w14:paraId="651A67DE" w14:textId="77777777" w:rsidR="00426E8E" w:rsidRPr="00426E8E" w:rsidRDefault="00426E8E" w:rsidP="00426E8E">
            <w:pPr>
              <w:jc w:val="both"/>
            </w:pPr>
            <w:r w:rsidRPr="00426E8E">
              <w:t>2028</w:t>
            </w:r>
          </w:p>
        </w:tc>
        <w:tc>
          <w:tcPr>
            <w:tcW w:w="750" w:type="pct"/>
            <w:tcBorders>
              <w:top w:val="nil"/>
              <w:left w:val="nil"/>
              <w:bottom w:val="nil"/>
              <w:right w:val="nil"/>
            </w:tcBorders>
            <w:tcMar>
              <w:top w:w="0" w:type="dxa"/>
              <w:left w:w="0" w:type="dxa"/>
              <w:bottom w:w="0" w:type="dxa"/>
              <w:right w:w="0" w:type="dxa"/>
            </w:tcMar>
            <w:hideMark/>
          </w:tcPr>
          <w:p w14:paraId="410F945A" w14:textId="77777777" w:rsidR="00426E8E" w:rsidRPr="00426E8E" w:rsidRDefault="00426E8E" w:rsidP="00426E8E">
            <w:pPr>
              <w:jc w:val="both"/>
            </w:pPr>
            <w:r w:rsidRPr="00426E8E">
              <w:t>13</w:t>
            </w:r>
          </w:p>
        </w:tc>
        <w:tc>
          <w:tcPr>
            <w:tcW w:w="1000" w:type="pct"/>
            <w:tcBorders>
              <w:top w:val="nil"/>
              <w:left w:val="nil"/>
              <w:bottom w:val="nil"/>
              <w:right w:val="nil"/>
            </w:tcBorders>
            <w:tcMar>
              <w:top w:w="0" w:type="dxa"/>
              <w:left w:w="0" w:type="dxa"/>
              <w:bottom w:w="0" w:type="dxa"/>
              <w:right w:w="0" w:type="dxa"/>
            </w:tcMar>
            <w:hideMark/>
          </w:tcPr>
          <w:p w14:paraId="0DBB1F55" w14:textId="77777777" w:rsidR="00426E8E" w:rsidRPr="00426E8E" w:rsidRDefault="00426E8E" w:rsidP="00426E8E">
            <w:pPr>
              <w:jc w:val="both"/>
            </w:pPr>
            <w:r w:rsidRPr="00426E8E">
              <w:t>2.580.136</w:t>
            </w:r>
          </w:p>
        </w:tc>
        <w:tc>
          <w:tcPr>
            <w:tcW w:w="700" w:type="pct"/>
            <w:tcBorders>
              <w:top w:val="nil"/>
              <w:left w:val="nil"/>
              <w:bottom w:val="nil"/>
              <w:right w:val="nil"/>
            </w:tcBorders>
            <w:tcMar>
              <w:top w:w="0" w:type="dxa"/>
              <w:left w:w="0" w:type="dxa"/>
              <w:bottom w:w="0" w:type="dxa"/>
              <w:right w:w="0" w:type="dxa"/>
            </w:tcMar>
            <w:hideMark/>
          </w:tcPr>
          <w:p w14:paraId="5EADC32A" w14:textId="77777777" w:rsidR="00426E8E" w:rsidRPr="00426E8E" w:rsidRDefault="00426E8E" w:rsidP="00426E8E">
            <w:pPr>
              <w:jc w:val="both"/>
            </w:pPr>
            <w:r w:rsidRPr="00426E8E">
              <w:t>8</w:t>
            </w:r>
          </w:p>
        </w:tc>
      </w:tr>
      <w:tr w:rsidR="00426E8E" w:rsidRPr="00426E8E" w14:paraId="56F47FA5"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658ED540" w14:textId="77777777" w:rsidR="00426E8E" w:rsidRPr="00426E8E" w:rsidRDefault="00426E8E" w:rsidP="00426E8E">
            <w:pPr>
              <w:jc w:val="both"/>
            </w:pPr>
            <w:r w:rsidRPr="00426E8E">
              <w:t>Profesional Especializado</w:t>
            </w:r>
          </w:p>
        </w:tc>
        <w:tc>
          <w:tcPr>
            <w:tcW w:w="650" w:type="pct"/>
            <w:tcBorders>
              <w:top w:val="nil"/>
              <w:left w:val="nil"/>
              <w:bottom w:val="nil"/>
              <w:right w:val="nil"/>
            </w:tcBorders>
            <w:tcMar>
              <w:top w:w="0" w:type="dxa"/>
              <w:left w:w="0" w:type="dxa"/>
              <w:bottom w:w="0" w:type="dxa"/>
              <w:right w:w="0" w:type="dxa"/>
            </w:tcMar>
            <w:hideMark/>
          </w:tcPr>
          <w:p w14:paraId="3397EF2A" w14:textId="77777777" w:rsidR="00426E8E" w:rsidRPr="00426E8E" w:rsidRDefault="00426E8E" w:rsidP="00426E8E">
            <w:pPr>
              <w:jc w:val="both"/>
            </w:pPr>
            <w:r w:rsidRPr="00426E8E">
              <w:t>2028</w:t>
            </w:r>
          </w:p>
        </w:tc>
        <w:tc>
          <w:tcPr>
            <w:tcW w:w="750" w:type="pct"/>
            <w:tcBorders>
              <w:top w:val="nil"/>
              <w:left w:val="nil"/>
              <w:bottom w:val="nil"/>
              <w:right w:val="nil"/>
            </w:tcBorders>
            <w:tcMar>
              <w:top w:w="0" w:type="dxa"/>
              <w:left w:w="0" w:type="dxa"/>
              <w:bottom w:w="0" w:type="dxa"/>
              <w:right w:w="0" w:type="dxa"/>
            </w:tcMar>
            <w:hideMark/>
          </w:tcPr>
          <w:p w14:paraId="66BEDBD9" w14:textId="77777777" w:rsidR="00426E8E" w:rsidRPr="00426E8E" w:rsidRDefault="00426E8E" w:rsidP="00426E8E">
            <w:pPr>
              <w:jc w:val="both"/>
            </w:pPr>
            <w:r w:rsidRPr="00426E8E">
              <w:t>12</w:t>
            </w:r>
          </w:p>
        </w:tc>
        <w:tc>
          <w:tcPr>
            <w:tcW w:w="1000" w:type="pct"/>
            <w:tcBorders>
              <w:top w:val="nil"/>
              <w:left w:val="nil"/>
              <w:bottom w:val="nil"/>
              <w:right w:val="nil"/>
            </w:tcBorders>
            <w:tcMar>
              <w:top w:w="0" w:type="dxa"/>
              <w:left w:w="0" w:type="dxa"/>
              <w:bottom w:w="0" w:type="dxa"/>
              <w:right w:w="0" w:type="dxa"/>
            </w:tcMar>
            <w:hideMark/>
          </w:tcPr>
          <w:p w14:paraId="4304F983" w14:textId="77777777" w:rsidR="00426E8E" w:rsidRPr="00426E8E" w:rsidRDefault="00426E8E" w:rsidP="00426E8E">
            <w:pPr>
              <w:jc w:val="both"/>
            </w:pPr>
            <w:r w:rsidRPr="00426E8E">
              <w:t>2.381.392</w:t>
            </w:r>
          </w:p>
        </w:tc>
        <w:tc>
          <w:tcPr>
            <w:tcW w:w="700" w:type="pct"/>
            <w:tcBorders>
              <w:top w:val="nil"/>
              <w:left w:val="nil"/>
              <w:bottom w:val="nil"/>
              <w:right w:val="nil"/>
            </w:tcBorders>
            <w:tcMar>
              <w:top w:w="0" w:type="dxa"/>
              <w:left w:w="0" w:type="dxa"/>
              <w:bottom w:w="0" w:type="dxa"/>
              <w:right w:w="0" w:type="dxa"/>
            </w:tcMar>
            <w:hideMark/>
          </w:tcPr>
          <w:p w14:paraId="30E4DCB9" w14:textId="77777777" w:rsidR="00426E8E" w:rsidRPr="00426E8E" w:rsidRDefault="00426E8E" w:rsidP="00426E8E">
            <w:pPr>
              <w:jc w:val="both"/>
            </w:pPr>
            <w:r w:rsidRPr="00426E8E">
              <w:t>6</w:t>
            </w:r>
          </w:p>
        </w:tc>
      </w:tr>
      <w:tr w:rsidR="00426E8E" w:rsidRPr="00426E8E" w14:paraId="3E1B81DB"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7CD1BFFE" w14:textId="77777777" w:rsidR="00426E8E" w:rsidRPr="00426E8E" w:rsidRDefault="00426E8E" w:rsidP="00426E8E">
            <w:pPr>
              <w:jc w:val="both"/>
            </w:pPr>
            <w:r w:rsidRPr="00426E8E">
              <w:t>Profesional Universitario</w:t>
            </w:r>
          </w:p>
        </w:tc>
        <w:tc>
          <w:tcPr>
            <w:tcW w:w="650" w:type="pct"/>
            <w:tcBorders>
              <w:top w:val="nil"/>
              <w:left w:val="nil"/>
              <w:bottom w:val="nil"/>
              <w:right w:val="nil"/>
            </w:tcBorders>
            <w:tcMar>
              <w:top w:w="0" w:type="dxa"/>
              <w:left w:w="0" w:type="dxa"/>
              <w:bottom w:w="0" w:type="dxa"/>
              <w:right w:w="0" w:type="dxa"/>
            </w:tcMar>
            <w:hideMark/>
          </w:tcPr>
          <w:p w14:paraId="15BF786D" w14:textId="77777777" w:rsidR="00426E8E" w:rsidRPr="00426E8E" w:rsidRDefault="00426E8E" w:rsidP="00426E8E">
            <w:pPr>
              <w:jc w:val="both"/>
            </w:pPr>
            <w:r w:rsidRPr="00426E8E">
              <w:t>2044</w:t>
            </w:r>
          </w:p>
        </w:tc>
        <w:tc>
          <w:tcPr>
            <w:tcW w:w="750" w:type="pct"/>
            <w:tcBorders>
              <w:top w:val="nil"/>
              <w:left w:val="nil"/>
              <w:bottom w:val="nil"/>
              <w:right w:val="nil"/>
            </w:tcBorders>
            <w:tcMar>
              <w:top w:w="0" w:type="dxa"/>
              <w:left w:w="0" w:type="dxa"/>
              <w:bottom w:w="0" w:type="dxa"/>
              <w:right w:w="0" w:type="dxa"/>
            </w:tcMar>
            <w:hideMark/>
          </w:tcPr>
          <w:p w14:paraId="6D7B9887" w14:textId="77777777" w:rsidR="00426E8E" w:rsidRPr="00426E8E" w:rsidRDefault="00426E8E" w:rsidP="00426E8E">
            <w:pPr>
              <w:jc w:val="both"/>
            </w:pPr>
            <w:r w:rsidRPr="00426E8E">
              <w:t>10</w:t>
            </w:r>
          </w:p>
        </w:tc>
        <w:tc>
          <w:tcPr>
            <w:tcW w:w="1000" w:type="pct"/>
            <w:tcBorders>
              <w:top w:val="nil"/>
              <w:left w:val="nil"/>
              <w:bottom w:val="nil"/>
              <w:right w:val="nil"/>
            </w:tcBorders>
            <w:tcMar>
              <w:top w:w="0" w:type="dxa"/>
              <w:left w:w="0" w:type="dxa"/>
              <w:bottom w:w="0" w:type="dxa"/>
              <w:right w:w="0" w:type="dxa"/>
            </w:tcMar>
            <w:hideMark/>
          </w:tcPr>
          <w:p w14:paraId="39977651" w14:textId="77777777" w:rsidR="00426E8E" w:rsidRPr="00426E8E" w:rsidRDefault="00426E8E" w:rsidP="00426E8E">
            <w:pPr>
              <w:jc w:val="both"/>
            </w:pPr>
            <w:r w:rsidRPr="00426E8E">
              <w:t>2.153.906</w:t>
            </w:r>
          </w:p>
        </w:tc>
        <w:tc>
          <w:tcPr>
            <w:tcW w:w="700" w:type="pct"/>
            <w:tcBorders>
              <w:top w:val="nil"/>
              <w:left w:val="nil"/>
              <w:bottom w:val="nil"/>
              <w:right w:val="nil"/>
            </w:tcBorders>
            <w:tcMar>
              <w:top w:w="0" w:type="dxa"/>
              <w:left w:w="0" w:type="dxa"/>
              <w:bottom w:w="0" w:type="dxa"/>
              <w:right w:w="0" w:type="dxa"/>
            </w:tcMar>
            <w:hideMark/>
          </w:tcPr>
          <w:p w14:paraId="02A2E443" w14:textId="77777777" w:rsidR="00426E8E" w:rsidRPr="00426E8E" w:rsidRDefault="00426E8E" w:rsidP="00426E8E">
            <w:pPr>
              <w:jc w:val="both"/>
            </w:pPr>
            <w:r w:rsidRPr="00426E8E">
              <w:t>3</w:t>
            </w:r>
          </w:p>
        </w:tc>
      </w:tr>
      <w:tr w:rsidR="00426E8E" w:rsidRPr="00426E8E" w14:paraId="7B317B09"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40518C26" w14:textId="77777777" w:rsidR="00426E8E" w:rsidRPr="00426E8E" w:rsidRDefault="00426E8E" w:rsidP="00426E8E">
            <w:pPr>
              <w:jc w:val="both"/>
            </w:pPr>
            <w:r w:rsidRPr="00426E8E">
              <w:t>Profesional Universitario</w:t>
            </w:r>
          </w:p>
        </w:tc>
        <w:tc>
          <w:tcPr>
            <w:tcW w:w="650" w:type="pct"/>
            <w:tcBorders>
              <w:top w:val="nil"/>
              <w:left w:val="nil"/>
              <w:bottom w:val="nil"/>
              <w:right w:val="nil"/>
            </w:tcBorders>
            <w:tcMar>
              <w:top w:w="0" w:type="dxa"/>
              <w:left w:w="0" w:type="dxa"/>
              <w:bottom w:w="0" w:type="dxa"/>
              <w:right w:w="0" w:type="dxa"/>
            </w:tcMar>
            <w:hideMark/>
          </w:tcPr>
          <w:p w14:paraId="137A5344" w14:textId="77777777" w:rsidR="00426E8E" w:rsidRPr="00426E8E" w:rsidRDefault="00426E8E" w:rsidP="00426E8E">
            <w:pPr>
              <w:jc w:val="both"/>
            </w:pPr>
            <w:r w:rsidRPr="00426E8E">
              <w:t>2044</w:t>
            </w:r>
          </w:p>
        </w:tc>
        <w:tc>
          <w:tcPr>
            <w:tcW w:w="750" w:type="pct"/>
            <w:tcBorders>
              <w:top w:val="nil"/>
              <w:left w:val="nil"/>
              <w:bottom w:val="nil"/>
              <w:right w:val="nil"/>
            </w:tcBorders>
            <w:tcMar>
              <w:top w:w="0" w:type="dxa"/>
              <w:left w:w="0" w:type="dxa"/>
              <w:bottom w:w="0" w:type="dxa"/>
              <w:right w:w="0" w:type="dxa"/>
            </w:tcMar>
            <w:hideMark/>
          </w:tcPr>
          <w:p w14:paraId="56D919CA" w14:textId="77777777" w:rsidR="00426E8E" w:rsidRPr="00426E8E" w:rsidRDefault="00426E8E" w:rsidP="00426E8E">
            <w:pPr>
              <w:jc w:val="both"/>
            </w:pPr>
            <w:r w:rsidRPr="00426E8E">
              <w:t>08</w:t>
            </w:r>
          </w:p>
        </w:tc>
        <w:tc>
          <w:tcPr>
            <w:tcW w:w="1000" w:type="pct"/>
            <w:tcBorders>
              <w:top w:val="nil"/>
              <w:left w:val="nil"/>
              <w:bottom w:val="nil"/>
              <w:right w:val="nil"/>
            </w:tcBorders>
            <w:tcMar>
              <w:top w:w="0" w:type="dxa"/>
              <w:left w:w="0" w:type="dxa"/>
              <w:bottom w:w="0" w:type="dxa"/>
              <w:right w:w="0" w:type="dxa"/>
            </w:tcMar>
            <w:hideMark/>
          </w:tcPr>
          <w:p w14:paraId="61BF3C2A" w14:textId="77777777" w:rsidR="00426E8E" w:rsidRPr="00426E8E" w:rsidRDefault="00426E8E" w:rsidP="00426E8E">
            <w:pPr>
              <w:jc w:val="both"/>
            </w:pPr>
            <w:r w:rsidRPr="00426E8E">
              <w:t>1.996.878</w:t>
            </w:r>
          </w:p>
        </w:tc>
        <w:tc>
          <w:tcPr>
            <w:tcW w:w="700" w:type="pct"/>
            <w:tcBorders>
              <w:top w:val="nil"/>
              <w:left w:val="nil"/>
              <w:bottom w:val="nil"/>
              <w:right w:val="nil"/>
            </w:tcBorders>
            <w:tcMar>
              <w:top w:w="0" w:type="dxa"/>
              <w:left w:w="0" w:type="dxa"/>
              <w:bottom w:w="0" w:type="dxa"/>
              <w:right w:w="0" w:type="dxa"/>
            </w:tcMar>
            <w:hideMark/>
          </w:tcPr>
          <w:p w14:paraId="0073F2AD" w14:textId="77777777" w:rsidR="00426E8E" w:rsidRPr="00426E8E" w:rsidRDefault="00426E8E" w:rsidP="00426E8E">
            <w:pPr>
              <w:jc w:val="both"/>
            </w:pPr>
            <w:r w:rsidRPr="00426E8E">
              <w:t>8</w:t>
            </w:r>
          </w:p>
        </w:tc>
      </w:tr>
      <w:tr w:rsidR="00426E8E" w:rsidRPr="00426E8E" w14:paraId="5D6469AA"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3449FE35" w14:textId="77777777" w:rsidR="00426E8E" w:rsidRPr="00426E8E" w:rsidRDefault="00426E8E" w:rsidP="00426E8E">
            <w:pPr>
              <w:jc w:val="both"/>
            </w:pPr>
            <w:r w:rsidRPr="00426E8E">
              <w:t>Profesional Universitario</w:t>
            </w:r>
          </w:p>
        </w:tc>
        <w:tc>
          <w:tcPr>
            <w:tcW w:w="650" w:type="pct"/>
            <w:tcBorders>
              <w:top w:val="nil"/>
              <w:left w:val="nil"/>
              <w:bottom w:val="nil"/>
              <w:right w:val="nil"/>
            </w:tcBorders>
            <w:tcMar>
              <w:top w:w="0" w:type="dxa"/>
              <w:left w:w="0" w:type="dxa"/>
              <w:bottom w:w="0" w:type="dxa"/>
              <w:right w:w="0" w:type="dxa"/>
            </w:tcMar>
            <w:hideMark/>
          </w:tcPr>
          <w:p w14:paraId="15AA18E3" w14:textId="77777777" w:rsidR="00426E8E" w:rsidRPr="00426E8E" w:rsidRDefault="00426E8E" w:rsidP="00426E8E">
            <w:pPr>
              <w:jc w:val="both"/>
            </w:pPr>
            <w:r w:rsidRPr="00426E8E">
              <w:t>2044</w:t>
            </w:r>
          </w:p>
        </w:tc>
        <w:tc>
          <w:tcPr>
            <w:tcW w:w="750" w:type="pct"/>
            <w:tcBorders>
              <w:top w:val="nil"/>
              <w:left w:val="nil"/>
              <w:bottom w:val="nil"/>
              <w:right w:val="nil"/>
            </w:tcBorders>
            <w:tcMar>
              <w:top w:w="0" w:type="dxa"/>
              <w:left w:w="0" w:type="dxa"/>
              <w:bottom w:w="0" w:type="dxa"/>
              <w:right w:w="0" w:type="dxa"/>
            </w:tcMar>
            <w:hideMark/>
          </w:tcPr>
          <w:p w14:paraId="398989F1" w14:textId="77777777" w:rsidR="00426E8E" w:rsidRPr="00426E8E" w:rsidRDefault="00426E8E" w:rsidP="00426E8E">
            <w:pPr>
              <w:jc w:val="both"/>
            </w:pPr>
            <w:r w:rsidRPr="00426E8E">
              <w:t>06</w:t>
            </w:r>
          </w:p>
        </w:tc>
        <w:tc>
          <w:tcPr>
            <w:tcW w:w="1000" w:type="pct"/>
            <w:tcBorders>
              <w:top w:val="nil"/>
              <w:left w:val="nil"/>
              <w:bottom w:val="nil"/>
              <w:right w:val="nil"/>
            </w:tcBorders>
            <w:tcMar>
              <w:top w:w="0" w:type="dxa"/>
              <w:left w:w="0" w:type="dxa"/>
              <w:bottom w:w="0" w:type="dxa"/>
              <w:right w:w="0" w:type="dxa"/>
            </w:tcMar>
            <w:hideMark/>
          </w:tcPr>
          <w:p w14:paraId="6C7DB558" w14:textId="77777777" w:rsidR="00426E8E" w:rsidRPr="00426E8E" w:rsidRDefault="00426E8E" w:rsidP="00426E8E">
            <w:pPr>
              <w:jc w:val="both"/>
            </w:pPr>
            <w:r w:rsidRPr="00426E8E">
              <w:t>1.812.565</w:t>
            </w:r>
          </w:p>
        </w:tc>
        <w:tc>
          <w:tcPr>
            <w:tcW w:w="700" w:type="pct"/>
            <w:tcBorders>
              <w:top w:val="nil"/>
              <w:left w:val="nil"/>
              <w:bottom w:val="nil"/>
              <w:right w:val="nil"/>
            </w:tcBorders>
            <w:tcMar>
              <w:top w:w="0" w:type="dxa"/>
              <w:left w:w="0" w:type="dxa"/>
              <w:bottom w:w="0" w:type="dxa"/>
              <w:right w:w="0" w:type="dxa"/>
            </w:tcMar>
            <w:hideMark/>
          </w:tcPr>
          <w:p w14:paraId="2DA2E628" w14:textId="77777777" w:rsidR="00426E8E" w:rsidRPr="00426E8E" w:rsidRDefault="00426E8E" w:rsidP="00426E8E">
            <w:pPr>
              <w:jc w:val="both"/>
            </w:pPr>
            <w:r w:rsidRPr="00426E8E">
              <w:t>7</w:t>
            </w:r>
          </w:p>
        </w:tc>
      </w:tr>
      <w:tr w:rsidR="00426E8E" w:rsidRPr="00426E8E" w14:paraId="5A4FD848"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7036967E" w14:textId="77777777" w:rsidR="00426E8E" w:rsidRPr="00426E8E" w:rsidRDefault="00426E8E" w:rsidP="00426E8E">
            <w:pPr>
              <w:jc w:val="both"/>
            </w:pPr>
            <w:r w:rsidRPr="00426E8E">
              <w:t>Profesional Universitario</w:t>
            </w:r>
          </w:p>
        </w:tc>
        <w:tc>
          <w:tcPr>
            <w:tcW w:w="650" w:type="pct"/>
            <w:tcBorders>
              <w:top w:val="nil"/>
              <w:left w:val="nil"/>
              <w:bottom w:val="nil"/>
              <w:right w:val="nil"/>
            </w:tcBorders>
            <w:tcMar>
              <w:top w:w="0" w:type="dxa"/>
              <w:left w:w="0" w:type="dxa"/>
              <w:bottom w:w="0" w:type="dxa"/>
              <w:right w:w="0" w:type="dxa"/>
            </w:tcMar>
            <w:hideMark/>
          </w:tcPr>
          <w:p w14:paraId="793843A6" w14:textId="77777777" w:rsidR="00426E8E" w:rsidRPr="00426E8E" w:rsidRDefault="00426E8E" w:rsidP="00426E8E">
            <w:pPr>
              <w:jc w:val="both"/>
            </w:pPr>
            <w:r w:rsidRPr="00426E8E">
              <w:t>2044</w:t>
            </w:r>
          </w:p>
        </w:tc>
        <w:tc>
          <w:tcPr>
            <w:tcW w:w="750" w:type="pct"/>
            <w:tcBorders>
              <w:top w:val="nil"/>
              <w:left w:val="nil"/>
              <w:bottom w:val="nil"/>
              <w:right w:val="nil"/>
            </w:tcBorders>
            <w:tcMar>
              <w:top w:w="0" w:type="dxa"/>
              <w:left w:w="0" w:type="dxa"/>
              <w:bottom w:w="0" w:type="dxa"/>
              <w:right w:w="0" w:type="dxa"/>
            </w:tcMar>
            <w:hideMark/>
          </w:tcPr>
          <w:p w14:paraId="7E883C73" w14:textId="77777777" w:rsidR="00426E8E" w:rsidRPr="00426E8E" w:rsidRDefault="00426E8E" w:rsidP="00426E8E">
            <w:pPr>
              <w:jc w:val="both"/>
            </w:pPr>
            <w:r w:rsidRPr="00426E8E">
              <w:t>05</w:t>
            </w:r>
          </w:p>
        </w:tc>
        <w:tc>
          <w:tcPr>
            <w:tcW w:w="1000" w:type="pct"/>
            <w:tcBorders>
              <w:top w:val="nil"/>
              <w:left w:val="nil"/>
              <w:bottom w:val="nil"/>
              <w:right w:val="nil"/>
            </w:tcBorders>
            <w:tcMar>
              <w:top w:w="0" w:type="dxa"/>
              <w:left w:w="0" w:type="dxa"/>
              <w:bottom w:w="0" w:type="dxa"/>
              <w:right w:w="0" w:type="dxa"/>
            </w:tcMar>
            <w:hideMark/>
          </w:tcPr>
          <w:p w14:paraId="4B83FF70" w14:textId="77777777" w:rsidR="00426E8E" w:rsidRPr="00426E8E" w:rsidRDefault="00426E8E" w:rsidP="00426E8E">
            <w:pPr>
              <w:jc w:val="both"/>
            </w:pPr>
            <w:r w:rsidRPr="00426E8E">
              <w:t>1.751.572</w:t>
            </w:r>
          </w:p>
        </w:tc>
        <w:tc>
          <w:tcPr>
            <w:tcW w:w="700" w:type="pct"/>
            <w:tcBorders>
              <w:top w:val="nil"/>
              <w:left w:val="nil"/>
              <w:bottom w:val="nil"/>
              <w:right w:val="nil"/>
            </w:tcBorders>
            <w:tcMar>
              <w:top w:w="0" w:type="dxa"/>
              <w:left w:w="0" w:type="dxa"/>
              <w:bottom w:w="0" w:type="dxa"/>
              <w:right w:w="0" w:type="dxa"/>
            </w:tcMar>
            <w:hideMark/>
          </w:tcPr>
          <w:p w14:paraId="21EB48AD" w14:textId="77777777" w:rsidR="00426E8E" w:rsidRPr="00426E8E" w:rsidRDefault="00426E8E" w:rsidP="00426E8E">
            <w:pPr>
              <w:jc w:val="both"/>
            </w:pPr>
            <w:r w:rsidRPr="00426E8E">
              <w:t>124</w:t>
            </w:r>
          </w:p>
        </w:tc>
      </w:tr>
      <w:tr w:rsidR="00426E8E" w:rsidRPr="00426E8E" w14:paraId="5E0A5324"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44292E47" w14:textId="77777777" w:rsidR="00426E8E" w:rsidRPr="00426E8E" w:rsidRDefault="00426E8E" w:rsidP="00426E8E">
            <w:pPr>
              <w:jc w:val="both"/>
            </w:pPr>
            <w:r w:rsidRPr="00426E8E">
              <w:t>Cargo Equivalente</w:t>
            </w:r>
          </w:p>
        </w:tc>
        <w:tc>
          <w:tcPr>
            <w:tcW w:w="750" w:type="pct"/>
            <w:tcBorders>
              <w:top w:val="nil"/>
              <w:left w:val="nil"/>
              <w:bottom w:val="nil"/>
              <w:right w:val="nil"/>
            </w:tcBorders>
            <w:tcMar>
              <w:top w:w="0" w:type="dxa"/>
              <w:left w:w="0" w:type="dxa"/>
              <w:bottom w:w="0" w:type="dxa"/>
              <w:right w:w="0" w:type="dxa"/>
            </w:tcMar>
            <w:hideMark/>
          </w:tcPr>
          <w:p w14:paraId="7AE137C0" w14:textId="77777777" w:rsidR="00426E8E" w:rsidRPr="00426E8E" w:rsidRDefault="00426E8E" w:rsidP="00426E8E">
            <w:pPr>
              <w:jc w:val="both"/>
            </w:pPr>
            <w:r w:rsidRPr="00426E8E">
              <w:t>Código</w:t>
            </w:r>
          </w:p>
        </w:tc>
        <w:tc>
          <w:tcPr>
            <w:tcW w:w="750" w:type="pct"/>
            <w:tcBorders>
              <w:top w:val="nil"/>
              <w:left w:val="nil"/>
              <w:bottom w:val="nil"/>
              <w:right w:val="nil"/>
            </w:tcBorders>
            <w:tcMar>
              <w:top w:w="0" w:type="dxa"/>
              <w:left w:w="0" w:type="dxa"/>
              <w:bottom w:w="0" w:type="dxa"/>
              <w:right w:w="0" w:type="dxa"/>
            </w:tcMar>
            <w:hideMark/>
          </w:tcPr>
          <w:p w14:paraId="2D24B869" w14:textId="77777777" w:rsidR="00426E8E" w:rsidRPr="00426E8E" w:rsidRDefault="00426E8E" w:rsidP="00426E8E">
            <w:pPr>
              <w:jc w:val="both"/>
            </w:pPr>
            <w:r w:rsidRPr="00426E8E">
              <w:t>Grado</w:t>
            </w:r>
          </w:p>
        </w:tc>
        <w:tc>
          <w:tcPr>
            <w:tcW w:w="1000" w:type="pct"/>
            <w:tcBorders>
              <w:top w:val="nil"/>
              <w:left w:val="nil"/>
              <w:bottom w:val="nil"/>
              <w:right w:val="nil"/>
            </w:tcBorders>
            <w:tcMar>
              <w:top w:w="0" w:type="dxa"/>
              <w:left w:w="0" w:type="dxa"/>
              <w:bottom w:w="0" w:type="dxa"/>
              <w:right w:w="0" w:type="dxa"/>
            </w:tcMar>
            <w:hideMark/>
          </w:tcPr>
          <w:p w14:paraId="74C37121" w14:textId="77777777" w:rsidR="00426E8E" w:rsidRPr="00426E8E" w:rsidRDefault="00426E8E" w:rsidP="00426E8E">
            <w:pPr>
              <w:jc w:val="both"/>
            </w:pPr>
            <w:r w:rsidRPr="00426E8E">
              <w:t>Sueldo</w:t>
            </w:r>
            <w:r w:rsidRPr="00426E8E">
              <w:br/>
              <w:t>Mensual</w:t>
            </w:r>
          </w:p>
        </w:tc>
        <w:tc>
          <w:tcPr>
            <w:tcW w:w="650" w:type="pct"/>
            <w:tcBorders>
              <w:top w:val="nil"/>
              <w:left w:val="nil"/>
              <w:bottom w:val="nil"/>
              <w:right w:val="nil"/>
            </w:tcBorders>
            <w:tcMar>
              <w:top w:w="0" w:type="dxa"/>
              <w:left w:w="0" w:type="dxa"/>
              <w:bottom w:w="0" w:type="dxa"/>
              <w:right w:w="0" w:type="dxa"/>
            </w:tcMar>
            <w:hideMark/>
          </w:tcPr>
          <w:p w14:paraId="08D7E8CA" w14:textId="77777777" w:rsidR="00426E8E" w:rsidRPr="00426E8E" w:rsidRDefault="00426E8E" w:rsidP="00426E8E">
            <w:pPr>
              <w:jc w:val="both"/>
            </w:pPr>
            <w:r w:rsidRPr="00426E8E">
              <w:t>No. Cargos</w:t>
            </w:r>
          </w:p>
        </w:tc>
      </w:tr>
      <w:tr w:rsidR="00426E8E" w:rsidRPr="00426E8E" w14:paraId="0199436C"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4D246A0A" w14:textId="77777777" w:rsidR="00426E8E" w:rsidRPr="00426E8E" w:rsidRDefault="00426E8E" w:rsidP="00426E8E">
            <w:pPr>
              <w:jc w:val="both"/>
            </w:pPr>
            <w:r w:rsidRPr="00426E8E">
              <w:t>Técnico Administrativo</w:t>
            </w:r>
          </w:p>
        </w:tc>
        <w:tc>
          <w:tcPr>
            <w:tcW w:w="750" w:type="pct"/>
            <w:tcBorders>
              <w:top w:val="nil"/>
              <w:left w:val="nil"/>
              <w:bottom w:val="nil"/>
              <w:right w:val="nil"/>
            </w:tcBorders>
            <w:tcMar>
              <w:top w:w="0" w:type="dxa"/>
              <w:left w:w="0" w:type="dxa"/>
              <w:bottom w:w="0" w:type="dxa"/>
              <w:right w:w="0" w:type="dxa"/>
            </w:tcMar>
            <w:hideMark/>
          </w:tcPr>
          <w:p w14:paraId="0904D2EF" w14:textId="77777777" w:rsidR="00426E8E" w:rsidRPr="00426E8E" w:rsidRDefault="00426E8E" w:rsidP="00426E8E">
            <w:pPr>
              <w:jc w:val="both"/>
            </w:pPr>
            <w:r w:rsidRPr="00426E8E">
              <w:t>3124</w:t>
            </w:r>
          </w:p>
        </w:tc>
        <w:tc>
          <w:tcPr>
            <w:tcW w:w="750" w:type="pct"/>
            <w:tcBorders>
              <w:top w:val="nil"/>
              <w:left w:val="nil"/>
              <w:bottom w:val="nil"/>
              <w:right w:val="nil"/>
            </w:tcBorders>
            <w:tcMar>
              <w:top w:w="0" w:type="dxa"/>
              <w:left w:w="0" w:type="dxa"/>
              <w:bottom w:w="0" w:type="dxa"/>
              <w:right w:w="0" w:type="dxa"/>
            </w:tcMar>
            <w:hideMark/>
          </w:tcPr>
          <w:p w14:paraId="191CD160" w14:textId="77777777" w:rsidR="00426E8E" w:rsidRPr="00426E8E" w:rsidRDefault="00426E8E" w:rsidP="00426E8E">
            <w:pPr>
              <w:jc w:val="both"/>
            </w:pPr>
            <w:r w:rsidRPr="00426E8E">
              <w:t>17</w:t>
            </w:r>
          </w:p>
        </w:tc>
        <w:tc>
          <w:tcPr>
            <w:tcW w:w="1000" w:type="pct"/>
            <w:tcBorders>
              <w:top w:val="nil"/>
              <w:left w:val="nil"/>
              <w:bottom w:val="nil"/>
              <w:right w:val="nil"/>
            </w:tcBorders>
            <w:tcMar>
              <w:top w:w="0" w:type="dxa"/>
              <w:left w:w="0" w:type="dxa"/>
              <w:bottom w:w="0" w:type="dxa"/>
              <w:right w:w="0" w:type="dxa"/>
            </w:tcMar>
            <w:hideMark/>
          </w:tcPr>
          <w:p w14:paraId="01990C59" w14:textId="77777777" w:rsidR="00426E8E" w:rsidRPr="00426E8E" w:rsidRDefault="00426E8E" w:rsidP="00426E8E">
            <w:pPr>
              <w:jc w:val="both"/>
            </w:pPr>
            <w:r w:rsidRPr="00426E8E">
              <w:t>1.902.054</w:t>
            </w:r>
          </w:p>
        </w:tc>
        <w:tc>
          <w:tcPr>
            <w:tcW w:w="650" w:type="pct"/>
            <w:tcBorders>
              <w:top w:val="nil"/>
              <w:left w:val="nil"/>
              <w:bottom w:val="nil"/>
              <w:right w:val="nil"/>
            </w:tcBorders>
            <w:tcMar>
              <w:top w:w="0" w:type="dxa"/>
              <w:left w:w="0" w:type="dxa"/>
              <w:bottom w:w="0" w:type="dxa"/>
              <w:right w:w="0" w:type="dxa"/>
            </w:tcMar>
            <w:hideMark/>
          </w:tcPr>
          <w:p w14:paraId="677B55D9" w14:textId="77777777" w:rsidR="00426E8E" w:rsidRPr="00426E8E" w:rsidRDefault="00426E8E" w:rsidP="00426E8E">
            <w:pPr>
              <w:jc w:val="both"/>
            </w:pPr>
            <w:r w:rsidRPr="00426E8E">
              <w:t>1</w:t>
            </w:r>
          </w:p>
        </w:tc>
      </w:tr>
      <w:tr w:rsidR="00426E8E" w:rsidRPr="00426E8E" w14:paraId="46F5C3AD"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6FBC4027" w14:textId="77777777" w:rsidR="00426E8E" w:rsidRPr="00426E8E" w:rsidRDefault="00426E8E" w:rsidP="00426E8E">
            <w:pPr>
              <w:jc w:val="both"/>
            </w:pPr>
            <w:r w:rsidRPr="00426E8E">
              <w:t>Técnico Administrativo</w:t>
            </w:r>
          </w:p>
        </w:tc>
        <w:tc>
          <w:tcPr>
            <w:tcW w:w="750" w:type="pct"/>
            <w:tcBorders>
              <w:top w:val="nil"/>
              <w:left w:val="nil"/>
              <w:bottom w:val="nil"/>
              <w:right w:val="nil"/>
            </w:tcBorders>
            <w:tcMar>
              <w:top w:w="0" w:type="dxa"/>
              <w:left w:w="0" w:type="dxa"/>
              <w:bottom w:w="0" w:type="dxa"/>
              <w:right w:w="0" w:type="dxa"/>
            </w:tcMar>
            <w:hideMark/>
          </w:tcPr>
          <w:p w14:paraId="23F601AC" w14:textId="77777777" w:rsidR="00426E8E" w:rsidRPr="00426E8E" w:rsidRDefault="00426E8E" w:rsidP="00426E8E">
            <w:pPr>
              <w:jc w:val="both"/>
            </w:pPr>
            <w:r w:rsidRPr="00426E8E">
              <w:t>3124</w:t>
            </w:r>
          </w:p>
        </w:tc>
        <w:tc>
          <w:tcPr>
            <w:tcW w:w="750" w:type="pct"/>
            <w:tcBorders>
              <w:top w:val="nil"/>
              <w:left w:val="nil"/>
              <w:bottom w:val="nil"/>
              <w:right w:val="nil"/>
            </w:tcBorders>
            <w:tcMar>
              <w:top w:w="0" w:type="dxa"/>
              <w:left w:w="0" w:type="dxa"/>
              <w:bottom w:w="0" w:type="dxa"/>
              <w:right w:w="0" w:type="dxa"/>
            </w:tcMar>
            <w:hideMark/>
          </w:tcPr>
          <w:p w14:paraId="2FAAD8E9" w14:textId="77777777" w:rsidR="00426E8E" w:rsidRPr="00426E8E" w:rsidRDefault="00426E8E" w:rsidP="00426E8E">
            <w:pPr>
              <w:jc w:val="both"/>
            </w:pPr>
            <w:r w:rsidRPr="00426E8E">
              <w:t>16</w:t>
            </w:r>
          </w:p>
        </w:tc>
        <w:tc>
          <w:tcPr>
            <w:tcW w:w="1000" w:type="pct"/>
            <w:tcBorders>
              <w:top w:val="nil"/>
              <w:left w:val="nil"/>
              <w:bottom w:val="nil"/>
              <w:right w:val="nil"/>
            </w:tcBorders>
            <w:tcMar>
              <w:top w:w="0" w:type="dxa"/>
              <w:left w:w="0" w:type="dxa"/>
              <w:bottom w:w="0" w:type="dxa"/>
              <w:right w:w="0" w:type="dxa"/>
            </w:tcMar>
            <w:hideMark/>
          </w:tcPr>
          <w:p w14:paraId="485029AD" w14:textId="77777777" w:rsidR="00426E8E" w:rsidRPr="00426E8E" w:rsidRDefault="00426E8E" w:rsidP="00426E8E">
            <w:pPr>
              <w:jc w:val="both"/>
            </w:pPr>
            <w:r w:rsidRPr="00426E8E">
              <w:t>1.776.750</w:t>
            </w:r>
          </w:p>
        </w:tc>
        <w:tc>
          <w:tcPr>
            <w:tcW w:w="650" w:type="pct"/>
            <w:tcBorders>
              <w:top w:val="nil"/>
              <w:left w:val="nil"/>
              <w:bottom w:val="nil"/>
              <w:right w:val="nil"/>
            </w:tcBorders>
            <w:tcMar>
              <w:top w:w="0" w:type="dxa"/>
              <w:left w:w="0" w:type="dxa"/>
              <w:bottom w:w="0" w:type="dxa"/>
              <w:right w:w="0" w:type="dxa"/>
            </w:tcMar>
            <w:hideMark/>
          </w:tcPr>
          <w:p w14:paraId="465BB32E" w14:textId="77777777" w:rsidR="00426E8E" w:rsidRPr="00426E8E" w:rsidRDefault="00426E8E" w:rsidP="00426E8E">
            <w:pPr>
              <w:jc w:val="both"/>
            </w:pPr>
            <w:r w:rsidRPr="00426E8E">
              <w:t>2</w:t>
            </w:r>
          </w:p>
        </w:tc>
      </w:tr>
      <w:tr w:rsidR="00426E8E" w:rsidRPr="00426E8E" w14:paraId="43901F3B"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5D60A720" w14:textId="77777777" w:rsidR="00426E8E" w:rsidRPr="00426E8E" w:rsidRDefault="00426E8E" w:rsidP="00426E8E">
            <w:pPr>
              <w:jc w:val="both"/>
            </w:pPr>
            <w:r w:rsidRPr="00426E8E">
              <w:t>Técnico Administrativo</w:t>
            </w:r>
          </w:p>
        </w:tc>
        <w:tc>
          <w:tcPr>
            <w:tcW w:w="750" w:type="pct"/>
            <w:tcBorders>
              <w:top w:val="nil"/>
              <w:left w:val="nil"/>
              <w:bottom w:val="nil"/>
              <w:right w:val="nil"/>
            </w:tcBorders>
            <w:tcMar>
              <w:top w:w="0" w:type="dxa"/>
              <w:left w:w="0" w:type="dxa"/>
              <w:bottom w:w="0" w:type="dxa"/>
              <w:right w:w="0" w:type="dxa"/>
            </w:tcMar>
            <w:hideMark/>
          </w:tcPr>
          <w:p w14:paraId="5FF86A50" w14:textId="77777777" w:rsidR="00426E8E" w:rsidRPr="00426E8E" w:rsidRDefault="00426E8E" w:rsidP="00426E8E">
            <w:pPr>
              <w:jc w:val="both"/>
            </w:pPr>
            <w:r w:rsidRPr="00426E8E">
              <w:t>3124</w:t>
            </w:r>
          </w:p>
        </w:tc>
        <w:tc>
          <w:tcPr>
            <w:tcW w:w="750" w:type="pct"/>
            <w:tcBorders>
              <w:top w:val="nil"/>
              <w:left w:val="nil"/>
              <w:bottom w:val="nil"/>
              <w:right w:val="nil"/>
            </w:tcBorders>
            <w:tcMar>
              <w:top w:w="0" w:type="dxa"/>
              <w:left w:w="0" w:type="dxa"/>
              <w:bottom w:w="0" w:type="dxa"/>
              <w:right w:w="0" w:type="dxa"/>
            </w:tcMar>
            <w:hideMark/>
          </w:tcPr>
          <w:p w14:paraId="58136A49" w14:textId="77777777" w:rsidR="00426E8E" w:rsidRPr="00426E8E" w:rsidRDefault="00426E8E" w:rsidP="00426E8E">
            <w:pPr>
              <w:jc w:val="both"/>
            </w:pPr>
            <w:r w:rsidRPr="00426E8E">
              <w:t>13</w:t>
            </w:r>
          </w:p>
        </w:tc>
        <w:tc>
          <w:tcPr>
            <w:tcW w:w="1000" w:type="pct"/>
            <w:tcBorders>
              <w:top w:val="nil"/>
              <w:left w:val="nil"/>
              <w:bottom w:val="nil"/>
              <w:right w:val="nil"/>
            </w:tcBorders>
            <w:tcMar>
              <w:top w:w="0" w:type="dxa"/>
              <w:left w:w="0" w:type="dxa"/>
              <w:bottom w:w="0" w:type="dxa"/>
              <w:right w:w="0" w:type="dxa"/>
            </w:tcMar>
            <w:hideMark/>
          </w:tcPr>
          <w:p w14:paraId="7BE14995" w14:textId="77777777" w:rsidR="00426E8E" w:rsidRPr="00426E8E" w:rsidRDefault="00426E8E" w:rsidP="00426E8E">
            <w:pPr>
              <w:jc w:val="both"/>
            </w:pPr>
            <w:r w:rsidRPr="00426E8E">
              <w:t>1.451.618</w:t>
            </w:r>
          </w:p>
        </w:tc>
        <w:tc>
          <w:tcPr>
            <w:tcW w:w="650" w:type="pct"/>
            <w:tcBorders>
              <w:top w:val="nil"/>
              <w:left w:val="nil"/>
              <w:bottom w:val="nil"/>
              <w:right w:val="nil"/>
            </w:tcBorders>
            <w:tcMar>
              <w:top w:w="0" w:type="dxa"/>
              <w:left w:w="0" w:type="dxa"/>
              <w:bottom w:w="0" w:type="dxa"/>
              <w:right w:w="0" w:type="dxa"/>
            </w:tcMar>
            <w:hideMark/>
          </w:tcPr>
          <w:p w14:paraId="0CD0DBE2" w14:textId="77777777" w:rsidR="00426E8E" w:rsidRPr="00426E8E" w:rsidRDefault="00426E8E" w:rsidP="00426E8E">
            <w:pPr>
              <w:jc w:val="both"/>
            </w:pPr>
            <w:r w:rsidRPr="00426E8E">
              <w:t>15</w:t>
            </w:r>
          </w:p>
        </w:tc>
      </w:tr>
      <w:tr w:rsidR="00426E8E" w:rsidRPr="00426E8E" w14:paraId="14CCF3EC"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0B0AE1C5" w14:textId="77777777" w:rsidR="00426E8E" w:rsidRPr="00426E8E" w:rsidRDefault="00426E8E" w:rsidP="00426E8E">
            <w:pPr>
              <w:jc w:val="both"/>
            </w:pPr>
            <w:r w:rsidRPr="00426E8E">
              <w:t>Técnico Administrativo</w:t>
            </w:r>
          </w:p>
        </w:tc>
        <w:tc>
          <w:tcPr>
            <w:tcW w:w="750" w:type="pct"/>
            <w:tcBorders>
              <w:top w:val="nil"/>
              <w:left w:val="nil"/>
              <w:bottom w:val="nil"/>
              <w:right w:val="nil"/>
            </w:tcBorders>
            <w:tcMar>
              <w:top w:w="0" w:type="dxa"/>
              <w:left w:w="0" w:type="dxa"/>
              <w:bottom w:w="0" w:type="dxa"/>
              <w:right w:w="0" w:type="dxa"/>
            </w:tcMar>
            <w:hideMark/>
          </w:tcPr>
          <w:p w14:paraId="3B83F30C" w14:textId="77777777" w:rsidR="00426E8E" w:rsidRPr="00426E8E" w:rsidRDefault="00426E8E" w:rsidP="00426E8E">
            <w:pPr>
              <w:jc w:val="both"/>
            </w:pPr>
            <w:r w:rsidRPr="00426E8E">
              <w:t>3124</w:t>
            </w:r>
          </w:p>
        </w:tc>
        <w:tc>
          <w:tcPr>
            <w:tcW w:w="750" w:type="pct"/>
            <w:tcBorders>
              <w:top w:val="nil"/>
              <w:left w:val="nil"/>
              <w:bottom w:val="nil"/>
              <w:right w:val="nil"/>
            </w:tcBorders>
            <w:tcMar>
              <w:top w:w="0" w:type="dxa"/>
              <w:left w:w="0" w:type="dxa"/>
              <w:bottom w:w="0" w:type="dxa"/>
              <w:right w:w="0" w:type="dxa"/>
            </w:tcMar>
            <w:hideMark/>
          </w:tcPr>
          <w:p w14:paraId="500FDAD7" w14:textId="77777777" w:rsidR="00426E8E" w:rsidRPr="00426E8E" w:rsidRDefault="00426E8E" w:rsidP="00426E8E">
            <w:pPr>
              <w:jc w:val="both"/>
            </w:pPr>
            <w:r w:rsidRPr="00426E8E">
              <w:t>12</w:t>
            </w:r>
          </w:p>
        </w:tc>
        <w:tc>
          <w:tcPr>
            <w:tcW w:w="1000" w:type="pct"/>
            <w:tcBorders>
              <w:top w:val="nil"/>
              <w:left w:val="nil"/>
              <w:bottom w:val="nil"/>
              <w:right w:val="nil"/>
            </w:tcBorders>
            <w:tcMar>
              <w:top w:w="0" w:type="dxa"/>
              <w:left w:w="0" w:type="dxa"/>
              <w:bottom w:w="0" w:type="dxa"/>
              <w:right w:w="0" w:type="dxa"/>
            </w:tcMar>
            <w:hideMark/>
          </w:tcPr>
          <w:p w14:paraId="0B4B4EE3" w14:textId="77777777" w:rsidR="00426E8E" w:rsidRPr="00426E8E" w:rsidRDefault="00426E8E" w:rsidP="00426E8E">
            <w:pPr>
              <w:jc w:val="both"/>
            </w:pPr>
            <w:r w:rsidRPr="00426E8E">
              <w:t>1.361.208</w:t>
            </w:r>
          </w:p>
        </w:tc>
        <w:tc>
          <w:tcPr>
            <w:tcW w:w="650" w:type="pct"/>
            <w:tcBorders>
              <w:top w:val="nil"/>
              <w:left w:val="nil"/>
              <w:bottom w:val="nil"/>
              <w:right w:val="nil"/>
            </w:tcBorders>
            <w:tcMar>
              <w:top w:w="0" w:type="dxa"/>
              <w:left w:w="0" w:type="dxa"/>
              <w:bottom w:w="0" w:type="dxa"/>
              <w:right w:w="0" w:type="dxa"/>
            </w:tcMar>
            <w:hideMark/>
          </w:tcPr>
          <w:p w14:paraId="631E19B4" w14:textId="77777777" w:rsidR="00426E8E" w:rsidRPr="00426E8E" w:rsidRDefault="00426E8E" w:rsidP="00426E8E">
            <w:pPr>
              <w:jc w:val="both"/>
            </w:pPr>
            <w:r w:rsidRPr="00426E8E">
              <w:t>3</w:t>
            </w:r>
          </w:p>
        </w:tc>
      </w:tr>
      <w:tr w:rsidR="00426E8E" w:rsidRPr="00426E8E" w14:paraId="5BD1D51B"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15B65CEF" w14:textId="77777777" w:rsidR="00426E8E" w:rsidRPr="00426E8E" w:rsidRDefault="00426E8E" w:rsidP="00426E8E">
            <w:pPr>
              <w:jc w:val="both"/>
            </w:pPr>
            <w:r w:rsidRPr="00426E8E">
              <w:t>Técnico Administrativo</w:t>
            </w:r>
          </w:p>
        </w:tc>
        <w:tc>
          <w:tcPr>
            <w:tcW w:w="750" w:type="pct"/>
            <w:tcBorders>
              <w:top w:val="nil"/>
              <w:left w:val="nil"/>
              <w:bottom w:val="nil"/>
              <w:right w:val="nil"/>
            </w:tcBorders>
            <w:tcMar>
              <w:top w:w="0" w:type="dxa"/>
              <w:left w:w="0" w:type="dxa"/>
              <w:bottom w:w="0" w:type="dxa"/>
              <w:right w:w="0" w:type="dxa"/>
            </w:tcMar>
            <w:hideMark/>
          </w:tcPr>
          <w:p w14:paraId="1017F925" w14:textId="77777777" w:rsidR="00426E8E" w:rsidRPr="00426E8E" w:rsidRDefault="00426E8E" w:rsidP="00426E8E">
            <w:pPr>
              <w:jc w:val="both"/>
            </w:pPr>
            <w:r w:rsidRPr="00426E8E">
              <w:t>3124</w:t>
            </w:r>
          </w:p>
        </w:tc>
        <w:tc>
          <w:tcPr>
            <w:tcW w:w="750" w:type="pct"/>
            <w:tcBorders>
              <w:top w:val="nil"/>
              <w:left w:val="nil"/>
              <w:bottom w:val="nil"/>
              <w:right w:val="nil"/>
            </w:tcBorders>
            <w:tcMar>
              <w:top w:w="0" w:type="dxa"/>
              <w:left w:w="0" w:type="dxa"/>
              <w:bottom w:w="0" w:type="dxa"/>
              <w:right w:w="0" w:type="dxa"/>
            </w:tcMar>
            <w:hideMark/>
          </w:tcPr>
          <w:p w14:paraId="02BDBC63" w14:textId="77777777" w:rsidR="00426E8E" w:rsidRPr="00426E8E" w:rsidRDefault="00426E8E" w:rsidP="00426E8E">
            <w:pPr>
              <w:jc w:val="both"/>
            </w:pPr>
            <w:r w:rsidRPr="00426E8E">
              <w:t>06</w:t>
            </w:r>
          </w:p>
        </w:tc>
        <w:tc>
          <w:tcPr>
            <w:tcW w:w="1000" w:type="pct"/>
            <w:tcBorders>
              <w:top w:val="nil"/>
              <w:left w:val="nil"/>
              <w:bottom w:val="nil"/>
              <w:right w:val="nil"/>
            </w:tcBorders>
            <w:tcMar>
              <w:top w:w="0" w:type="dxa"/>
              <w:left w:w="0" w:type="dxa"/>
              <w:bottom w:w="0" w:type="dxa"/>
              <w:right w:w="0" w:type="dxa"/>
            </w:tcMar>
            <w:hideMark/>
          </w:tcPr>
          <w:p w14:paraId="43F0E16E" w14:textId="77777777" w:rsidR="00426E8E" w:rsidRPr="00426E8E" w:rsidRDefault="00426E8E" w:rsidP="00426E8E">
            <w:pPr>
              <w:jc w:val="both"/>
            </w:pPr>
            <w:r w:rsidRPr="00426E8E">
              <w:t>967.698</w:t>
            </w:r>
          </w:p>
        </w:tc>
        <w:tc>
          <w:tcPr>
            <w:tcW w:w="650" w:type="pct"/>
            <w:tcBorders>
              <w:top w:val="nil"/>
              <w:left w:val="nil"/>
              <w:bottom w:val="nil"/>
              <w:right w:val="nil"/>
            </w:tcBorders>
            <w:tcMar>
              <w:top w:w="0" w:type="dxa"/>
              <w:left w:w="0" w:type="dxa"/>
              <w:bottom w:w="0" w:type="dxa"/>
              <w:right w:w="0" w:type="dxa"/>
            </w:tcMar>
            <w:hideMark/>
          </w:tcPr>
          <w:p w14:paraId="0B050D09" w14:textId="77777777" w:rsidR="00426E8E" w:rsidRPr="00426E8E" w:rsidRDefault="00426E8E" w:rsidP="00426E8E">
            <w:pPr>
              <w:jc w:val="both"/>
            </w:pPr>
            <w:r w:rsidRPr="00426E8E">
              <w:t>38</w:t>
            </w:r>
          </w:p>
        </w:tc>
      </w:tr>
      <w:tr w:rsidR="00426E8E" w:rsidRPr="00426E8E" w14:paraId="13D36791"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1BE9478D" w14:textId="77777777" w:rsidR="00426E8E" w:rsidRPr="00426E8E" w:rsidRDefault="00426E8E" w:rsidP="00426E8E">
            <w:pPr>
              <w:jc w:val="both"/>
            </w:pPr>
            <w:r w:rsidRPr="00426E8E">
              <w:t>Auxiliar Administrativo</w:t>
            </w:r>
          </w:p>
        </w:tc>
        <w:tc>
          <w:tcPr>
            <w:tcW w:w="750" w:type="pct"/>
            <w:tcBorders>
              <w:top w:val="nil"/>
              <w:left w:val="nil"/>
              <w:bottom w:val="nil"/>
              <w:right w:val="nil"/>
            </w:tcBorders>
            <w:tcMar>
              <w:top w:w="0" w:type="dxa"/>
              <w:left w:w="0" w:type="dxa"/>
              <w:bottom w:w="0" w:type="dxa"/>
              <w:right w:w="0" w:type="dxa"/>
            </w:tcMar>
            <w:hideMark/>
          </w:tcPr>
          <w:p w14:paraId="5F6A9E6C" w14:textId="77777777" w:rsidR="00426E8E" w:rsidRPr="00426E8E" w:rsidRDefault="00426E8E" w:rsidP="00426E8E">
            <w:pPr>
              <w:jc w:val="both"/>
            </w:pPr>
            <w:r w:rsidRPr="00426E8E">
              <w:t>4044</w:t>
            </w:r>
          </w:p>
        </w:tc>
        <w:tc>
          <w:tcPr>
            <w:tcW w:w="750" w:type="pct"/>
            <w:tcBorders>
              <w:top w:val="nil"/>
              <w:left w:val="nil"/>
              <w:bottom w:val="nil"/>
              <w:right w:val="nil"/>
            </w:tcBorders>
            <w:tcMar>
              <w:top w:w="0" w:type="dxa"/>
              <w:left w:w="0" w:type="dxa"/>
              <w:bottom w:w="0" w:type="dxa"/>
              <w:right w:w="0" w:type="dxa"/>
            </w:tcMar>
            <w:hideMark/>
          </w:tcPr>
          <w:p w14:paraId="184C89E7" w14:textId="77777777" w:rsidR="00426E8E" w:rsidRPr="00426E8E" w:rsidRDefault="00426E8E" w:rsidP="00426E8E">
            <w:pPr>
              <w:jc w:val="both"/>
            </w:pPr>
            <w:r w:rsidRPr="00426E8E">
              <w:t>10</w:t>
            </w:r>
          </w:p>
        </w:tc>
        <w:tc>
          <w:tcPr>
            <w:tcW w:w="1000" w:type="pct"/>
            <w:tcBorders>
              <w:top w:val="nil"/>
              <w:left w:val="nil"/>
              <w:bottom w:val="nil"/>
              <w:right w:val="nil"/>
            </w:tcBorders>
            <w:tcMar>
              <w:top w:w="0" w:type="dxa"/>
              <w:left w:w="0" w:type="dxa"/>
              <w:bottom w:w="0" w:type="dxa"/>
              <w:right w:w="0" w:type="dxa"/>
            </w:tcMar>
            <w:hideMark/>
          </w:tcPr>
          <w:p w14:paraId="4B530F46" w14:textId="77777777" w:rsidR="00426E8E" w:rsidRPr="00426E8E" w:rsidRDefault="00426E8E" w:rsidP="00426E8E">
            <w:pPr>
              <w:jc w:val="both"/>
            </w:pPr>
            <w:r w:rsidRPr="00426E8E">
              <w:t>883.711</w:t>
            </w:r>
          </w:p>
        </w:tc>
        <w:tc>
          <w:tcPr>
            <w:tcW w:w="650" w:type="pct"/>
            <w:tcBorders>
              <w:top w:val="nil"/>
              <w:left w:val="nil"/>
              <w:bottom w:val="nil"/>
              <w:right w:val="nil"/>
            </w:tcBorders>
            <w:tcMar>
              <w:top w:w="0" w:type="dxa"/>
              <w:left w:w="0" w:type="dxa"/>
              <w:bottom w:w="0" w:type="dxa"/>
              <w:right w:w="0" w:type="dxa"/>
            </w:tcMar>
            <w:hideMark/>
          </w:tcPr>
          <w:p w14:paraId="4C7DDEA6" w14:textId="77777777" w:rsidR="00426E8E" w:rsidRPr="00426E8E" w:rsidRDefault="00426E8E" w:rsidP="00426E8E">
            <w:pPr>
              <w:jc w:val="both"/>
            </w:pPr>
            <w:r w:rsidRPr="00426E8E">
              <w:t>8</w:t>
            </w:r>
          </w:p>
        </w:tc>
      </w:tr>
      <w:tr w:rsidR="00426E8E" w:rsidRPr="00426E8E" w14:paraId="61D4CB39" w14:textId="77777777" w:rsidTr="00426E8E">
        <w:trPr>
          <w:tblCellSpacing w:w="15" w:type="dxa"/>
        </w:trPr>
        <w:tc>
          <w:tcPr>
            <w:tcW w:w="1900" w:type="pct"/>
            <w:tcBorders>
              <w:top w:val="nil"/>
              <w:left w:val="nil"/>
              <w:bottom w:val="nil"/>
              <w:right w:val="nil"/>
            </w:tcBorders>
            <w:tcMar>
              <w:top w:w="0" w:type="dxa"/>
              <w:left w:w="0" w:type="dxa"/>
              <w:bottom w:w="0" w:type="dxa"/>
              <w:right w:w="0" w:type="dxa"/>
            </w:tcMar>
            <w:hideMark/>
          </w:tcPr>
          <w:p w14:paraId="3038D050" w14:textId="77777777" w:rsidR="00426E8E" w:rsidRPr="00426E8E" w:rsidRDefault="00426E8E" w:rsidP="00426E8E">
            <w:pPr>
              <w:jc w:val="both"/>
            </w:pPr>
            <w:r w:rsidRPr="00426E8E">
              <w:t>Auxiliar Administrativo</w:t>
            </w:r>
          </w:p>
        </w:tc>
        <w:tc>
          <w:tcPr>
            <w:tcW w:w="750" w:type="pct"/>
            <w:tcBorders>
              <w:top w:val="nil"/>
              <w:left w:val="nil"/>
              <w:bottom w:val="nil"/>
              <w:right w:val="nil"/>
            </w:tcBorders>
            <w:tcMar>
              <w:top w:w="0" w:type="dxa"/>
              <w:left w:w="0" w:type="dxa"/>
              <w:bottom w:w="0" w:type="dxa"/>
              <w:right w:w="0" w:type="dxa"/>
            </w:tcMar>
            <w:hideMark/>
          </w:tcPr>
          <w:p w14:paraId="0E9C4E1B" w14:textId="77777777" w:rsidR="00426E8E" w:rsidRPr="00426E8E" w:rsidRDefault="00426E8E" w:rsidP="00426E8E">
            <w:pPr>
              <w:jc w:val="both"/>
            </w:pPr>
            <w:r w:rsidRPr="00426E8E">
              <w:t>4044</w:t>
            </w:r>
          </w:p>
        </w:tc>
        <w:tc>
          <w:tcPr>
            <w:tcW w:w="750" w:type="pct"/>
            <w:tcBorders>
              <w:top w:val="nil"/>
              <w:left w:val="nil"/>
              <w:bottom w:val="nil"/>
              <w:right w:val="nil"/>
            </w:tcBorders>
            <w:tcMar>
              <w:top w:w="0" w:type="dxa"/>
              <w:left w:w="0" w:type="dxa"/>
              <w:bottom w:w="0" w:type="dxa"/>
              <w:right w:w="0" w:type="dxa"/>
            </w:tcMar>
            <w:hideMark/>
          </w:tcPr>
          <w:p w14:paraId="1D6D0866" w14:textId="77777777" w:rsidR="00426E8E" w:rsidRPr="00426E8E" w:rsidRDefault="00426E8E" w:rsidP="00426E8E">
            <w:pPr>
              <w:jc w:val="both"/>
            </w:pPr>
            <w:r w:rsidRPr="00426E8E">
              <w:t>06</w:t>
            </w:r>
          </w:p>
        </w:tc>
        <w:tc>
          <w:tcPr>
            <w:tcW w:w="1000" w:type="pct"/>
            <w:tcBorders>
              <w:top w:val="nil"/>
              <w:left w:val="nil"/>
              <w:bottom w:val="nil"/>
              <w:right w:val="nil"/>
            </w:tcBorders>
            <w:tcMar>
              <w:top w:w="0" w:type="dxa"/>
              <w:left w:w="0" w:type="dxa"/>
              <w:bottom w:w="0" w:type="dxa"/>
              <w:right w:w="0" w:type="dxa"/>
            </w:tcMar>
            <w:hideMark/>
          </w:tcPr>
          <w:p w14:paraId="7AE7F96F" w14:textId="77777777" w:rsidR="00426E8E" w:rsidRPr="00426E8E" w:rsidRDefault="00426E8E" w:rsidP="00426E8E">
            <w:pPr>
              <w:jc w:val="both"/>
            </w:pPr>
            <w:r w:rsidRPr="00426E8E">
              <w:t>651.735</w:t>
            </w:r>
          </w:p>
        </w:tc>
        <w:tc>
          <w:tcPr>
            <w:tcW w:w="650" w:type="pct"/>
            <w:tcBorders>
              <w:top w:val="nil"/>
              <w:left w:val="nil"/>
              <w:bottom w:val="nil"/>
              <w:right w:val="nil"/>
            </w:tcBorders>
            <w:tcMar>
              <w:top w:w="0" w:type="dxa"/>
              <w:left w:w="0" w:type="dxa"/>
              <w:bottom w:w="0" w:type="dxa"/>
              <w:right w:w="0" w:type="dxa"/>
            </w:tcMar>
            <w:hideMark/>
          </w:tcPr>
          <w:p w14:paraId="305902FF" w14:textId="77777777" w:rsidR="00426E8E" w:rsidRPr="00426E8E" w:rsidRDefault="00426E8E" w:rsidP="00426E8E">
            <w:pPr>
              <w:jc w:val="both"/>
            </w:pPr>
            <w:r w:rsidRPr="00426E8E">
              <w:t>21</w:t>
            </w:r>
          </w:p>
        </w:tc>
      </w:tr>
      <w:tr w:rsidR="00426E8E" w:rsidRPr="00426E8E" w14:paraId="5B0D1BFD" w14:textId="77777777" w:rsidTr="00426E8E">
        <w:trPr>
          <w:tblCellSpacing w:w="15" w:type="dxa"/>
        </w:trPr>
        <w:tc>
          <w:tcPr>
            <w:tcW w:w="2650" w:type="pct"/>
            <w:tcBorders>
              <w:top w:val="nil"/>
              <w:left w:val="nil"/>
              <w:bottom w:val="nil"/>
              <w:right w:val="nil"/>
            </w:tcBorders>
            <w:tcMar>
              <w:top w:w="0" w:type="dxa"/>
              <w:left w:w="0" w:type="dxa"/>
              <w:bottom w:w="0" w:type="dxa"/>
              <w:right w:w="0" w:type="dxa"/>
            </w:tcMar>
            <w:hideMark/>
          </w:tcPr>
          <w:p w14:paraId="3B853AB3" w14:textId="77777777" w:rsidR="00426E8E" w:rsidRPr="00426E8E" w:rsidRDefault="00426E8E" w:rsidP="00426E8E">
            <w:pPr>
              <w:jc w:val="both"/>
            </w:pPr>
            <w:proofErr w:type="gramStart"/>
            <w:r w:rsidRPr="00426E8E">
              <w:t>TOTAL</w:t>
            </w:r>
            <w:proofErr w:type="gramEnd"/>
            <w:r w:rsidRPr="00426E8E">
              <w:t xml:space="preserve"> CARGOS EQUIVALENTES</w:t>
            </w:r>
          </w:p>
        </w:tc>
        <w:tc>
          <w:tcPr>
            <w:tcW w:w="1700" w:type="pct"/>
            <w:gridSpan w:val="2"/>
            <w:tcBorders>
              <w:top w:val="nil"/>
              <w:left w:val="nil"/>
              <w:bottom w:val="nil"/>
              <w:right w:val="nil"/>
            </w:tcBorders>
            <w:tcMar>
              <w:top w:w="0" w:type="dxa"/>
              <w:left w:w="0" w:type="dxa"/>
              <w:bottom w:w="0" w:type="dxa"/>
              <w:right w:w="0" w:type="dxa"/>
            </w:tcMar>
            <w:hideMark/>
          </w:tcPr>
          <w:p w14:paraId="0129BB93" w14:textId="77777777" w:rsidR="00426E8E" w:rsidRPr="00426E8E" w:rsidRDefault="00426E8E" w:rsidP="00426E8E">
            <w:pPr>
              <w:jc w:val="both"/>
            </w:pPr>
            <w:r w:rsidRPr="00426E8E">
              <w:t> </w:t>
            </w:r>
          </w:p>
        </w:tc>
        <w:tc>
          <w:tcPr>
            <w:tcW w:w="650" w:type="pct"/>
            <w:gridSpan w:val="2"/>
            <w:tcBorders>
              <w:top w:val="nil"/>
              <w:left w:val="nil"/>
              <w:bottom w:val="nil"/>
              <w:right w:val="nil"/>
            </w:tcBorders>
            <w:tcMar>
              <w:top w:w="0" w:type="dxa"/>
              <w:left w:w="0" w:type="dxa"/>
              <w:bottom w:w="0" w:type="dxa"/>
              <w:right w:w="0" w:type="dxa"/>
            </w:tcMar>
            <w:hideMark/>
          </w:tcPr>
          <w:p w14:paraId="390DA203" w14:textId="77777777" w:rsidR="00426E8E" w:rsidRPr="00426E8E" w:rsidRDefault="00426E8E" w:rsidP="00426E8E">
            <w:pPr>
              <w:jc w:val="both"/>
            </w:pPr>
            <w:r w:rsidRPr="00426E8E">
              <w:t>24</w:t>
            </w:r>
          </w:p>
        </w:tc>
      </w:tr>
    </w:tbl>
    <w:p w14:paraId="20F7A87B" w14:textId="28BD2375" w:rsidR="00426E8E" w:rsidRPr="00426E8E" w:rsidRDefault="00426E8E" w:rsidP="00426E8E">
      <w:pPr>
        <w:jc w:val="both"/>
      </w:pPr>
      <w:r w:rsidRPr="00426E8E">
        <w:rPr>
          <w:b/>
          <w:bCs/>
        </w:rPr>
        <w:t>PARÁGRAFO.</w:t>
      </w:r>
      <w:r w:rsidRPr="00426E8E">
        <w:t> Las demás disposiciones contenidas en la Resolución 3721 del 20 de diciembre de 2007 y sus prórrogas y modificaciones, aplican en toda su extensión para la presente prórroga de la planta transitoria de personal supernumerario.</w:t>
      </w:r>
    </w:p>
    <w:p w14:paraId="58073BEB" w14:textId="77777777" w:rsidR="00426E8E" w:rsidRPr="00426E8E" w:rsidRDefault="00426E8E" w:rsidP="00426E8E">
      <w:pPr>
        <w:jc w:val="both"/>
      </w:pPr>
      <w:bookmarkStart w:id="1" w:name="2"/>
      <w:r w:rsidRPr="00426E8E">
        <w:rPr>
          <w:b/>
          <w:bCs/>
        </w:rPr>
        <w:t>ARTÍCULO SEGUNDO.</w:t>
      </w:r>
      <w:bookmarkEnd w:id="1"/>
      <w:r w:rsidRPr="00426E8E">
        <w:t> La efectividad de la vinculación del personal supernumerario será a partir de la fecha de suscripción del acta de vinculación y hasta el 30 de junio de 2014.</w:t>
      </w:r>
    </w:p>
    <w:p w14:paraId="289279EB" w14:textId="77777777" w:rsidR="00426E8E" w:rsidRPr="00426E8E" w:rsidRDefault="00426E8E" w:rsidP="00426E8E">
      <w:pPr>
        <w:jc w:val="both"/>
      </w:pPr>
      <w:bookmarkStart w:id="2" w:name="3"/>
      <w:r w:rsidRPr="00426E8E">
        <w:rPr>
          <w:b/>
          <w:bCs/>
        </w:rPr>
        <w:lastRenderedPageBreak/>
        <w:t>ARTÍCULO TERCERO.</w:t>
      </w:r>
      <w:bookmarkEnd w:id="2"/>
      <w:r w:rsidRPr="00426E8E">
        <w:t> Las actividades que cumplirá el personal supernumerario vinculado en cumplimiento de la presente Resolución serán las estipuladas en la Resolución 3724 del 20 de diciembre de 2007.</w:t>
      </w:r>
    </w:p>
    <w:p w14:paraId="165BF428" w14:textId="77777777" w:rsidR="00426E8E" w:rsidRPr="00426E8E" w:rsidRDefault="00426E8E" w:rsidP="00426E8E">
      <w:pPr>
        <w:jc w:val="both"/>
      </w:pPr>
      <w:bookmarkStart w:id="3" w:name="4"/>
      <w:r w:rsidRPr="00426E8E">
        <w:rPr>
          <w:b/>
          <w:bCs/>
        </w:rPr>
        <w:t>ARTÍCULO CUARTO.</w:t>
      </w:r>
      <w:bookmarkEnd w:id="3"/>
      <w:r w:rsidRPr="00426E8E">
        <w:t> El pago de sueldos, emolumentos laborales, prestaciones sociales y transferencias que se generen por la vinculación del personal supernumerario de que trata la presente Resolución, se realizará con cargo al identificador presupuestal. PROGRAMA 310, DIVULGACIÓN, ASISTENCIA TÉCNICA Y CAPACITACIÓN DEL RECURSO HUMANO, SUBPROGRAMA 300 INTERSUBSECTORIAL SALUD, PROYECTO 002 – “ASISTENCIA PARA EL FORTALECIMIENTO DEL SNBF PARA LA ATENCIÓN DEL SERVICIO PÚBLICO DE BIENESTAR FAMILIAR, 104 Gastos de Personal Supernumerario”.</w:t>
      </w:r>
    </w:p>
    <w:p w14:paraId="60B25674" w14:textId="77777777" w:rsidR="00426E8E" w:rsidRPr="00426E8E" w:rsidRDefault="00426E8E" w:rsidP="00426E8E">
      <w:pPr>
        <w:jc w:val="both"/>
      </w:pPr>
      <w:bookmarkStart w:id="4" w:name="5"/>
      <w:r w:rsidRPr="00426E8E">
        <w:rPr>
          <w:b/>
          <w:bCs/>
        </w:rPr>
        <w:t>ARTÍCULO QUINTO.</w:t>
      </w:r>
      <w:bookmarkEnd w:id="4"/>
      <w:r w:rsidRPr="00426E8E">
        <w:t> La presente Resolución rige a partir de la fecha de su expedición.</w:t>
      </w:r>
    </w:p>
    <w:p w14:paraId="34AB9BA0" w14:textId="77777777" w:rsidR="00426E8E" w:rsidRPr="003A7265" w:rsidRDefault="00426E8E" w:rsidP="00426E8E">
      <w:pPr>
        <w:jc w:val="center"/>
        <w:rPr>
          <w:b/>
          <w:bCs/>
        </w:rPr>
      </w:pPr>
      <w:r w:rsidRPr="003A7265">
        <w:rPr>
          <w:b/>
          <w:bCs/>
        </w:rPr>
        <w:t>COMUNIQUESE Y CUMPLASE</w:t>
      </w:r>
    </w:p>
    <w:p w14:paraId="367E09CA" w14:textId="7FE355B8" w:rsidR="00426E8E" w:rsidRPr="00426E8E" w:rsidRDefault="00426E8E" w:rsidP="00426E8E">
      <w:pPr>
        <w:jc w:val="center"/>
      </w:pPr>
      <w:r w:rsidRPr="00426E8E">
        <w:t xml:space="preserve">Dada en Bogotá D.C., </w:t>
      </w:r>
      <w:proofErr w:type="gramStart"/>
      <w:r w:rsidRPr="00426E8E">
        <w:t>a los</w:t>
      </w:r>
      <w:r>
        <w:t xml:space="preserve"> </w:t>
      </w:r>
      <w:r w:rsidRPr="00426E8E">
        <w:t>2</w:t>
      </w:r>
      <w:r>
        <w:t xml:space="preserve"> de enero de 2014</w:t>
      </w:r>
      <w:proofErr w:type="gramEnd"/>
    </w:p>
    <w:p w14:paraId="1C4A5ADC" w14:textId="77777777" w:rsidR="00426E8E" w:rsidRPr="00426E8E" w:rsidRDefault="00426E8E" w:rsidP="00426E8E">
      <w:pPr>
        <w:jc w:val="center"/>
      </w:pPr>
      <w:r w:rsidRPr="00426E8E">
        <w:rPr>
          <w:b/>
          <w:bCs/>
        </w:rPr>
        <w:t>MARCO AURELIO ZULUAGA GIRALDO</w:t>
      </w:r>
    </w:p>
    <w:p w14:paraId="6B8C608B" w14:textId="77777777" w:rsidR="00426E8E" w:rsidRPr="00426E8E" w:rsidRDefault="00426E8E" w:rsidP="00426E8E">
      <w:pPr>
        <w:jc w:val="center"/>
      </w:pPr>
      <w:r w:rsidRPr="00426E8E">
        <w:t>Director General</w:t>
      </w:r>
    </w:p>
    <w:p w14:paraId="5DDF1AAA" w14:textId="77777777" w:rsidR="0081255F" w:rsidRDefault="0081255F" w:rsidP="00426E8E">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A7"/>
    <w:rsid w:val="000E78A7"/>
    <w:rsid w:val="003A7265"/>
    <w:rsid w:val="00426E8E"/>
    <w:rsid w:val="004532A1"/>
    <w:rsid w:val="008125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DBF1"/>
  <w15:chartTrackingRefBased/>
  <w15:docId w15:val="{C506FD60-766E-4B69-9D77-46B14C67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6E8E"/>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6E8E"/>
    <w:rPr>
      <w:color w:val="0563C1" w:themeColor="hyperlink"/>
      <w:u w:val="single"/>
    </w:rPr>
  </w:style>
  <w:style w:type="character" w:styleId="Mencinsinresolver">
    <w:name w:val="Unresolved Mention"/>
    <w:basedOn w:val="Fuentedeprrafopredeter"/>
    <w:uiPriority w:val="99"/>
    <w:semiHidden/>
    <w:unhideWhenUsed/>
    <w:rsid w:val="00426E8E"/>
    <w:rPr>
      <w:color w:val="605E5C"/>
      <w:shd w:val="clear" w:color="auto" w:fill="E1DFDD"/>
    </w:rPr>
  </w:style>
  <w:style w:type="paragraph" w:styleId="Sinespaciado">
    <w:name w:val="No Spacing"/>
    <w:uiPriority w:val="1"/>
    <w:qFormat/>
    <w:rsid w:val="003A72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0989">
      <w:bodyDiv w:val="1"/>
      <w:marLeft w:val="0"/>
      <w:marRight w:val="0"/>
      <w:marTop w:val="0"/>
      <w:marBottom w:val="0"/>
      <w:divBdr>
        <w:top w:val="none" w:sz="0" w:space="0" w:color="auto"/>
        <w:left w:val="none" w:sz="0" w:space="0" w:color="auto"/>
        <w:bottom w:val="none" w:sz="0" w:space="0" w:color="auto"/>
        <w:right w:val="none" w:sz="0" w:space="0" w:color="auto"/>
      </w:divBdr>
    </w:div>
    <w:div w:id="340083310">
      <w:bodyDiv w:val="1"/>
      <w:marLeft w:val="0"/>
      <w:marRight w:val="0"/>
      <w:marTop w:val="0"/>
      <w:marBottom w:val="0"/>
      <w:divBdr>
        <w:top w:val="none" w:sz="0" w:space="0" w:color="auto"/>
        <w:left w:val="none" w:sz="0" w:space="0" w:color="auto"/>
        <w:bottom w:val="none" w:sz="0" w:space="0" w:color="auto"/>
        <w:right w:val="none" w:sz="0" w:space="0" w:color="auto"/>
      </w:divBdr>
    </w:div>
    <w:div w:id="1073892490">
      <w:bodyDiv w:val="1"/>
      <w:marLeft w:val="0"/>
      <w:marRight w:val="0"/>
      <w:marTop w:val="0"/>
      <w:marBottom w:val="0"/>
      <w:divBdr>
        <w:top w:val="none" w:sz="0" w:space="0" w:color="auto"/>
        <w:left w:val="none" w:sz="0" w:space="0" w:color="auto"/>
        <w:bottom w:val="none" w:sz="0" w:space="0" w:color="auto"/>
        <w:right w:val="none" w:sz="0" w:space="0" w:color="auto"/>
      </w:divBdr>
    </w:div>
    <w:div w:id="1078554435">
      <w:bodyDiv w:val="1"/>
      <w:marLeft w:val="0"/>
      <w:marRight w:val="0"/>
      <w:marTop w:val="0"/>
      <w:marBottom w:val="0"/>
      <w:divBdr>
        <w:top w:val="none" w:sz="0" w:space="0" w:color="auto"/>
        <w:left w:val="none" w:sz="0" w:space="0" w:color="auto"/>
        <w:bottom w:val="none" w:sz="0" w:space="0" w:color="auto"/>
        <w:right w:val="none" w:sz="0" w:space="0" w:color="auto"/>
      </w:divBdr>
    </w:div>
    <w:div w:id="1257328872">
      <w:bodyDiv w:val="1"/>
      <w:marLeft w:val="0"/>
      <w:marRight w:val="0"/>
      <w:marTop w:val="0"/>
      <w:marBottom w:val="0"/>
      <w:divBdr>
        <w:top w:val="none" w:sz="0" w:space="0" w:color="auto"/>
        <w:left w:val="none" w:sz="0" w:space="0" w:color="auto"/>
        <w:bottom w:val="none" w:sz="0" w:space="0" w:color="auto"/>
        <w:right w:val="none" w:sz="0" w:space="0" w:color="auto"/>
      </w:divBdr>
    </w:div>
    <w:div w:id="170243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34388-928E-48E8-9C22-1735D7971DB9}"/>
</file>

<file path=customXml/itemProps2.xml><?xml version="1.0" encoding="utf-8"?>
<ds:datastoreItem xmlns:ds="http://schemas.openxmlformats.org/officeDocument/2006/customXml" ds:itemID="{A068A7D5-BE31-4226-B4CB-9BE33F7F1398}"/>
</file>

<file path=customXml/itemProps3.xml><?xml version="1.0" encoding="utf-8"?>
<ds:datastoreItem xmlns:ds="http://schemas.openxmlformats.org/officeDocument/2006/customXml" ds:itemID="{0E9ED25B-865B-465E-AA8F-6C5D655C0F5F}"/>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6175</Characters>
  <Application>Microsoft Office Word</Application>
  <DocSecurity>0</DocSecurity>
  <Lines>192</Lines>
  <Paragraphs>130</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2026-01-14T19:54:00Z</dcterms:created>
  <dcterms:modified xsi:type="dcterms:W3CDTF">2026-01-14T19:54:00Z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