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E52C" w14:textId="323699F4" w:rsidR="002E30B4" w:rsidRDefault="1198922D" w:rsidP="43E99702">
      <w:pPr>
        <w:jc w:val="center"/>
        <w:rPr>
          <w:rFonts w:ascii="Verdana" w:eastAsia="Verdana" w:hAnsi="Verdana" w:cs="Verdana"/>
          <w:b/>
          <w:bCs/>
          <w:color w:val="000000" w:themeColor="text1"/>
          <w:sz w:val="22"/>
          <w:szCs w:val="22"/>
        </w:rPr>
      </w:pPr>
      <w:r w:rsidRPr="43E99702">
        <w:rPr>
          <w:rFonts w:ascii="Verdana" w:eastAsia="Verdana" w:hAnsi="Verdana" w:cs="Verdana"/>
          <w:b/>
          <w:bCs/>
          <w:color w:val="000000" w:themeColor="text1"/>
          <w:sz w:val="22"/>
          <w:szCs w:val="22"/>
        </w:rPr>
        <w:t xml:space="preserve">RESOLUCIÓN 1959 DE 1989 </w:t>
      </w:r>
    </w:p>
    <w:p w14:paraId="741055D0" w14:textId="79AAD172" w:rsidR="004E3661" w:rsidRPr="004E3661" w:rsidRDefault="004E3661" w:rsidP="004E3661">
      <w:pPr>
        <w:pStyle w:val="Sinespaciado"/>
        <w:rPr>
          <w:rFonts w:ascii="Verdana" w:hAnsi="Verdana"/>
          <w:sz w:val="20"/>
          <w:szCs w:val="20"/>
        </w:rPr>
      </w:pPr>
      <w:r w:rsidRPr="004E3661">
        <w:rPr>
          <w:rFonts w:ascii="Verdana" w:hAnsi="Verdana"/>
          <w:sz w:val="20"/>
          <w:szCs w:val="20"/>
        </w:rPr>
        <w:t>Fecha de Expedición: 23 de octubre de 1989</w:t>
      </w:r>
    </w:p>
    <w:p w14:paraId="1F8836DB" w14:textId="2137EDCF" w:rsidR="004E3661" w:rsidRPr="004E3661" w:rsidRDefault="004E3661" w:rsidP="004E3661">
      <w:pPr>
        <w:pStyle w:val="Sinespaciado"/>
        <w:rPr>
          <w:rFonts w:ascii="Verdana" w:hAnsi="Verdana"/>
          <w:sz w:val="20"/>
          <w:szCs w:val="20"/>
        </w:rPr>
      </w:pPr>
      <w:r w:rsidRPr="004E3661">
        <w:rPr>
          <w:rFonts w:ascii="Verdana" w:hAnsi="Verdana"/>
          <w:sz w:val="20"/>
          <w:szCs w:val="20"/>
        </w:rPr>
        <w:t xml:space="preserve">Fecha de entrada en vigencia: 23 de octubre de 1989  </w:t>
      </w:r>
    </w:p>
    <w:p w14:paraId="77D2021D" w14:textId="47EB1957" w:rsidR="004E3661" w:rsidRDefault="004E3661" w:rsidP="004E3661">
      <w:pPr>
        <w:pStyle w:val="Sinespaciado"/>
        <w:rPr>
          <w:rFonts w:ascii="Verdana" w:hAnsi="Verdana"/>
          <w:sz w:val="20"/>
          <w:szCs w:val="20"/>
        </w:rPr>
      </w:pPr>
      <w:r w:rsidRPr="004E3661">
        <w:rPr>
          <w:rFonts w:ascii="Verdana" w:hAnsi="Verdana"/>
          <w:sz w:val="20"/>
          <w:szCs w:val="20"/>
        </w:rPr>
        <w:t xml:space="preserve">Estado de la vigencia: </w:t>
      </w:r>
      <w:r>
        <w:rPr>
          <w:rFonts w:ascii="Verdana" w:hAnsi="Verdana"/>
          <w:sz w:val="20"/>
          <w:szCs w:val="20"/>
        </w:rPr>
        <w:t xml:space="preserve"> </w:t>
      </w:r>
      <w:r w:rsidRPr="004E3661">
        <w:rPr>
          <w:rFonts w:ascii="Verdana" w:hAnsi="Verdana"/>
          <w:sz w:val="20"/>
          <w:szCs w:val="20"/>
        </w:rPr>
        <w:t>derogada por el artículo 28 de la Resolución 1400 de 1996</w:t>
      </w:r>
      <w:r w:rsidRPr="004E3661">
        <w:rPr>
          <w:rFonts w:ascii="Verdana" w:hAnsi="Verdana"/>
          <w:sz w:val="20"/>
          <w:szCs w:val="20"/>
        </w:rPr>
        <w:tab/>
      </w:r>
    </w:p>
    <w:p w14:paraId="1FE6B9CA" w14:textId="77777777" w:rsidR="004E3661" w:rsidRDefault="004E3661" w:rsidP="004E3661">
      <w:pPr>
        <w:pStyle w:val="Sinespaciado"/>
        <w:rPr>
          <w:rFonts w:ascii="Verdana" w:hAnsi="Verdana"/>
          <w:sz w:val="20"/>
          <w:szCs w:val="20"/>
        </w:rPr>
      </w:pPr>
    </w:p>
    <w:p w14:paraId="5800839F" w14:textId="4EA80C25" w:rsidR="004E3661" w:rsidRPr="004E3661" w:rsidRDefault="004E3661" w:rsidP="004E3661">
      <w:pPr>
        <w:pStyle w:val="Sinespaciado"/>
        <w:rPr>
          <w:rFonts w:ascii="Verdana" w:hAnsi="Verdana"/>
          <w:sz w:val="20"/>
          <w:szCs w:val="20"/>
        </w:rPr>
      </w:pPr>
      <w:r w:rsidRPr="004E3661">
        <w:rPr>
          <w:rFonts w:ascii="Verdana" w:hAnsi="Verdana"/>
          <w:sz w:val="20"/>
          <w:szCs w:val="20"/>
        </w:rPr>
        <w:t>Fecha de publicación en Diario Oficial: N/A</w:t>
      </w:r>
    </w:p>
    <w:p w14:paraId="5C1A07E2" w14:textId="26C6535D" w:rsidR="002E30B4" w:rsidRDefault="004E3661" w:rsidP="004E3661">
      <w:pPr>
        <w:pStyle w:val="Sinespaciado"/>
        <w:rPr>
          <w:rFonts w:ascii="Verdana" w:hAnsi="Verdana"/>
          <w:sz w:val="20"/>
          <w:szCs w:val="20"/>
        </w:rPr>
      </w:pPr>
      <w:r w:rsidRPr="004E3661">
        <w:rPr>
          <w:rFonts w:ascii="Verdana" w:hAnsi="Verdana"/>
          <w:sz w:val="20"/>
          <w:szCs w:val="20"/>
        </w:rPr>
        <w:t>Número del Diario Oficial: N/A</w:t>
      </w:r>
    </w:p>
    <w:p w14:paraId="353B9840" w14:textId="77777777" w:rsidR="004E3661" w:rsidRPr="004E3661" w:rsidRDefault="004E3661" w:rsidP="004E3661">
      <w:pPr>
        <w:pStyle w:val="Sinespaciado"/>
        <w:rPr>
          <w:rFonts w:ascii="Verdana" w:hAnsi="Verdana"/>
          <w:sz w:val="20"/>
          <w:szCs w:val="20"/>
        </w:rPr>
      </w:pPr>
    </w:p>
    <w:p w14:paraId="6791330C" w14:textId="0CC91FB5"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RESOLUCIÓN 1959 DE 1989</w:t>
      </w:r>
    </w:p>
    <w:p w14:paraId="6E327E0A" w14:textId="712D1367"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(23</w:t>
      </w:r>
      <w:r w:rsidR="332C1406" w:rsidRPr="43E99702">
        <w:rPr>
          <w:rFonts w:ascii="Verdana" w:eastAsia="Verdana" w:hAnsi="Verdana" w:cs="Verdana"/>
          <w:b/>
          <w:bCs/>
          <w:sz w:val="22"/>
          <w:szCs w:val="22"/>
        </w:rPr>
        <w:t xml:space="preserve"> de</w:t>
      </w:r>
      <w:r w:rsidRPr="43E99702">
        <w:rPr>
          <w:rFonts w:ascii="Verdana" w:eastAsia="Verdana" w:hAnsi="Verdana" w:cs="Verdana"/>
          <w:b/>
          <w:bCs/>
          <w:sz w:val="22"/>
          <w:szCs w:val="22"/>
        </w:rPr>
        <w:t xml:space="preserve"> octubre)</w:t>
      </w:r>
    </w:p>
    <w:p w14:paraId="7333C619" w14:textId="7FB526E1" w:rsidR="07AD20CB" w:rsidRDefault="07AD20CB" w:rsidP="43E99702">
      <w:pPr>
        <w:jc w:val="center"/>
        <w:rPr>
          <w:rFonts w:ascii="Verdana" w:eastAsia="Verdana" w:hAnsi="Verdana" w:cs="Verdana"/>
          <w:sz w:val="22"/>
          <w:szCs w:val="22"/>
        </w:rPr>
      </w:pPr>
      <w:r w:rsidRPr="43E99702">
        <w:rPr>
          <w:rFonts w:ascii="Verdana" w:eastAsia="Verdana" w:hAnsi="Verdana" w:cs="Verdana"/>
          <w:b/>
          <w:bCs/>
          <w:sz w:val="22"/>
          <w:szCs w:val="22"/>
        </w:rPr>
        <w:t>INSTITUTO COLOMBIANO DE BIENSTAR FAMILIAR</w:t>
      </w:r>
    </w:p>
    <w:p w14:paraId="363B8159" w14:textId="72B9C5E7" w:rsidR="07AD20CB" w:rsidRDefault="07AD20CB" w:rsidP="43E99702">
      <w:pPr>
        <w:jc w:val="center"/>
        <w:rPr>
          <w:rFonts w:ascii="Verdana" w:eastAsia="Verdana" w:hAnsi="Verdana" w:cs="Verdana"/>
          <w:sz w:val="22"/>
          <w:szCs w:val="22"/>
        </w:rPr>
      </w:pPr>
      <w:r w:rsidRPr="43E99702">
        <w:rPr>
          <w:rFonts w:ascii="Verdana" w:eastAsia="Verdana" w:hAnsi="Verdana" w:cs="Verdana"/>
          <w:sz w:val="22"/>
          <w:szCs w:val="22"/>
        </w:rPr>
        <w:t>“Por la cual se adopta el registro de constructores de entidades públicas para el ICBF y se dictan normas sobre contratación de obras públicas”</w:t>
      </w:r>
    </w:p>
    <w:p w14:paraId="758AAC81" w14:textId="6800C3D9"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EL DIRECTOR GENERAL DEL INSTITUTO COLOMBIANO DE BIENESTAR FAMILIAR</w:t>
      </w:r>
    </w:p>
    <w:p w14:paraId="54F78D6B" w14:textId="7528CDAE" w:rsidR="07AD20CB" w:rsidRDefault="07AD20CB" w:rsidP="43E99702">
      <w:pPr>
        <w:jc w:val="center"/>
        <w:rPr>
          <w:rFonts w:ascii="Verdana" w:eastAsia="Verdana" w:hAnsi="Verdana" w:cs="Verdana"/>
          <w:sz w:val="22"/>
          <w:szCs w:val="22"/>
        </w:rPr>
      </w:pPr>
      <w:r w:rsidRPr="43E99702">
        <w:rPr>
          <w:rFonts w:ascii="Verdana" w:eastAsia="Verdana" w:hAnsi="Verdana" w:cs="Verdana"/>
          <w:sz w:val="22"/>
          <w:szCs w:val="22"/>
        </w:rPr>
        <w:t>en uso de sus facultades legales y estatutarias.</w:t>
      </w:r>
    </w:p>
    <w:p w14:paraId="5CE72A7F" w14:textId="53C05D76"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CONSIDERANDO:</w:t>
      </w:r>
    </w:p>
    <w:p w14:paraId="67074825" w14:textId="71D98C93" w:rsidR="07AD20CB" w:rsidRDefault="07AD20CB" w:rsidP="43E99702">
      <w:pPr>
        <w:pStyle w:val="Prrafodelista"/>
        <w:numPr>
          <w:ilvl w:val="0"/>
          <w:numId w:val="4"/>
        </w:numPr>
        <w:jc w:val="both"/>
        <w:rPr>
          <w:rFonts w:ascii="Verdana" w:eastAsia="Verdana" w:hAnsi="Verdana" w:cs="Verdana"/>
          <w:sz w:val="22"/>
          <w:szCs w:val="22"/>
        </w:rPr>
      </w:pPr>
      <w:r w:rsidRPr="43E99702">
        <w:rPr>
          <w:rFonts w:ascii="Verdana" w:eastAsia="Verdana" w:hAnsi="Verdana" w:cs="Verdana"/>
          <w:sz w:val="22"/>
          <w:szCs w:val="22"/>
        </w:rPr>
        <w:t>Que la celebración de contratos de obras públicas del ICBF, es de carácter excepcional.</w:t>
      </w:r>
    </w:p>
    <w:p w14:paraId="09304CC2" w14:textId="48D7F69A" w:rsidR="07AD20CB" w:rsidRDefault="07AD20CB" w:rsidP="43E99702">
      <w:pPr>
        <w:pStyle w:val="Prrafodelista"/>
        <w:numPr>
          <w:ilvl w:val="0"/>
          <w:numId w:val="4"/>
        </w:numPr>
        <w:jc w:val="both"/>
        <w:rPr>
          <w:rFonts w:ascii="Verdana" w:eastAsia="Verdana" w:hAnsi="Verdana" w:cs="Verdana"/>
          <w:sz w:val="22"/>
          <w:szCs w:val="22"/>
        </w:rPr>
      </w:pPr>
      <w:r w:rsidRPr="43E99702">
        <w:rPr>
          <w:rFonts w:ascii="Verdana" w:eastAsia="Verdana" w:hAnsi="Verdana" w:cs="Verdana"/>
          <w:sz w:val="22"/>
          <w:szCs w:val="22"/>
        </w:rPr>
        <w:t xml:space="preserve">Que el artículo 6o. del Decreto 1522 de 1983 faculta a las entidades </w:t>
      </w:r>
      <w:r w:rsidR="230D8668" w:rsidRPr="43E99702">
        <w:rPr>
          <w:rFonts w:ascii="Verdana" w:eastAsia="Verdana" w:hAnsi="Verdana" w:cs="Verdana"/>
          <w:sz w:val="22"/>
          <w:szCs w:val="22"/>
        </w:rPr>
        <w:t>públicas</w:t>
      </w:r>
      <w:r w:rsidRPr="43E99702">
        <w:rPr>
          <w:rFonts w:ascii="Verdana" w:eastAsia="Verdana" w:hAnsi="Verdana" w:cs="Verdana"/>
          <w:sz w:val="22"/>
          <w:szCs w:val="22"/>
        </w:rPr>
        <w:t xml:space="preserve"> para </w:t>
      </w:r>
      <w:r w:rsidR="4BB136FE" w:rsidRPr="43E99702">
        <w:rPr>
          <w:rFonts w:ascii="Verdana" w:eastAsia="Verdana" w:hAnsi="Verdana" w:cs="Verdana"/>
          <w:sz w:val="22"/>
          <w:szCs w:val="22"/>
        </w:rPr>
        <w:t>que,</w:t>
      </w:r>
      <w:r w:rsidRPr="43E99702">
        <w:rPr>
          <w:rFonts w:ascii="Verdana" w:eastAsia="Verdana" w:hAnsi="Verdana" w:cs="Verdana"/>
          <w:sz w:val="22"/>
          <w:szCs w:val="22"/>
        </w:rPr>
        <w:t xml:space="preserve"> mediante resolución motivada, señalen los registros de constructores de otras entidades públicas que utilizarán en los contratos de obras públicas.</w:t>
      </w:r>
    </w:p>
    <w:p w14:paraId="253EED43" w14:textId="2002B7B1"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RESUELVE:</w:t>
      </w:r>
    </w:p>
    <w:p w14:paraId="4D792FFD" w14:textId="5F953768"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ARTÍCULO 1o.</w:t>
      </w:r>
      <w:r w:rsidRPr="43E99702">
        <w:rPr>
          <w:rFonts w:ascii="Verdana" w:eastAsia="Verdana" w:hAnsi="Verdana" w:cs="Verdana"/>
          <w:sz w:val="22"/>
          <w:szCs w:val="22"/>
        </w:rPr>
        <w:t xml:space="preserve">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La celebración de contratos de obras públicas en el ICBF, se efectuará con base en los registros de constructores que lleven las entidades públicas. Para tales efectos, en cada oportunidad el ICBF mediante resolución motivada, determinará el registro de la entidad a utilizar.</w:t>
      </w:r>
    </w:p>
    <w:p w14:paraId="1B862E6D" w14:textId="744510C7"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ARTÍCULO 2o.</w:t>
      </w:r>
      <w:r w:rsidRPr="43E99702">
        <w:rPr>
          <w:rFonts w:ascii="Verdana" w:eastAsia="Verdana" w:hAnsi="Verdana" w:cs="Verdana"/>
          <w:sz w:val="22"/>
          <w:szCs w:val="22"/>
        </w:rPr>
        <w:t xml:space="preserve">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Los proponentes deben acompañar sus ofertas del certificado sobre calificación, clasificación y vigencia de la inscripción, expedida por la entidad correspondiente.</w:t>
      </w:r>
    </w:p>
    <w:p w14:paraId="6503F7D7" w14:textId="706CE3DA"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 xml:space="preserve">ARTÍCULO 3o.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Además de las exigencias consagradas en el decreto 222 de 1983, las licitaciones que se abran para contratos de obras </w:t>
      </w:r>
      <w:r w:rsidR="56605AA8" w:rsidRPr="43E99702">
        <w:rPr>
          <w:rFonts w:ascii="Verdana" w:eastAsia="Verdana" w:hAnsi="Verdana" w:cs="Verdana"/>
          <w:sz w:val="22"/>
          <w:szCs w:val="22"/>
        </w:rPr>
        <w:t>públicas</w:t>
      </w:r>
      <w:r w:rsidRPr="43E99702">
        <w:rPr>
          <w:rFonts w:ascii="Verdana" w:eastAsia="Verdana" w:hAnsi="Verdana" w:cs="Verdana"/>
          <w:sz w:val="22"/>
          <w:szCs w:val="22"/>
        </w:rPr>
        <w:t xml:space="preserve"> deberán observar las siguientes reglas:</w:t>
      </w:r>
    </w:p>
    <w:p w14:paraId="731CFD79" w14:textId="7C6BEFD6" w:rsidR="07AD20CB" w:rsidRDefault="07AD20CB" w:rsidP="43E99702">
      <w:pPr>
        <w:pStyle w:val="Prrafodelista"/>
        <w:numPr>
          <w:ilvl w:val="0"/>
          <w:numId w:val="3"/>
        </w:numPr>
        <w:jc w:val="both"/>
        <w:rPr>
          <w:rFonts w:ascii="Verdana" w:eastAsia="Verdana" w:hAnsi="Verdana" w:cs="Verdana"/>
          <w:sz w:val="22"/>
          <w:szCs w:val="22"/>
        </w:rPr>
      </w:pPr>
      <w:r w:rsidRPr="43E99702">
        <w:rPr>
          <w:rFonts w:ascii="Verdana" w:eastAsia="Verdana" w:hAnsi="Verdana" w:cs="Verdana"/>
          <w:sz w:val="22"/>
          <w:szCs w:val="22"/>
        </w:rPr>
        <w:t xml:space="preserve">No podrá licitarse ni contratarse la ejecución de una obra sin que previamente se hayan elaborado los planos, estudios, especificaciones </w:t>
      </w:r>
      <w:r w:rsidRPr="43E99702">
        <w:rPr>
          <w:rFonts w:ascii="Verdana" w:eastAsia="Verdana" w:hAnsi="Verdana" w:cs="Verdana"/>
          <w:sz w:val="22"/>
          <w:szCs w:val="22"/>
        </w:rPr>
        <w:lastRenderedPageBreak/>
        <w:t>técnicas, proyectos y presupuestos respectivos y determinado las demás especificaciones para su identificación, según el caso.</w:t>
      </w:r>
    </w:p>
    <w:p w14:paraId="6F82FFDA" w14:textId="388B2B5B" w:rsidR="07AD20CB" w:rsidRDefault="07AD20CB" w:rsidP="43E99702">
      <w:pPr>
        <w:pStyle w:val="Prrafodelista"/>
        <w:numPr>
          <w:ilvl w:val="0"/>
          <w:numId w:val="3"/>
        </w:numPr>
        <w:jc w:val="both"/>
        <w:rPr>
          <w:rFonts w:ascii="Verdana" w:eastAsia="Verdana" w:hAnsi="Verdana" w:cs="Verdana"/>
          <w:sz w:val="22"/>
          <w:szCs w:val="22"/>
        </w:rPr>
      </w:pPr>
      <w:r w:rsidRPr="43E99702">
        <w:rPr>
          <w:rFonts w:ascii="Verdana" w:eastAsia="Verdana" w:hAnsi="Verdana" w:cs="Verdana"/>
          <w:sz w:val="22"/>
          <w:szCs w:val="22"/>
        </w:rPr>
        <w:t>Las Juntas de Licitaciones y Adquisiciones en las sesiones para aprobar los pliegos respectivos, se informarán sobre lo siguiente:</w:t>
      </w:r>
    </w:p>
    <w:p w14:paraId="366D7D4B" w14:textId="271A7365"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Documentos que acreditan la calidad del ICBF frente al inmueble.</w:t>
      </w:r>
    </w:p>
    <w:p w14:paraId="18116561" w14:textId="57A42BBC"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Término entre la apertura y cierre de la licitación.</w:t>
      </w:r>
    </w:p>
    <w:p w14:paraId="652839B7" w14:textId="7EFBA815"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Clase de obra que se pretende contratar.</w:t>
      </w:r>
    </w:p>
    <w:p w14:paraId="55B42754" w14:textId="3D51624F"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Valor del presupuesto oficial.</w:t>
      </w:r>
    </w:p>
    <w:p w14:paraId="18304BCD" w14:textId="74FA982D"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Certificado de disponibilidad presupuestal.</w:t>
      </w:r>
    </w:p>
    <w:p w14:paraId="6523AA88" w14:textId="56C75174" w:rsidR="07AD20CB" w:rsidRDefault="07AD20CB" w:rsidP="43E99702">
      <w:pPr>
        <w:pStyle w:val="Prrafodelista"/>
        <w:numPr>
          <w:ilvl w:val="1"/>
          <w:numId w:val="3"/>
        </w:numPr>
        <w:jc w:val="both"/>
        <w:rPr>
          <w:rFonts w:ascii="Verdana" w:eastAsia="Verdana" w:hAnsi="Verdana" w:cs="Verdana"/>
          <w:sz w:val="22"/>
          <w:szCs w:val="22"/>
        </w:rPr>
      </w:pPr>
      <w:r w:rsidRPr="43E99702">
        <w:rPr>
          <w:rFonts w:ascii="Verdana" w:eastAsia="Verdana" w:hAnsi="Verdana" w:cs="Verdana"/>
          <w:sz w:val="22"/>
          <w:szCs w:val="22"/>
        </w:rPr>
        <w:t>Sistema de calificación empleado por las entidades públicas de que trata el artículo lo. que se aplicará.</w:t>
      </w:r>
    </w:p>
    <w:p w14:paraId="37D35061" w14:textId="4C0E590D"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ARTÍCULO 4o.</w:t>
      </w:r>
      <w:r w:rsidRPr="43E99702">
        <w:rPr>
          <w:rFonts w:ascii="Verdana" w:eastAsia="Verdana" w:hAnsi="Verdana" w:cs="Verdana"/>
          <w:sz w:val="22"/>
          <w:szCs w:val="22"/>
        </w:rPr>
        <w:t xml:space="preserve">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Tanto el presupuesto oficial como la programación de obra deberán elaborarse teniendo en cuenta las características del sitio de la obra, disponibilidad y costo de la mano de obra, transporte y clima imperante durante la época de construcción, etc.</w:t>
      </w:r>
    </w:p>
    <w:p w14:paraId="3C7917BE" w14:textId="74940320" w:rsidR="07AD20CB" w:rsidRDefault="07AD20CB" w:rsidP="43E99702">
      <w:pPr>
        <w:jc w:val="both"/>
        <w:rPr>
          <w:rFonts w:ascii="Verdana" w:eastAsia="Verdana" w:hAnsi="Verdana" w:cs="Verdana"/>
          <w:sz w:val="22"/>
          <w:szCs w:val="22"/>
        </w:rPr>
      </w:pPr>
      <w:r w:rsidRPr="43E99702">
        <w:rPr>
          <w:rFonts w:ascii="Verdana" w:eastAsia="Verdana" w:hAnsi="Verdana" w:cs="Verdana"/>
          <w:sz w:val="22"/>
          <w:szCs w:val="22"/>
        </w:rPr>
        <w:t>El presupuesto oficial debe comprender como mínimo los siguientes puntos:</w:t>
      </w:r>
    </w:p>
    <w:p w14:paraId="521EEC27" w14:textId="32387514"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Lista de precios, materiales y mano de obra completa y actualizada.</w:t>
      </w:r>
    </w:p>
    <w:p w14:paraId="42231C8D" w14:textId="22CB928A"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Cantidades de obra reales y completas calculadas, ciñéndose a los planos completos previamente elaborados, y estudios técnicos, según el caso.</w:t>
      </w:r>
    </w:p>
    <w:p w14:paraId="4830FA3F" w14:textId="7C004792"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Especificaciones particulares completas de la obra.</w:t>
      </w:r>
    </w:p>
    <w:p w14:paraId="3B87E218" w14:textId="3FD74A47"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Análisis básicos de todos los concretos, hierros y morteros, a utilizarse en la obra.</w:t>
      </w:r>
    </w:p>
    <w:p w14:paraId="2EB3E1FC" w14:textId="46DBCFCC"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Análisis de precios unitarios de todos los ítems del presupuesto.</w:t>
      </w:r>
    </w:p>
    <w:p w14:paraId="764409B7" w14:textId="0DE585FD"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Presupuesto completo elaborado en el formato suministrado por la División de Servicios Generales incluyendo el porcentaje AIU.</w:t>
      </w:r>
    </w:p>
    <w:p w14:paraId="34FD83A2" w14:textId="2557A2C3"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Programación de obra necesaria para fijar su tiempo máximo de ejecución.</w:t>
      </w:r>
    </w:p>
    <w:p w14:paraId="28BB7149" w14:textId="2FB412B8"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Licencia de construcción, donde las autoridades así lo exigieren.</w:t>
      </w:r>
    </w:p>
    <w:p w14:paraId="75BD3C7E" w14:textId="5FD64A21" w:rsidR="07AD20CB" w:rsidRDefault="07AD20CB" w:rsidP="43E99702">
      <w:pPr>
        <w:pStyle w:val="Prrafodelista"/>
        <w:numPr>
          <w:ilvl w:val="0"/>
          <w:numId w:val="2"/>
        </w:numPr>
        <w:jc w:val="both"/>
        <w:rPr>
          <w:rFonts w:ascii="Verdana" w:eastAsia="Verdana" w:hAnsi="Verdana" w:cs="Verdana"/>
          <w:sz w:val="22"/>
          <w:szCs w:val="22"/>
        </w:rPr>
      </w:pPr>
      <w:r w:rsidRPr="43E99702">
        <w:rPr>
          <w:rFonts w:ascii="Verdana" w:eastAsia="Verdana" w:hAnsi="Verdana" w:cs="Verdana"/>
          <w:sz w:val="22"/>
          <w:szCs w:val="22"/>
        </w:rPr>
        <w:t xml:space="preserve">Cualquier otro documento </w:t>
      </w:r>
      <w:r w:rsidR="5D376AB4" w:rsidRPr="43E99702">
        <w:rPr>
          <w:rFonts w:ascii="Verdana" w:eastAsia="Verdana" w:hAnsi="Verdana" w:cs="Verdana"/>
          <w:sz w:val="22"/>
          <w:szCs w:val="22"/>
        </w:rPr>
        <w:t>que,</w:t>
      </w:r>
      <w:r w:rsidRPr="43E99702">
        <w:rPr>
          <w:rFonts w:ascii="Verdana" w:eastAsia="Verdana" w:hAnsi="Verdana" w:cs="Verdana"/>
          <w:sz w:val="22"/>
          <w:szCs w:val="22"/>
        </w:rPr>
        <w:t xml:space="preserve"> para iniciación y ejecución de la obra, se considere necesario.</w:t>
      </w:r>
    </w:p>
    <w:p w14:paraId="03E74C02" w14:textId="0BE026F3"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ARTÍCULO 5o.</w:t>
      </w:r>
      <w:r w:rsidRPr="43E99702">
        <w:rPr>
          <w:rFonts w:ascii="Verdana" w:eastAsia="Verdana" w:hAnsi="Verdana" w:cs="Verdana"/>
          <w:sz w:val="22"/>
          <w:szCs w:val="22"/>
        </w:rPr>
        <w:t xml:space="preserve">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Las propuestas en las licitaciones de obras públicas del ICBF, deberán ser presentadas junto con los siguientes anexos en formatos suministrados por el ICBF:</w:t>
      </w:r>
    </w:p>
    <w:p w14:paraId="44CE3E09" w14:textId="751D594E"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Carta de presentación de la propuesta.</w:t>
      </w:r>
    </w:p>
    <w:p w14:paraId="4799C798" w14:textId="3F6696FF"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Lista de precios de materiales y mano de obra.</w:t>
      </w:r>
    </w:p>
    <w:p w14:paraId="3350AE4B" w14:textId="0ABA3722"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Análisis básico de precios unitarios, especificando cada uno de los concretos, hierros y morteros que utilizará.</w:t>
      </w:r>
    </w:p>
    <w:p w14:paraId="5B23A467" w14:textId="52D7EB3F"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Programación de obra, flujo de inversión informando su cronograma de actividades, donde se especificarán tiempos de iniciación y terminación que no superen el plazo máximo fijado por el ICBF para la ejecución de la obra.</w:t>
      </w:r>
    </w:p>
    <w:p w14:paraId="0BE0435D" w14:textId="2A015EF3"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Valor total de la propuesta.</w:t>
      </w:r>
    </w:p>
    <w:p w14:paraId="50D7124E" w14:textId="680A0894"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lastRenderedPageBreak/>
        <w:t>Plan de inversión del anticipo.</w:t>
      </w:r>
    </w:p>
    <w:p w14:paraId="3FC55645" w14:textId="2081E9E5"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Balance financiero del semestre anterior a la fecha del cierre de la licitación y certificado de contador público inscrito, junto con fotocopia autenticada de su matrícula.</w:t>
      </w:r>
    </w:p>
    <w:p w14:paraId="1E38CEBF" w14:textId="0D3E8C37"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Relación del equipo y maquinaria que empleará en la ejecución del contrato.</w:t>
      </w:r>
    </w:p>
    <w:p w14:paraId="3E34D935" w14:textId="69D3C0FD"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Información sobre la organización administrativa que dispondrá para la correcta ejecución de la obra.</w:t>
      </w:r>
    </w:p>
    <w:p w14:paraId="7E118312" w14:textId="2FD989FC"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Relación de las posibles obras que desea subcontratar.</w:t>
      </w:r>
    </w:p>
    <w:p w14:paraId="19484908" w14:textId="60DE00EE" w:rsidR="07AD20CB" w:rsidRDefault="07AD20CB" w:rsidP="43E99702">
      <w:pPr>
        <w:pStyle w:val="Prrafodelista"/>
        <w:numPr>
          <w:ilvl w:val="0"/>
          <w:numId w:val="1"/>
        </w:numPr>
        <w:jc w:val="both"/>
        <w:rPr>
          <w:rFonts w:ascii="Verdana" w:eastAsia="Verdana" w:hAnsi="Verdana" w:cs="Verdana"/>
          <w:sz w:val="22"/>
          <w:szCs w:val="22"/>
        </w:rPr>
      </w:pPr>
      <w:r w:rsidRPr="43E99702">
        <w:rPr>
          <w:rFonts w:ascii="Verdana" w:eastAsia="Verdana" w:hAnsi="Verdana" w:cs="Verdana"/>
          <w:sz w:val="22"/>
          <w:szCs w:val="22"/>
        </w:rPr>
        <w:t>Constancia de visita al sitio de la obra, suscrita por quienes indique el respectivo formato.</w:t>
      </w:r>
    </w:p>
    <w:p w14:paraId="1E5A121A" w14:textId="7833507F" w:rsidR="07AD20CB" w:rsidRDefault="07AD20CB" w:rsidP="43E99702">
      <w:pPr>
        <w:jc w:val="both"/>
        <w:rPr>
          <w:rFonts w:ascii="Verdana" w:eastAsia="Verdana" w:hAnsi="Verdana" w:cs="Verdana"/>
          <w:sz w:val="22"/>
          <w:szCs w:val="22"/>
        </w:rPr>
      </w:pPr>
      <w:r w:rsidRPr="43E99702">
        <w:rPr>
          <w:rFonts w:ascii="Verdana" w:eastAsia="Verdana" w:hAnsi="Verdana" w:cs="Verdana"/>
          <w:b/>
          <w:bCs/>
          <w:sz w:val="22"/>
          <w:szCs w:val="22"/>
        </w:rPr>
        <w:t>ARTÍCULO 6o.</w:t>
      </w:r>
      <w:r w:rsidRPr="43E99702">
        <w:rPr>
          <w:rFonts w:ascii="Verdana" w:eastAsia="Verdana" w:hAnsi="Verdana" w:cs="Verdana"/>
          <w:sz w:val="22"/>
          <w:szCs w:val="22"/>
        </w:rPr>
        <w:t xml:space="preserve"> </w:t>
      </w:r>
      <w:r w:rsidR="763E1401" w:rsidRPr="43E99702">
        <w:rPr>
          <w:rFonts w:ascii="Verdana" w:eastAsia="Verdana" w:hAnsi="Verdana" w:cs="Verdana"/>
          <w:sz w:val="22"/>
          <w:szCs w:val="22"/>
        </w:rPr>
        <w:t>[</w:t>
      </w:r>
      <w:r w:rsidRPr="43E99702">
        <w:rPr>
          <w:rFonts w:ascii="Verdana" w:eastAsia="Verdana" w:hAnsi="Verdana" w:cs="Verdana"/>
          <w:sz w:val="22"/>
          <w:szCs w:val="22"/>
        </w:rPr>
        <w:t>Resolución derogada por el artículo 28 de la Resolución 1400 de 1996</w:t>
      </w:r>
      <w:r w:rsidR="0B587E45" w:rsidRPr="43E99702">
        <w:rPr>
          <w:rFonts w:ascii="Verdana" w:eastAsia="Verdana" w:hAnsi="Verdana" w:cs="Verdana"/>
          <w:sz w:val="22"/>
          <w:szCs w:val="22"/>
        </w:rPr>
        <w:t>]</w:t>
      </w:r>
      <w:r w:rsidRPr="43E99702">
        <w:rPr>
          <w:rFonts w:ascii="Verdana" w:eastAsia="Verdana" w:hAnsi="Verdana" w:cs="Verdana"/>
          <w:sz w:val="22"/>
          <w:szCs w:val="22"/>
        </w:rPr>
        <w:t xml:space="preserve"> La presente resolución rige a partir de la fecha de su expedición y deroga las disposiciones que le sean contrarias.</w:t>
      </w:r>
    </w:p>
    <w:p w14:paraId="100E5338" w14:textId="67F498B1"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COMUNÍQUESE Y CÚMPLASE</w:t>
      </w:r>
      <w:r w:rsidR="11FDF27B" w:rsidRPr="43E99702">
        <w:rPr>
          <w:rFonts w:ascii="Verdana" w:eastAsia="Verdana" w:hAnsi="Verdana" w:cs="Verdana"/>
          <w:b/>
          <w:bCs/>
          <w:sz w:val="22"/>
          <w:szCs w:val="22"/>
        </w:rPr>
        <w:t xml:space="preserve">, </w:t>
      </w:r>
    </w:p>
    <w:p w14:paraId="279F812D" w14:textId="74300B01" w:rsidR="07AD20CB" w:rsidRDefault="07AD20CB" w:rsidP="43E99702">
      <w:pPr>
        <w:jc w:val="center"/>
        <w:rPr>
          <w:rFonts w:ascii="Verdana" w:eastAsia="Verdana" w:hAnsi="Verdana" w:cs="Verdana"/>
          <w:sz w:val="22"/>
          <w:szCs w:val="22"/>
        </w:rPr>
      </w:pPr>
      <w:r w:rsidRPr="43E99702">
        <w:rPr>
          <w:rFonts w:ascii="Verdana" w:eastAsia="Verdana" w:hAnsi="Verdana" w:cs="Verdana"/>
          <w:sz w:val="22"/>
          <w:szCs w:val="22"/>
        </w:rPr>
        <w:t xml:space="preserve">Dada en </w:t>
      </w:r>
      <w:r w:rsidR="6B35DF7F" w:rsidRPr="43E99702">
        <w:rPr>
          <w:rFonts w:ascii="Verdana" w:eastAsia="Verdana" w:hAnsi="Verdana" w:cs="Verdana"/>
          <w:sz w:val="22"/>
          <w:szCs w:val="22"/>
        </w:rPr>
        <w:t>Bogotá</w:t>
      </w:r>
      <w:r w:rsidRPr="43E99702">
        <w:rPr>
          <w:rFonts w:ascii="Verdana" w:eastAsia="Verdana" w:hAnsi="Verdana" w:cs="Verdana"/>
          <w:sz w:val="22"/>
          <w:szCs w:val="22"/>
        </w:rPr>
        <w:t xml:space="preserve">, D. E. a 23 </w:t>
      </w:r>
      <w:r w:rsidR="51DFEEBE" w:rsidRPr="43E99702">
        <w:rPr>
          <w:rFonts w:ascii="Verdana" w:eastAsia="Verdana" w:hAnsi="Verdana" w:cs="Verdana"/>
          <w:sz w:val="22"/>
          <w:szCs w:val="22"/>
        </w:rPr>
        <w:t xml:space="preserve">días del mes de octubre de </w:t>
      </w:r>
      <w:r w:rsidRPr="43E99702">
        <w:rPr>
          <w:rFonts w:ascii="Verdana" w:eastAsia="Verdana" w:hAnsi="Verdana" w:cs="Verdana"/>
          <w:sz w:val="22"/>
          <w:szCs w:val="22"/>
        </w:rPr>
        <w:t>1989</w:t>
      </w:r>
    </w:p>
    <w:p w14:paraId="4D08C442" w14:textId="7D35EFCE"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JOSÉ GRANADA RODRÍGUEZ</w:t>
      </w:r>
    </w:p>
    <w:p w14:paraId="01D1611B" w14:textId="761D6185" w:rsidR="07AD20CB" w:rsidRDefault="07AD20CB" w:rsidP="43E99702">
      <w:pPr>
        <w:jc w:val="center"/>
        <w:rPr>
          <w:rFonts w:ascii="Verdana" w:eastAsia="Verdana" w:hAnsi="Verdana" w:cs="Verdana"/>
          <w:sz w:val="22"/>
          <w:szCs w:val="22"/>
        </w:rPr>
      </w:pPr>
      <w:r w:rsidRPr="43E99702">
        <w:rPr>
          <w:rFonts w:ascii="Verdana" w:eastAsia="Verdana" w:hAnsi="Verdana" w:cs="Verdana"/>
          <w:sz w:val="22"/>
          <w:szCs w:val="22"/>
        </w:rPr>
        <w:t>DIRECTOR GENERAL</w:t>
      </w:r>
    </w:p>
    <w:p w14:paraId="31715E6B" w14:textId="7431BE0F" w:rsidR="07AD20CB" w:rsidRDefault="07AD20CB" w:rsidP="43E99702">
      <w:pPr>
        <w:jc w:val="center"/>
        <w:rPr>
          <w:rFonts w:ascii="Verdana" w:eastAsia="Verdana" w:hAnsi="Verdana" w:cs="Verdana"/>
          <w:b/>
          <w:bCs/>
          <w:sz w:val="22"/>
          <w:szCs w:val="22"/>
        </w:rPr>
      </w:pPr>
      <w:r w:rsidRPr="43E99702">
        <w:rPr>
          <w:rFonts w:ascii="Verdana" w:eastAsia="Verdana" w:hAnsi="Verdana" w:cs="Verdana"/>
          <w:b/>
          <w:bCs/>
          <w:sz w:val="22"/>
          <w:szCs w:val="22"/>
        </w:rPr>
        <w:t>ALBA OTILIA DUEÑAS DE PÉREZ</w:t>
      </w:r>
    </w:p>
    <w:p w14:paraId="25EC1F88" w14:textId="5CFEC63C" w:rsidR="07AD20CB" w:rsidRDefault="07AD20CB" w:rsidP="43E99702">
      <w:pPr>
        <w:jc w:val="center"/>
        <w:rPr>
          <w:rFonts w:ascii="Verdana" w:eastAsia="Verdana" w:hAnsi="Verdana" w:cs="Verdana"/>
          <w:sz w:val="22"/>
          <w:szCs w:val="22"/>
        </w:rPr>
      </w:pPr>
      <w:r w:rsidRPr="43E99702">
        <w:rPr>
          <w:rFonts w:ascii="Verdana" w:eastAsia="Verdana" w:hAnsi="Verdana" w:cs="Verdana"/>
          <w:sz w:val="22"/>
          <w:szCs w:val="22"/>
        </w:rPr>
        <w:t>SECRETARIA GENERAL</w:t>
      </w:r>
    </w:p>
    <w:p w14:paraId="30B21E41" w14:textId="02834357" w:rsidR="43E99702" w:rsidRDefault="43E99702" w:rsidP="43E99702">
      <w:pPr>
        <w:jc w:val="center"/>
        <w:rPr>
          <w:rFonts w:ascii="Verdana" w:eastAsia="Verdana" w:hAnsi="Verdana" w:cs="Verdana"/>
          <w:sz w:val="22"/>
          <w:szCs w:val="22"/>
        </w:rPr>
      </w:pPr>
    </w:p>
    <w:sectPr w:rsidR="43E997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C18C"/>
    <w:multiLevelType w:val="hybridMultilevel"/>
    <w:tmpl w:val="37B0AF68"/>
    <w:lvl w:ilvl="0" w:tplc="DC347AE6">
      <w:start w:val="1"/>
      <w:numFmt w:val="decimal"/>
      <w:lvlText w:val="%1."/>
      <w:lvlJc w:val="left"/>
      <w:pPr>
        <w:ind w:left="720" w:hanging="360"/>
      </w:pPr>
    </w:lvl>
    <w:lvl w:ilvl="1" w:tplc="67941F24">
      <w:start w:val="1"/>
      <w:numFmt w:val="lowerLetter"/>
      <w:lvlText w:val="%2."/>
      <w:lvlJc w:val="left"/>
      <w:pPr>
        <w:ind w:left="1440" w:hanging="360"/>
      </w:pPr>
    </w:lvl>
    <w:lvl w:ilvl="2" w:tplc="20B886CC">
      <w:start w:val="1"/>
      <w:numFmt w:val="lowerRoman"/>
      <w:lvlText w:val="%3."/>
      <w:lvlJc w:val="right"/>
      <w:pPr>
        <w:ind w:left="2160" w:hanging="180"/>
      </w:pPr>
    </w:lvl>
    <w:lvl w:ilvl="3" w:tplc="A73E8086">
      <w:start w:val="1"/>
      <w:numFmt w:val="decimal"/>
      <w:lvlText w:val="%4."/>
      <w:lvlJc w:val="left"/>
      <w:pPr>
        <w:ind w:left="2880" w:hanging="360"/>
      </w:pPr>
    </w:lvl>
    <w:lvl w:ilvl="4" w:tplc="1FA8DADC">
      <w:start w:val="1"/>
      <w:numFmt w:val="lowerLetter"/>
      <w:lvlText w:val="%5."/>
      <w:lvlJc w:val="left"/>
      <w:pPr>
        <w:ind w:left="3600" w:hanging="360"/>
      </w:pPr>
    </w:lvl>
    <w:lvl w:ilvl="5" w:tplc="E37A4514">
      <w:start w:val="1"/>
      <w:numFmt w:val="lowerRoman"/>
      <w:lvlText w:val="%6."/>
      <w:lvlJc w:val="right"/>
      <w:pPr>
        <w:ind w:left="4320" w:hanging="180"/>
      </w:pPr>
    </w:lvl>
    <w:lvl w:ilvl="6" w:tplc="6ABAFB28">
      <w:start w:val="1"/>
      <w:numFmt w:val="decimal"/>
      <w:lvlText w:val="%7."/>
      <w:lvlJc w:val="left"/>
      <w:pPr>
        <w:ind w:left="5040" w:hanging="360"/>
      </w:pPr>
    </w:lvl>
    <w:lvl w:ilvl="7" w:tplc="F0FC9B78">
      <w:start w:val="1"/>
      <w:numFmt w:val="lowerLetter"/>
      <w:lvlText w:val="%8."/>
      <w:lvlJc w:val="left"/>
      <w:pPr>
        <w:ind w:left="5760" w:hanging="360"/>
      </w:pPr>
    </w:lvl>
    <w:lvl w:ilvl="8" w:tplc="B0368BD8">
      <w:start w:val="1"/>
      <w:numFmt w:val="lowerRoman"/>
      <w:lvlText w:val="%9."/>
      <w:lvlJc w:val="right"/>
      <w:pPr>
        <w:ind w:left="6480" w:hanging="180"/>
      </w:pPr>
    </w:lvl>
  </w:abstractNum>
  <w:abstractNum w:abstractNumId="1" w15:restartNumberingAfterBreak="0">
    <w:nsid w:val="3A298823"/>
    <w:multiLevelType w:val="hybridMultilevel"/>
    <w:tmpl w:val="B4221550"/>
    <w:lvl w:ilvl="0" w:tplc="E6FE399A">
      <w:start w:val="1"/>
      <w:numFmt w:val="decimal"/>
      <w:lvlText w:val="%1."/>
      <w:lvlJc w:val="left"/>
      <w:pPr>
        <w:ind w:left="720" w:hanging="360"/>
      </w:pPr>
    </w:lvl>
    <w:lvl w:ilvl="1" w:tplc="33C09C48">
      <w:start w:val="1"/>
      <w:numFmt w:val="lowerLetter"/>
      <w:lvlText w:val="%2."/>
      <w:lvlJc w:val="left"/>
      <w:pPr>
        <w:ind w:left="1440" w:hanging="360"/>
      </w:pPr>
    </w:lvl>
    <w:lvl w:ilvl="2" w:tplc="F726379A">
      <w:start w:val="1"/>
      <w:numFmt w:val="lowerRoman"/>
      <w:lvlText w:val="%3."/>
      <w:lvlJc w:val="right"/>
      <w:pPr>
        <w:ind w:left="2160" w:hanging="180"/>
      </w:pPr>
    </w:lvl>
    <w:lvl w:ilvl="3" w:tplc="9B7C4DE4">
      <w:start w:val="1"/>
      <w:numFmt w:val="decimal"/>
      <w:lvlText w:val="%4."/>
      <w:lvlJc w:val="left"/>
      <w:pPr>
        <w:ind w:left="2880" w:hanging="360"/>
      </w:pPr>
    </w:lvl>
    <w:lvl w:ilvl="4" w:tplc="A97457EA">
      <w:start w:val="1"/>
      <w:numFmt w:val="lowerLetter"/>
      <w:lvlText w:val="%5."/>
      <w:lvlJc w:val="left"/>
      <w:pPr>
        <w:ind w:left="3600" w:hanging="360"/>
      </w:pPr>
    </w:lvl>
    <w:lvl w:ilvl="5" w:tplc="0216583C">
      <w:start w:val="1"/>
      <w:numFmt w:val="lowerRoman"/>
      <w:lvlText w:val="%6."/>
      <w:lvlJc w:val="right"/>
      <w:pPr>
        <w:ind w:left="4320" w:hanging="180"/>
      </w:pPr>
    </w:lvl>
    <w:lvl w:ilvl="6" w:tplc="77267060">
      <w:start w:val="1"/>
      <w:numFmt w:val="decimal"/>
      <w:lvlText w:val="%7."/>
      <w:lvlJc w:val="left"/>
      <w:pPr>
        <w:ind w:left="5040" w:hanging="360"/>
      </w:pPr>
    </w:lvl>
    <w:lvl w:ilvl="7" w:tplc="B2B2FC2E">
      <w:start w:val="1"/>
      <w:numFmt w:val="lowerLetter"/>
      <w:lvlText w:val="%8."/>
      <w:lvlJc w:val="left"/>
      <w:pPr>
        <w:ind w:left="5760" w:hanging="360"/>
      </w:pPr>
    </w:lvl>
    <w:lvl w:ilvl="8" w:tplc="1EB67520">
      <w:start w:val="1"/>
      <w:numFmt w:val="lowerRoman"/>
      <w:lvlText w:val="%9."/>
      <w:lvlJc w:val="right"/>
      <w:pPr>
        <w:ind w:left="6480" w:hanging="180"/>
      </w:pPr>
    </w:lvl>
  </w:abstractNum>
  <w:abstractNum w:abstractNumId="2" w15:restartNumberingAfterBreak="0">
    <w:nsid w:val="42F56C53"/>
    <w:multiLevelType w:val="hybridMultilevel"/>
    <w:tmpl w:val="91D0768C"/>
    <w:lvl w:ilvl="0" w:tplc="7766F9BA">
      <w:start w:val="1"/>
      <w:numFmt w:val="decimal"/>
      <w:lvlText w:val="%1."/>
      <w:lvlJc w:val="left"/>
      <w:pPr>
        <w:ind w:left="720" w:hanging="360"/>
      </w:pPr>
    </w:lvl>
    <w:lvl w:ilvl="1" w:tplc="F07ECFEA">
      <w:start w:val="1"/>
      <w:numFmt w:val="lowerLetter"/>
      <w:lvlText w:val="%2."/>
      <w:lvlJc w:val="left"/>
      <w:pPr>
        <w:ind w:left="1440" w:hanging="360"/>
      </w:pPr>
    </w:lvl>
    <w:lvl w:ilvl="2" w:tplc="F9223676">
      <w:start w:val="1"/>
      <w:numFmt w:val="lowerRoman"/>
      <w:lvlText w:val="%3."/>
      <w:lvlJc w:val="right"/>
      <w:pPr>
        <w:ind w:left="2160" w:hanging="180"/>
      </w:pPr>
    </w:lvl>
    <w:lvl w:ilvl="3" w:tplc="D4E26658">
      <w:start w:val="1"/>
      <w:numFmt w:val="decimal"/>
      <w:lvlText w:val="%4."/>
      <w:lvlJc w:val="left"/>
      <w:pPr>
        <w:ind w:left="2880" w:hanging="360"/>
      </w:pPr>
    </w:lvl>
    <w:lvl w:ilvl="4" w:tplc="D758D568">
      <w:start w:val="1"/>
      <w:numFmt w:val="lowerLetter"/>
      <w:lvlText w:val="%5."/>
      <w:lvlJc w:val="left"/>
      <w:pPr>
        <w:ind w:left="3600" w:hanging="360"/>
      </w:pPr>
    </w:lvl>
    <w:lvl w:ilvl="5" w:tplc="B29A5C66">
      <w:start w:val="1"/>
      <w:numFmt w:val="lowerRoman"/>
      <w:lvlText w:val="%6."/>
      <w:lvlJc w:val="right"/>
      <w:pPr>
        <w:ind w:left="4320" w:hanging="180"/>
      </w:pPr>
    </w:lvl>
    <w:lvl w:ilvl="6" w:tplc="41CE0BA2">
      <w:start w:val="1"/>
      <w:numFmt w:val="decimal"/>
      <w:lvlText w:val="%7."/>
      <w:lvlJc w:val="left"/>
      <w:pPr>
        <w:ind w:left="5040" w:hanging="360"/>
      </w:pPr>
    </w:lvl>
    <w:lvl w:ilvl="7" w:tplc="9558E810">
      <w:start w:val="1"/>
      <w:numFmt w:val="lowerLetter"/>
      <w:lvlText w:val="%8."/>
      <w:lvlJc w:val="left"/>
      <w:pPr>
        <w:ind w:left="5760" w:hanging="360"/>
      </w:pPr>
    </w:lvl>
    <w:lvl w:ilvl="8" w:tplc="52DAF8CE">
      <w:start w:val="1"/>
      <w:numFmt w:val="lowerRoman"/>
      <w:lvlText w:val="%9."/>
      <w:lvlJc w:val="right"/>
      <w:pPr>
        <w:ind w:left="6480" w:hanging="180"/>
      </w:pPr>
    </w:lvl>
  </w:abstractNum>
  <w:abstractNum w:abstractNumId="3" w15:restartNumberingAfterBreak="0">
    <w:nsid w:val="58A751C0"/>
    <w:multiLevelType w:val="hybridMultilevel"/>
    <w:tmpl w:val="7E2CCEE8"/>
    <w:lvl w:ilvl="0" w:tplc="4E54702A">
      <w:start w:val="1"/>
      <w:numFmt w:val="decimal"/>
      <w:lvlText w:val="%1."/>
      <w:lvlJc w:val="left"/>
      <w:pPr>
        <w:ind w:left="720" w:hanging="360"/>
      </w:pPr>
    </w:lvl>
    <w:lvl w:ilvl="1" w:tplc="7BFE2B6A">
      <w:start w:val="1"/>
      <w:numFmt w:val="lowerLetter"/>
      <w:lvlText w:val="%2."/>
      <w:lvlJc w:val="left"/>
      <w:pPr>
        <w:ind w:left="1440" w:hanging="360"/>
      </w:pPr>
    </w:lvl>
    <w:lvl w:ilvl="2" w:tplc="E4C88056">
      <w:start w:val="1"/>
      <w:numFmt w:val="lowerRoman"/>
      <w:lvlText w:val="%3."/>
      <w:lvlJc w:val="right"/>
      <w:pPr>
        <w:ind w:left="2160" w:hanging="180"/>
      </w:pPr>
    </w:lvl>
    <w:lvl w:ilvl="3" w:tplc="0930F54A">
      <w:start w:val="1"/>
      <w:numFmt w:val="decimal"/>
      <w:lvlText w:val="%4."/>
      <w:lvlJc w:val="left"/>
      <w:pPr>
        <w:ind w:left="2880" w:hanging="360"/>
      </w:pPr>
    </w:lvl>
    <w:lvl w:ilvl="4" w:tplc="CAD25A20">
      <w:start w:val="1"/>
      <w:numFmt w:val="lowerLetter"/>
      <w:lvlText w:val="%5."/>
      <w:lvlJc w:val="left"/>
      <w:pPr>
        <w:ind w:left="3600" w:hanging="360"/>
      </w:pPr>
    </w:lvl>
    <w:lvl w:ilvl="5" w:tplc="0262AB2E">
      <w:start w:val="1"/>
      <w:numFmt w:val="lowerRoman"/>
      <w:lvlText w:val="%6."/>
      <w:lvlJc w:val="right"/>
      <w:pPr>
        <w:ind w:left="4320" w:hanging="180"/>
      </w:pPr>
    </w:lvl>
    <w:lvl w:ilvl="6" w:tplc="7F88E542">
      <w:start w:val="1"/>
      <w:numFmt w:val="decimal"/>
      <w:lvlText w:val="%7."/>
      <w:lvlJc w:val="left"/>
      <w:pPr>
        <w:ind w:left="5040" w:hanging="360"/>
      </w:pPr>
    </w:lvl>
    <w:lvl w:ilvl="7" w:tplc="C11E19D0">
      <w:start w:val="1"/>
      <w:numFmt w:val="lowerLetter"/>
      <w:lvlText w:val="%8."/>
      <w:lvlJc w:val="left"/>
      <w:pPr>
        <w:ind w:left="5760" w:hanging="360"/>
      </w:pPr>
    </w:lvl>
    <w:lvl w:ilvl="8" w:tplc="AB2A069C">
      <w:start w:val="1"/>
      <w:numFmt w:val="lowerRoman"/>
      <w:lvlText w:val="%9."/>
      <w:lvlJc w:val="right"/>
      <w:pPr>
        <w:ind w:left="6480" w:hanging="180"/>
      </w:pPr>
    </w:lvl>
  </w:abstractNum>
  <w:num w:numId="1" w16cid:durableId="2049797859">
    <w:abstractNumId w:val="1"/>
  </w:num>
  <w:num w:numId="2" w16cid:durableId="999969221">
    <w:abstractNumId w:val="0"/>
  </w:num>
  <w:num w:numId="3" w16cid:durableId="717095931">
    <w:abstractNumId w:val="2"/>
  </w:num>
  <w:num w:numId="4" w16cid:durableId="81167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0AA80E"/>
    <w:rsid w:val="002A0650"/>
    <w:rsid w:val="002E30B4"/>
    <w:rsid w:val="003462D0"/>
    <w:rsid w:val="004E3661"/>
    <w:rsid w:val="00A96CE8"/>
    <w:rsid w:val="0728B1D9"/>
    <w:rsid w:val="07AD20CB"/>
    <w:rsid w:val="0B587E45"/>
    <w:rsid w:val="0E0AA80E"/>
    <w:rsid w:val="0FDB746B"/>
    <w:rsid w:val="1198922D"/>
    <w:rsid w:val="11FDF27B"/>
    <w:rsid w:val="146921F5"/>
    <w:rsid w:val="1B3CA700"/>
    <w:rsid w:val="1BDFD2D1"/>
    <w:rsid w:val="230D8668"/>
    <w:rsid w:val="29904CD6"/>
    <w:rsid w:val="332C1406"/>
    <w:rsid w:val="3338771A"/>
    <w:rsid w:val="3739C2D6"/>
    <w:rsid w:val="3916A2A5"/>
    <w:rsid w:val="42A531D8"/>
    <w:rsid w:val="43E99702"/>
    <w:rsid w:val="4BB136FE"/>
    <w:rsid w:val="4D46FAA2"/>
    <w:rsid w:val="51DFEEBE"/>
    <w:rsid w:val="56605AA8"/>
    <w:rsid w:val="5AC73C12"/>
    <w:rsid w:val="5C66D211"/>
    <w:rsid w:val="5D376AB4"/>
    <w:rsid w:val="5F209CE0"/>
    <w:rsid w:val="6B35DF7F"/>
    <w:rsid w:val="763E1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FAC6"/>
  <w15:chartTrackingRefBased/>
  <w15:docId w15:val="{E08CD01B-BA91-4D0E-8132-3FE3561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3E9970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4E3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9F97F-D0F3-4A15-9633-2D4801037DD9}"/>
</file>

<file path=customXml/itemProps2.xml><?xml version="1.0" encoding="utf-8"?>
<ds:datastoreItem xmlns:ds="http://schemas.openxmlformats.org/officeDocument/2006/customXml" ds:itemID="{CC3F6AD7-DF1D-4DF7-AE52-547A56BED8E1}"/>
</file>

<file path=customXml/itemProps3.xml><?xml version="1.0" encoding="utf-8"?>
<ds:datastoreItem xmlns:ds="http://schemas.openxmlformats.org/officeDocument/2006/customXml" ds:itemID="{27A45B71-D463-4192-A5B4-0085955D0D18}"/>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4524</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2025-11-21T21:27:00Z</dcterms:created>
  <dcterms:modified xsi:type="dcterms:W3CDTF">2026-01-15T20:24:00Z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