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558D" w14:textId="2284BF71" w:rsidR="006806CE" w:rsidRDefault="006806CE" w:rsidP="006806CE">
      <w:pPr>
        <w:jc w:val="center"/>
        <w:rPr>
          <w:rFonts w:ascii="Verdana" w:hAnsi="Verdana"/>
          <w:sz w:val="20"/>
          <w:szCs w:val="20"/>
        </w:rPr>
      </w:pPr>
      <w:r w:rsidRPr="006806CE">
        <w:rPr>
          <w:rFonts w:ascii="Verdana" w:hAnsi="Verdana"/>
          <w:b/>
          <w:bCs/>
          <w:sz w:val="22"/>
          <w:szCs w:val="22"/>
        </w:rPr>
        <w:t>RESOLUCIÓN 1914 DE 2017</w:t>
      </w:r>
    </w:p>
    <w:p w14:paraId="67AB2CA6" w14:textId="0C839456" w:rsidR="005F24DA" w:rsidRPr="006806CE" w:rsidRDefault="005F24DA" w:rsidP="005F24DA">
      <w:pPr>
        <w:rPr>
          <w:rFonts w:ascii="Verdana" w:hAnsi="Verdana"/>
          <w:sz w:val="20"/>
          <w:szCs w:val="20"/>
        </w:rPr>
      </w:pPr>
      <w:r w:rsidRPr="006806CE">
        <w:rPr>
          <w:rFonts w:ascii="Verdana" w:hAnsi="Verdana"/>
          <w:sz w:val="20"/>
          <w:szCs w:val="20"/>
        </w:rPr>
        <w:t>Fecha de Expedición: 24 de marzo de 2017</w:t>
      </w:r>
    </w:p>
    <w:p w14:paraId="2CDCC62E" w14:textId="77777777" w:rsidR="005F24DA" w:rsidRPr="006806CE" w:rsidRDefault="005F24DA" w:rsidP="005F24DA">
      <w:pPr>
        <w:rPr>
          <w:rFonts w:ascii="Verdana" w:hAnsi="Verdana"/>
          <w:sz w:val="20"/>
          <w:szCs w:val="20"/>
        </w:rPr>
      </w:pPr>
      <w:r w:rsidRPr="006806CE">
        <w:rPr>
          <w:rFonts w:ascii="Verdana" w:hAnsi="Verdana"/>
          <w:sz w:val="20"/>
          <w:szCs w:val="20"/>
        </w:rPr>
        <w:t xml:space="preserve">Fecha de </w:t>
      </w:r>
      <w:proofErr w:type="gramStart"/>
      <w:r w:rsidRPr="006806CE">
        <w:rPr>
          <w:rFonts w:ascii="Verdana" w:hAnsi="Verdana"/>
          <w:sz w:val="20"/>
          <w:szCs w:val="20"/>
        </w:rPr>
        <w:t>entrada en vigencia</w:t>
      </w:r>
      <w:proofErr w:type="gramEnd"/>
      <w:r w:rsidRPr="006806CE">
        <w:rPr>
          <w:rFonts w:ascii="Verdana" w:hAnsi="Verdana"/>
          <w:sz w:val="20"/>
          <w:szCs w:val="20"/>
        </w:rPr>
        <w:t>: 24 de marzo de 2017</w:t>
      </w:r>
    </w:p>
    <w:p w14:paraId="2CAB9F70" w14:textId="77777777" w:rsidR="005F24DA" w:rsidRPr="006806CE" w:rsidRDefault="005F24DA" w:rsidP="005F24DA">
      <w:pPr>
        <w:rPr>
          <w:rFonts w:ascii="Verdana" w:hAnsi="Verdana"/>
          <w:sz w:val="20"/>
          <w:szCs w:val="20"/>
        </w:rPr>
      </w:pPr>
      <w:r w:rsidRPr="006806CE">
        <w:rPr>
          <w:rFonts w:ascii="Verdana" w:hAnsi="Verdana"/>
          <w:sz w:val="20"/>
          <w:szCs w:val="20"/>
        </w:rPr>
        <w:t>Estado de la vigencia: vigente</w:t>
      </w:r>
    </w:p>
    <w:p w14:paraId="4F106587" w14:textId="77777777" w:rsidR="005F24DA" w:rsidRPr="006806CE" w:rsidRDefault="005F24DA" w:rsidP="005F24DA">
      <w:pPr>
        <w:rPr>
          <w:rFonts w:ascii="Verdana" w:hAnsi="Verdana"/>
          <w:sz w:val="20"/>
          <w:szCs w:val="20"/>
        </w:rPr>
      </w:pPr>
    </w:p>
    <w:p w14:paraId="4313BDB7" w14:textId="77777777" w:rsidR="005F24DA" w:rsidRPr="006806CE" w:rsidRDefault="005F24DA" w:rsidP="005F24DA">
      <w:pPr>
        <w:rPr>
          <w:rFonts w:ascii="Verdana" w:hAnsi="Verdana"/>
          <w:sz w:val="20"/>
          <w:szCs w:val="20"/>
        </w:rPr>
      </w:pPr>
      <w:r w:rsidRPr="006806CE">
        <w:rPr>
          <w:rFonts w:ascii="Verdana" w:hAnsi="Verdana"/>
          <w:sz w:val="20"/>
          <w:szCs w:val="20"/>
        </w:rPr>
        <w:t>Fecha de publicación en Diario Oficial: N/A</w:t>
      </w:r>
    </w:p>
    <w:p w14:paraId="6761EEDE" w14:textId="77777777" w:rsidR="005F24DA" w:rsidRPr="006806CE" w:rsidRDefault="005F24DA" w:rsidP="005F24DA">
      <w:pPr>
        <w:rPr>
          <w:rFonts w:ascii="Verdana" w:hAnsi="Verdana"/>
          <w:sz w:val="20"/>
          <w:szCs w:val="20"/>
        </w:rPr>
      </w:pPr>
      <w:r w:rsidRPr="006806CE">
        <w:rPr>
          <w:rFonts w:ascii="Verdana" w:hAnsi="Verdana"/>
          <w:sz w:val="20"/>
          <w:szCs w:val="20"/>
        </w:rPr>
        <w:t>Número del Diario Oficial: N/A</w:t>
      </w:r>
    </w:p>
    <w:p w14:paraId="4BD4A55A" w14:textId="765CF849" w:rsidR="001E5A62" w:rsidRPr="006806CE" w:rsidRDefault="001E5A62" w:rsidP="006806CE">
      <w:pPr>
        <w:jc w:val="center"/>
        <w:rPr>
          <w:rFonts w:ascii="Verdana" w:hAnsi="Verdana"/>
          <w:b/>
          <w:bCs/>
          <w:sz w:val="22"/>
          <w:szCs w:val="22"/>
        </w:rPr>
      </w:pPr>
      <w:r w:rsidRPr="006806CE">
        <w:rPr>
          <w:rFonts w:ascii="Verdana" w:hAnsi="Verdana"/>
          <w:b/>
          <w:bCs/>
          <w:sz w:val="22"/>
          <w:szCs w:val="22"/>
        </w:rPr>
        <w:t>RESOLUCIÓN 1914 DE 2017</w:t>
      </w:r>
    </w:p>
    <w:p w14:paraId="37D842BD" w14:textId="19EDE806" w:rsidR="001E5A62" w:rsidRPr="006806CE" w:rsidRDefault="001E5A62" w:rsidP="006806CE">
      <w:pPr>
        <w:jc w:val="center"/>
        <w:rPr>
          <w:rFonts w:ascii="Verdana" w:hAnsi="Verdana"/>
          <w:b/>
          <w:bCs/>
          <w:sz w:val="22"/>
          <w:szCs w:val="22"/>
        </w:rPr>
      </w:pPr>
      <w:r w:rsidRPr="006806CE">
        <w:rPr>
          <w:rFonts w:ascii="Verdana" w:hAnsi="Verdana"/>
          <w:b/>
          <w:bCs/>
          <w:sz w:val="22"/>
          <w:szCs w:val="22"/>
        </w:rPr>
        <w:t>(</w:t>
      </w:r>
      <w:r w:rsidR="006806CE">
        <w:rPr>
          <w:rFonts w:ascii="Verdana" w:hAnsi="Verdana"/>
          <w:b/>
          <w:bCs/>
          <w:sz w:val="22"/>
          <w:szCs w:val="22"/>
        </w:rPr>
        <w:t xml:space="preserve">24 de </w:t>
      </w:r>
      <w:r w:rsidRPr="006806CE">
        <w:rPr>
          <w:rFonts w:ascii="Verdana" w:hAnsi="Verdana"/>
          <w:b/>
          <w:bCs/>
          <w:sz w:val="22"/>
          <w:szCs w:val="22"/>
        </w:rPr>
        <w:t>marzo)</w:t>
      </w:r>
    </w:p>
    <w:p w14:paraId="21F27AB8" w14:textId="17260E71" w:rsidR="001E5A62" w:rsidRPr="006806CE" w:rsidRDefault="001E5A62" w:rsidP="006806CE">
      <w:pPr>
        <w:jc w:val="center"/>
        <w:rPr>
          <w:rFonts w:ascii="Verdana" w:hAnsi="Verdana"/>
          <w:b/>
          <w:bCs/>
          <w:sz w:val="22"/>
          <w:szCs w:val="22"/>
        </w:rPr>
      </w:pPr>
      <w:r w:rsidRPr="006806CE">
        <w:rPr>
          <w:rFonts w:ascii="Verdana" w:hAnsi="Verdana"/>
          <w:b/>
          <w:bCs/>
          <w:sz w:val="22"/>
          <w:szCs w:val="22"/>
        </w:rPr>
        <w:t>INSTITUTO COLOMBIANO DE BIENESTAR FAMILIAR</w:t>
      </w:r>
    </w:p>
    <w:p w14:paraId="24F6EEF0" w14:textId="7BD646EB" w:rsidR="001E5A62" w:rsidRPr="001E5A62" w:rsidRDefault="001E5A62" w:rsidP="006806CE">
      <w:pPr>
        <w:jc w:val="center"/>
        <w:rPr>
          <w:rFonts w:ascii="Verdana" w:hAnsi="Verdana"/>
          <w:sz w:val="22"/>
          <w:szCs w:val="22"/>
        </w:rPr>
      </w:pPr>
      <w:r w:rsidRPr="001E5A62">
        <w:rPr>
          <w:rFonts w:ascii="Verdana" w:hAnsi="Verdana"/>
          <w:sz w:val="22"/>
          <w:szCs w:val="22"/>
        </w:rPr>
        <w:t>“Por la cual se efectúa una desagregación y asignación en el Presupuesto de Gastos de Inversión del Instituto Colombiano de Bienestar Familiar Cecilia De La fuente De Lleras para la Vigencia Fiscal del año 2017”</w:t>
      </w:r>
    </w:p>
    <w:p w14:paraId="1BFA1C2C" w14:textId="3B9B9F29" w:rsidR="001E5A62" w:rsidRPr="006806CE" w:rsidRDefault="001E5A62" w:rsidP="006806CE">
      <w:pPr>
        <w:jc w:val="center"/>
        <w:rPr>
          <w:rFonts w:ascii="Verdana" w:hAnsi="Verdana"/>
          <w:b/>
          <w:bCs/>
          <w:sz w:val="22"/>
          <w:szCs w:val="22"/>
        </w:rPr>
      </w:pPr>
      <w:r w:rsidRPr="006806CE">
        <w:rPr>
          <w:rFonts w:ascii="Verdana" w:hAnsi="Verdana"/>
          <w:b/>
          <w:bCs/>
          <w:sz w:val="22"/>
          <w:szCs w:val="22"/>
        </w:rPr>
        <w:t>LA DIRECTORA GENERAL DEL INSTITUTO COLOMBIANO DE BIENESTAR FAMILIAR CECILIA DE LA FUENTE DE LLERAS</w:t>
      </w:r>
    </w:p>
    <w:p w14:paraId="521AA6D9" w14:textId="69AFEFF3" w:rsidR="001E5A62" w:rsidRPr="006806CE" w:rsidRDefault="001E5A62" w:rsidP="006806CE">
      <w:pPr>
        <w:jc w:val="center"/>
        <w:rPr>
          <w:rFonts w:ascii="Verdana" w:hAnsi="Verdana"/>
          <w:sz w:val="22"/>
          <w:szCs w:val="22"/>
        </w:rPr>
      </w:pPr>
      <w:r w:rsidRPr="001E5A62">
        <w:rPr>
          <w:rFonts w:ascii="Verdana" w:hAnsi="Verdana"/>
          <w:sz w:val="22"/>
          <w:szCs w:val="22"/>
        </w:rPr>
        <w:t>En uso de sus facultades legales y estatutarias y en especial las conferidas en el artículo 78 de la Ley 489 de 1998, y</w:t>
      </w:r>
    </w:p>
    <w:p w14:paraId="32EAE159" w14:textId="7B9EBA20" w:rsidR="001E5A62" w:rsidRPr="006806CE" w:rsidRDefault="001E5A62" w:rsidP="006806CE">
      <w:pPr>
        <w:jc w:val="center"/>
        <w:rPr>
          <w:rFonts w:ascii="Verdana" w:hAnsi="Verdana"/>
          <w:b/>
          <w:bCs/>
          <w:sz w:val="22"/>
          <w:szCs w:val="22"/>
        </w:rPr>
      </w:pPr>
      <w:r w:rsidRPr="006806CE">
        <w:rPr>
          <w:rFonts w:ascii="Verdana" w:hAnsi="Verdana"/>
          <w:b/>
          <w:bCs/>
          <w:sz w:val="22"/>
          <w:szCs w:val="22"/>
        </w:rPr>
        <w:t>CONSIDERANDO:</w:t>
      </w:r>
    </w:p>
    <w:p w14:paraId="17EE0648" w14:textId="2E7F4A3B" w:rsidR="001E5A62" w:rsidRPr="006806CE" w:rsidRDefault="001E5A62" w:rsidP="006806CE">
      <w:pPr>
        <w:pStyle w:val="Prrafodelista"/>
        <w:numPr>
          <w:ilvl w:val="0"/>
          <w:numId w:val="1"/>
        </w:numPr>
        <w:jc w:val="both"/>
        <w:rPr>
          <w:rFonts w:ascii="Verdana" w:hAnsi="Verdana"/>
          <w:sz w:val="22"/>
          <w:szCs w:val="22"/>
        </w:rPr>
      </w:pPr>
      <w:r w:rsidRPr="006806CE">
        <w:rPr>
          <w:rFonts w:ascii="Verdana" w:hAnsi="Verdana"/>
          <w:sz w:val="22"/>
          <w:szCs w:val="22"/>
        </w:rPr>
        <w:t>Que el Congreso de Colombia, mediante Ley 1815 del 07 de diciembre de 2016 decretó el Presupuesto de Rentas y Recursos de Capital y la Ley de Apropiaciones para la Vigencia Fiscal del 1 de enero al 31 de diciembre de 2017.</w:t>
      </w:r>
    </w:p>
    <w:p w14:paraId="6D8C3785" w14:textId="62E434D9" w:rsidR="001E5A62" w:rsidRPr="006806CE" w:rsidRDefault="001E5A62" w:rsidP="006806CE">
      <w:pPr>
        <w:pStyle w:val="Prrafodelista"/>
        <w:numPr>
          <w:ilvl w:val="0"/>
          <w:numId w:val="1"/>
        </w:numPr>
        <w:jc w:val="both"/>
        <w:rPr>
          <w:rFonts w:ascii="Verdana" w:hAnsi="Verdana"/>
          <w:sz w:val="22"/>
          <w:szCs w:val="22"/>
        </w:rPr>
      </w:pPr>
      <w:r w:rsidRPr="006806CE">
        <w:rPr>
          <w:rFonts w:ascii="Verdana" w:hAnsi="Verdana"/>
          <w:sz w:val="22"/>
          <w:szCs w:val="22"/>
        </w:rPr>
        <w:t>Que mediante Decreto No. 2170 del 27 de diciembre de 2016, por el cual se liquida el Presupuesto General de la Nación para la Vigencia Fiscal de 2017, se detallan las Apropiaciones y se clasifican y definen los Gastos, incluye el Presupuesto para el Instituto Colombiano de Bienestar Familiar para la Vigencia Fiscal 2017.</w:t>
      </w:r>
    </w:p>
    <w:p w14:paraId="6A0C25D6" w14:textId="0747909F" w:rsidR="001E5A62" w:rsidRPr="006806CE" w:rsidRDefault="001E5A62" w:rsidP="006806CE">
      <w:pPr>
        <w:pStyle w:val="Prrafodelista"/>
        <w:numPr>
          <w:ilvl w:val="0"/>
          <w:numId w:val="1"/>
        </w:numPr>
        <w:jc w:val="both"/>
        <w:rPr>
          <w:rFonts w:ascii="Verdana" w:hAnsi="Verdana"/>
          <w:sz w:val="22"/>
          <w:szCs w:val="22"/>
        </w:rPr>
      </w:pPr>
      <w:r w:rsidRPr="006806CE">
        <w:rPr>
          <w:rFonts w:ascii="Verdana" w:hAnsi="Verdana"/>
          <w:sz w:val="22"/>
          <w:szCs w:val="22"/>
        </w:rPr>
        <w:t>Que el Instituto Colombiano de Bienestar Familiar, mediante Resolución No. 13445 del 29 de diciembre de 2016, distribuyó y asignó su Presupuesto de Gastos a Nivel Nacional, Sede de la Dirección General y Regionales, para la Vigencia Fiscal de año 2017.</w:t>
      </w:r>
    </w:p>
    <w:p w14:paraId="7FDF3BDE" w14:textId="27D6D12F" w:rsidR="001E5A62" w:rsidRPr="006806CE" w:rsidRDefault="001E5A62" w:rsidP="006806CE">
      <w:pPr>
        <w:pStyle w:val="Prrafodelista"/>
        <w:numPr>
          <w:ilvl w:val="0"/>
          <w:numId w:val="1"/>
        </w:numPr>
        <w:jc w:val="both"/>
        <w:rPr>
          <w:rFonts w:ascii="Verdana" w:hAnsi="Verdana"/>
          <w:sz w:val="22"/>
          <w:szCs w:val="22"/>
        </w:rPr>
      </w:pPr>
      <w:r w:rsidRPr="006806CE">
        <w:rPr>
          <w:rFonts w:ascii="Verdana" w:hAnsi="Verdana"/>
          <w:sz w:val="22"/>
          <w:szCs w:val="22"/>
        </w:rPr>
        <w:t xml:space="preserve">Que el Ministerio de Hacienda y Crédito Público mediante Resolución No. 0557 del 01 de marzo de 2017, realizó una distribución en el Presupuesto de Gastos de Inversión del Ministerio de Hacienda y Crédito Público para la vigencia fiscal 2017, con el cual se acreditó la Sección 4106 (ICBF) en el Proyecto C-4102-1500-4 Asistencia a la Primera Infancia a Nivel Nacional por valor de TRESCIENTOS SETENTA Y DOS MIL OCHOCIENTOS </w:t>
      </w:r>
      <w:r w:rsidRPr="006806CE">
        <w:rPr>
          <w:rFonts w:ascii="Verdana" w:hAnsi="Verdana"/>
          <w:sz w:val="22"/>
          <w:szCs w:val="22"/>
        </w:rPr>
        <w:lastRenderedPageBreak/>
        <w:t>CINCUENTA Y SEIS MILLONES DOSCIENTOS SESENTA Y CINCO MIL CUATROCIENTOS CUARENTA Y OCHO PESOS ($372.856.265.448) MDA/CTE con recurso 16–Fondos Especiales.</w:t>
      </w:r>
    </w:p>
    <w:p w14:paraId="1407F703" w14:textId="776B6C2C" w:rsidR="001E5A62" w:rsidRPr="006806CE" w:rsidRDefault="001E5A62" w:rsidP="006806CE">
      <w:pPr>
        <w:pStyle w:val="Prrafodelista"/>
        <w:numPr>
          <w:ilvl w:val="0"/>
          <w:numId w:val="1"/>
        </w:numPr>
        <w:jc w:val="both"/>
        <w:rPr>
          <w:rFonts w:ascii="Verdana" w:hAnsi="Verdana"/>
          <w:sz w:val="22"/>
          <w:szCs w:val="22"/>
        </w:rPr>
      </w:pPr>
      <w:r w:rsidRPr="006806CE">
        <w:rPr>
          <w:rFonts w:ascii="Verdana" w:hAnsi="Verdana"/>
          <w:sz w:val="22"/>
          <w:szCs w:val="22"/>
        </w:rPr>
        <w:t>Que los artículos 21 de la Ley 1815 de 2016 y 21 del Decreto 2170 de 2016, establecen entre otros “A fin de evitar duplicaciones en los casos en los cuales la distribución afecte el presupuesto de otro órgano que haga parte del Presupuesto General de la Nación, el mismo acto administrativo servirá de base para realizar los ajustes correspondientes en el órgano que distribuye e incorporar las del órgano receptor”.</w:t>
      </w:r>
    </w:p>
    <w:p w14:paraId="499ECD06" w14:textId="1817376C" w:rsidR="001E5A62" w:rsidRPr="006806CE" w:rsidRDefault="001E5A62" w:rsidP="006806CE">
      <w:pPr>
        <w:pStyle w:val="Prrafodelista"/>
        <w:numPr>
          <w:ilvl w:val="0"/>
          <w:numId w:val="1"/>
        </w:numPr>
        <w:jc w:val="both"/>
        <w:rPr>
          <w:rFonts w:ascii="Verdana" w:hAnsi="Verdana"/>
          <w:sz w:val="22"/>
          <w:szCs w:val="22"/>
        </w:rPr>
      </w:pPr>
      <w:r w:rsidRPr="006806CE">
        <w:rPr>
          <w:rFonts w:ascii="Verdana" w:hAnsi="Verdana"/>
          <w:sz w:val="22"/>
          <w:szCs w:val="22"/>
        </w:rPr>
        <w:t>Que el Director de Primera Infancia mediante memorando No. 1-2017-026985-0101 del 16 de marzo de 2017; solicita la desagregación de la suma de TRESCIENTOS SETENTA Y DOS MIL OCHOCIENTOS CINCUENTA Y SEIS MILLONES DOSCIENTOS SESENTA Y CINCO MIL CUATROCIENTOS CUARENTA Y OCHO PESOS ($372.856.265.448) MDA/CTE con recurso 16 - Fondos Especiales, que se encuentran en el Proyecto C-4102-1500-4 Asistencia a la Primera Infancia a Nivel Nacional a los Subproyectos C-4102-1500-4-0-101 Integral, C-4102- 1500-4-0-103 Convenios Especiales y C-4102-1500-4-0-105 Acciones para el Mejoramiento de la Atención a la Primera Infancia.</w:t>
      </w:r>
    </w:p>
    <w:p w14:paraId="7A3D87D6" w14:textId="0418FF79" w:rsidR="001E5A62" w:rsidRPr="006806CE" w:rsidRDefault="001E5A62" w:rsidP="006806CE">
      <w:pPr>
        <w:pStyle w:val="Prrafodelista"/>
        <w:numPr>
          <w:ilvl w:val="0"/>
          <w:numId w:val="1"/>
        </w:numPr>
        <w:jc w:val="both"/>
        <w:rPr>
          <w:rFonts w:ascii="Verdana" w:hAnsi="Verdana"/>
          <w:sz w:val="22"/>
          <w:szCs w:val="22"/>
        </w:rPr>
      </w:pPr>
      <w:proofErr w:type="gramStart"/>
      <w:r w:rsidRPr="006806CE">
        <w:rPr>
          <w:rFonts w:ascii="Verdana" w:hAnsi="Verdana"/>
          <w:sz w:val="22"/>
          <w:szCs w:val="22"/>
        </w:rPr>
        <w:t>Que</w:t>
      </w:r>
      <w:proofErr w:type="gramEnd"/>
      <w:r w:rsidRPr="006806CE">
        <w:rPr>
          <w:rFonts w:ascii="Verdana" w:hAnsi="Verdana"/>
          <w:sz w:val="22"/>
          <w:szCs w:val="22"/>
        </w:rPr>
        <w:t xml:space="preserve"> en mérito de lo expuesto,</w:t>
      </w:r>
    </w:p>
    <w:p w14:paraId="485E60B3" w14:textId="000620FA" w:rsidR="001E5A62" w:rsidRPr="006806CE" w:rsidRDefault="001E5A62" w:rsidP="006806CE">
      <w:pPr>
        <w:jc w:val="center"/>
        <w:rPr>
          <w:rFonts w:ascii="Verdana" w:hAnsi="Verdana"/>
          <w:b/>
          <w:bCs/>
          <w:sz w:val="22"/>
          <w:szCs w:val="22"/>
        </w:rPr>
      </w:pPr>
      <w:r w:rsidRPr="006806CE">
        <w:rPr>
          <w:rFonts w:ascii="Verdana" w:hAnsi="Verdana"/>
          <w:b/>
          <w:bCs/>
          <w:sz w:val="22"/>
          <w:szCs w:val="22"/>
        </w:rPr>
        <w:t>RESUELVE:</w:t>
      </w:r>
    </w:p>
    <w:p w14:paraId="67B08AFE" w14:textId="18C6C143" w:rsidR="001E5A62" w:rsidRPr="001E5A62" w:rsidRDefault="001E5A62" w:rsidP="001E5A62">
      <w:pPr>
        <w:rPr>
          <w:rFonts w:ascii="Verdana" w:hAnsi="Verdana"/>
          <w:sz w:val="22"/>
          <w:szCs w:val="22"/>
        </w:rPr>
      </w:pPr>
      <w:r w:rsidRPr="006806CE">
        <w:rPr>
          <w:rFonts w:ascii="Verdana" w:hAnsi="Verdana"/>
          <w:b/>
          <w:bCs/>
          <w:sz w:val="22"/>
          <w:szCs w:val="22"/>
        </w:rPr>
        <w:t xml:space="preserve">ARTÍCULO </w:t>
      </w:r>
      <w:r w:rsidR="006806CE" w:rsidRPr="006806CE">
        <w:rPr>
          <w:rFonts w:ascii="Verdana" w:hAnsi="Verdana"/>
          <w:b/>
          <w:bCs/>
          <w:sz w:val="22"/>
          <w:szCs w:val="22"/>
        </w:rPr>
        <w:t>1o</w:t>
      </w:r>
      <w:r w:rsidRPr="006806CE">
        <w:rPr>
          <w:rFonts w:ascii="Verdana" w:hAnsi="Verdana"/>
          <w:b/>
          <w:bCs/>
          <w:sz w:val="22"/>
          <w:szCs w:val="22"/>
        </w:rPr>
        <w:t>.</w:t>
      </w:r>
      <w:r w:rsidRPr="001E5A62">
        <w:rPr>
          <w:rFonts w:ascii="Verdana" w:hAnsi="Verdana"/>
          <w:sz w:val="22"/>
          <w:szCs w:val="22"/>
        </w:rPr>
        <w:t xml:space="preserve"> desagregar y asignar como Presupuesto de Gastos de Inversión para la Vigencia 2017, la suma de TRESCIENTOS SETENTA Y DOS MIL OCHOCIENTOS CINCUENTA Y SEIS MILLONES DOSCIENTOS SESENTA Y CINCO MIL CUATROCIENTOS CUARENTA Y OCHO PESOS ($372.856.265.448) MDA/CTE con recurso 16 - Fondos Especiales, de conformidad con el siguiente detalle.</w:t>
      </w:r>
    </w:p>
    <w:tbl>
      <w:tblPr>
        <w:tblStyle w:val="Tablaconcuadrcula"/>
        <w:tblW w:w="5050" w:type="pct"/>
        <w:tblLook w:val="04A0" w:firstRow="1" w:lastRow="0" w:firstColumn="1" w:lastColumn="0" w:noHBand="0" w:noVBand="1"/>
      </w:tblPr>
      <w:tblGrid>
        <w:gridCol w:w="674"/>
        <w:gridCol w:w="763"/>
        <w:gridCol w:w="775"/>
        <w:gridCol w:w="928"/>
        <w:gridCol w:w="746"/>
        <w:gridCol w:w="611"/>
        <w:gridCol w:w="445"/>
        <w:gridCol w:w="1923"/>
        <w:gridCol w:w="2195"/>
      </w:tblGrid>
      <w:tr w:rsidR="006806CE" w:rsidRPr="006806CE" w14:paraId="65C6CCC3" w14:textId="77777777" w:rsidTr="006806CE">
        <w:tc>
          <w:tcPr>
            <w:tcW w:w="250" w:type="pct"/>
            <w:hideMark/>
          </w:tcPr>
          <w:p w14:paraId="0E8C1430"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PRG</w:t>
            </w:r>
          </w:p>
        </w:tc>
        <w:tc>
          <w:tcPr>
            <w:tcW w:w="300" w:type="pct"/>
            <w:hideMark/>
          </w:tcPr>
          <w:p w14:paraId="2EEF3D38"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SPRG</w:t>
            </w:r>
          </w:p>
        </w:tc>
        <w:tc>
          <w:tcPr>
            <w:tcW w:w="350" w:type="pct"/>
            <w:hideMark/>
          </w:tcPr>
          <w:p w14:paraId="2B0C67A2"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PROY</w:t>
            </w:r>
          </w:p>
        </w:tc>
        <w:tc>
          <w:tcPr>
            <w:tcW w:w="400" w:type="pct"/>
            <w:hideMark/>
          </w:tcPr>
          <w:p w14:paraId="15F086F9"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PROYO</w:t>
            </w:r>
          </w:p>
        </w:tc>
        <w:tc>
          <w:tcPr>
            <w:tcW w:w="300" w:type="pct"/>
            <w:hideMark/>
          </w:tcPr>
          <w:p w14:paraId="4776BF1F"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SBPY</w:t>
            </w:r>
          </w:p>
        </w:tc>
        <w:tc>
          <w:tcPr>
            <w:tcW w:w="300" w:type="pct"/>
            <w:hideMark/>
          </w:tcPr>
          <w:p w14:paraId="318ED8BC"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REC</w:t>
            </w:r>
          </w:p>
        </w:tc>
        <w:tc>
          <w:tcPr>
            <w:tcW w:w="2050" w:type="pct"/>
            <w:gridSpan w:val="2"/>
            <w:hideMark/>
          </w:tcPr>
          <w:p w14:paraId="501D8148"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CONCEPTO</w:t>
            </w:r>
          </w:p>
        </w:tc>
        <w:tc>
          <w:tcPr>
            <w:tcW w:w="1050" w:type="pct"/>
            <w:hideMark/>
          </w:tcPr>
          <w:p w14:paraId="16F590F5" w14:textId="77777777" w:rsidR="006806CE" w:rsidRPr="006806CE" w:rsidRDefault="006806CE" w:rsidP="006806CE">
            <w:pPr>
              <w:spacing w:after="160"/>
              <w:rPr>
                <w:rFonts w:ascii="Verdana" w:hAnsi="Verdana"/>
                <w:sz w:val="18"/>
                <w:szCs w:val="18"/>
              </w:rPr>
            </w:pPr>
            <w:r w:rsidRPr="006806CE">
              <w:rPr>
                <w:rFonts w:ascii="Verdana" w:hAnsi="Verdana"/>
                <w:b/>
                <w:bCs/>
                <w:sz w:val="18"/>
                <w:szCs w:val="18"/>
              </w:rPr>
              <w:t>APROPIACIÓN</w:t>
            </w:r>
          </w:p>
        </w:tc>
      </w:tr>
      <w:tr w:rsidR="006806CE" w:rsidRPr="006806CE" w14:paraId="496D53F2" w14:textId="77777777" w:rsidTr="006806CE">
        <w:tc>
          <w:tcPr>
            <w:tcW w:w="550" w:type="pct"/>
            <w:gridSpan w:val="2"/>
            <w:hideMark/>
          </w:tcPr>
          <w:p w14:paraId="16AA32CE"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1A6BB3C6"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30DC697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2050" w:type="pct"/>
            <w:gridSpan w:val="2"/>
            <w:hideMark/>
          </w:tcPr>
          <w:p w14:paraId="12C75027" w14:textId="77777777" w:rsidR="006806CE" w:rsidRPr="006806CE" w:rsidRDefault="006806CE" w:rsidP="006806CE">
            <w:pPr>
              <w:spacing w:after="160"/>
              <w:rPr>
                <w:rFonts w:ascii="Verdana" w:hAnsi="Verdana"/>
                <w:sz w:val="18"/>
                <w:szCs w:val="18"/>
              </w:rPr>
            </w:pPr>
            <w:r w:rsidRPr="006806CE">
              <w:rPr>
                <w:rFonts w:ascii="Verdana" w:hAnsi="Verdana"/>
                <w:sz w:val="18"/>
                <w:szCs w:val="18"/>
              </w:rPr>
              <w:t>INVERSIÓN</w:t>
            </w:r>
          </w:p>
        </w:tc>
        <w:tc>
          <w:tcPr>
            <w:tcW w:w="1050" w:type="pct"/>
            <w:hideMark/>
          </w:tcPr>
          <w:p w14:paraId="035AB20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$ 372.856.265.448,00</w:t>
            </w:r>
          </w:p>
        </w:tc>
      </w:tr>
      <w:tr w:rsidR="006806CE" w:rsidRPr="006806CE" w14:paraId="7DBB72FE" w14:textId="77777777" w:rsidTr="006806CE">
        <w:tc>
          <w:tcPr>
            <w:tcW w:w="250" w:type="pct"/>
            <w:hideMark/>
          </w:tcPr>
          <w:p w14:paraId="023A3FB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4102</w:t>
            </w:r>
          </w:p>
        </w:tc>
        <w:tc>
          <w:tcPr>
            <w:tcW w:w="650" w:type="pct"/>
            <w:gridSpan w:val="2"/>
            <w:hideMark/>
          </w:tcPr>
          <w:p w14:paraId="0FABDA74"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00" w:type="pct"/>
            <w:gridSpan w:val="2"/>
            <w:hideMark/>
          </w:tcPr>
          <w:p w14:paraId="4EE84EBC"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550" w:type="pct"/>
            <w:gridSpan w:val="2"/>
            <w:hideMark/>
          </w:tcPr>
          <w:p w14:paraId="412174C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1800" w:type="pct"/>
            <w:hideMark/>
          </w:tcPr>
          <w:p w14:paraId="3B8A31D7" w14:textId="77777777" w:rsidR="006806CE" w:rsidRPr="006806CE" w:rsidRDefault="006806CE" w:rsidP="006806CE">
            <w:pPr>
              <w:spacing w:after="160"/>
              <w:rPr>
                <w:rFonts w:ascii="Verdana" w:hAnsi="Verdana"/>
                <w:sz w:val="18"/>
                <w:szCs w:val="18"/>
              </w:rPr>
            </w:pPr>
            <w:r w:rsidRPr="006806CE">
              <w:rPr>
                <w:rFonts w:ascii="Verdana" w:hAnsi="Verdana"/>
                <w:sz w:val="18"/>
                <w:szCs w:val="18"/>
              </w:rPr>
              <w:t>DESARROLLO INTEGRAL DE NIÑAS, NIÑOS Y ADOLESCENTES</w:t>
            </w:r>
          </w:p>
        </w:tc>
        <w:tc>
          <w:tcPr>
            <w:tcW w:w="1050" w:type="pct"/>
            <w:hideMark/>
          </w:tcPr>
          <w:p w14:paraId="3FA6D162"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$ 372.856.265.448,00</w:t>
            </w:r>
          </w:p>
        </w:tc>
      </w:tr>
      <w:tr w:rsidR="006806CE" w:rsidRPr="006806CE" w14:paraId="588CB136" w14:textId="77777777" w:rsidTr="006806CE">
        <w:tc>
          <w:tcPr>
            <w:tcW w:w="250" w:type="pct"/>
            <w:hideMark/>
          </w:tcPr>
          <w:p w14:paraId="1B3764A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4102</w:t>
            </w:r>
          </w:p>
        </w:tc>
        <w:tc>
          <w:tcPr>
            <w:tcW w:w="300" w:type="pct"/>
            <w:hideMark/>
          </w:tcPr>
          <w:p w14:paraId="371DF1A0"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1500</w:t>
            </w:r>
          </w:p>
        </w:tc>
        <w:tc>
          <w:tcPr>
            <w:tcW w:w="750" w:type="pct"/>
            <w:gridSpan w:val="2"/>
            <w:hideMark/>
          </w:tcPr>
          <w:p w14:paraId="12CB6A7C"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20C0C4F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2050" w:type="pct"/>
            <w:gridSpan w:val="2"/>
            <w:hideMark/>
          </w:tcPr>
          <w:p w14:paraId="1E5191E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INTERSUBSECTORIAL DESARROLLO SOCIAL</w:t>
            </w:r>
          </w:p>
        </w:tc>
        <w:tc>
          <w:tcPr>
            <w:tcW w:w="1050" w:type="pct"/>
            <w:hideMark/>
          </w:tcPr>
          <w:p w14:paraId="3A57E22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$ 372.856.265.448,00</w:t>
            </w:r>
          </w:p>
        </w:tc>
      </w:tr>
      <w:tr w:rsidR="006806CE" w:rsidRPr="006806CE" w14:paraId="617049A5" w14:textId="77777777" w:rsidTr="006806CE">
        <w:tc>
          <w:tcPr>
            <w:tcW w:w="250" w:type="pct"/>
            <w:hideMark/>
          </w:tcPr>
          <w:p w14:paraId="28774EC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4102</w:t>
            </w:r>
          </w:p>
        </w:tc>
        <w:tc>
          <w:tcPr>
            <w:tcW w:w="300" w:type="pct"/>
            <w:hideMark/>
          </w:tcPr>
          <w:p w14:paraId="041683F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1500</w:t>
            </w:r>
          </w:p>
        </w:tc>
        <w:tc>
          <w:tcPr>
            <w:tcW w:w="350" w:type="pct"/>
            <w:hideMark/>
          </w:tcPr>
          <w:p w14:paraId="6ED223E6"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w:t>
            </w:r>
          </w:p>
        </w:tc>
        <w:tc>
          <w:tcPr>
            <w:tcW w:w="700" w:type="pct"/>
            <w:gridSpan w:val="2"/>
            <w:hideMark/>
          </w:tcPr>
          <w:p w14:paraId="0EB82817"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550" w:type="pct"/>
            <w:gridSpan w:val="2"/>
            <w:hideMark/>
          </w:tcPr>
          <w:p w14:paraId="49E6C5C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1800" w:type="pct"/>
            <w:hideMark/>
          </w:tcPr>
          <w:p w14:paraId="353F6CA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ASISTENCIA A LA PRIMERA INFANCIA A NIVEL NACIONAL</w:t>
            </w:r>
          </w:p>
        </w:tc>
        <w:tc>
          <w:tcPr>
            <w:tcW w:w="1050" w:type="pct"/>
            <w:hideMark/>
          </w:tcPr>
          <w:p w14:paraId="5D38A71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$ 372.856.265.448,00</w:t>
            </w:r>
          </w:p>
        </w:tc>
      </w:tr>
      <w:tr w:rsidR="006806CE" w:rsidRPr="006806CE" w14:paraId="398BEF08" w14:textId="77777777" w:rsidTr="006806CE">
        <w:tc>
          <w:tcPr>
            <w:tcW w:w="250" w:type="pct"/>
            <w:hideMark/>
          </w:tcPr>
          <w:p w14:paraId="2BC622AC"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4102</w:t>
            </w:r>
          </w:p>
        </w:tc>
        <w:tc>
          <w:tcPr>
            <w:tcW w:w="300" w:type="pct"/>
            <w:hideMark/>
          </w:tcPr>
          <w:p w14:paraId="6B2CF141"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1500</w:t>
            </w:r>
          </w:p>
        </w:tc>
        <w:tc>
          <w:tcPr>
            <w:tcW w:w="350" w:type="pct"/>
            <w:hideMark/>
          </w:tcPr>
          <w:p w14:paraId="36304379"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w:t>
            </w:r>
          </w:p>
        </w:tc>
        <w:tc>
          <w:tcPr>
            <w:tcW w:w="400" w:type="pct"/>
            <w:hideMark/>
          </w:tcPr>
          <w:p w14:paraId="74995258"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w:t>
            </w:r>
          </w:p>
        </w:tc>
        <w:tc>
          <w:tcPr>
            <w:tcW w:w="600" w:type="pct"/>
            <w:gridSpan w:val="2"/>
            <w:hideMark/>
          </w:tcPr>
          <w:p w14:paraId="38F8EE8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2050" w:type="pct"/>
            <w:gridSpan w:val="2"/>
            <w:hideMark/>
          </w:tcPr>
          <w:p w14:paraId="40E4AFB4" w14:textId="77777777" w:rsidR="006806CE" w:rsidRPr="006806CE" w:rsidRDefault="006806CE" w:rsidP="006806CE">
            <w:pPr>
              <w:spacing w:after="160"/>
              <w:rPr>
                <w:rFonts w:ascii="Verdana" w:hAnsi="Verdana"/>
                <w:sz w:val="18"/>
                <w:szCs w:val="18"/>
              </w:rPr>
            </w:pPr>
            <w:r w:rsidRPr="006806CE">
              <w:rPr>
                <w:rFonts w:ascii="Verdana" w:hAnsi="Verdana"/>
                <w:sz w:val="18"/>
                <w:szCs w:val="18"/>
              </w:rPr>
              <w:t>ASISTENCIA A LA PRIMERA INFANCIA A NIVEL NACIONAL</w:t>
            </w:r>
          </w:p>
        </w:tc>
        <w:tc>
          <w:tcPr>
            <w:tcW w:w="1050" w:type="pct"/>
            <w:hideMark/>
          </w:tcPr>
          <w:p w14:paraId="2035585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$ 372.856.265.448,00</w:t>
            </w:r>
          </w:p>
        </w:tc>
      </w:tr>
      <w:tr w:rsidR="006806CE" w:rsidRPr="006806CE" w14:paraId="4E80E7E6" w14:textId="77777777" w:rsidTr="006806CE">
        <w:tc>
          <w:tcPr>
            <w:tcW w:w="250" w:type="pct"/>
            <w:hideMark/>
          </w:tcPr>
          <w:p w14:paraId="485DDA6D" w14:textId="77777777" w:rsidR="006806CE" w:rsidRPr="006806CE" w:rsidRDefault="006806CE" w:rsidP="006806CE">
            <w:pPr>
              <w:spacing w:after="160"/>
              <w:rPr>
                <w:rFonts w:ascii="Verdana" w:hAnsi="Verdana"/>
                <w:sz w:val="18"/>
                <w:szCs w:val="18"/>
              </w:rPr>
            </w:pPr>
            <w:r w:rsidRPr="006806CE">
              <w:rPr>
                <w:rFonts w:ascii="Verdana" w:hAnsi="Verdana"/>
                <w:sz w:val="18"/>
                <w:szCs w:val="18"/>
              </w:rPr>
              <w:lastRenderedPageBreak/>
              <w:t>4102</w:t>
            </w:r>
          </w:p>
        </w:tc>
        <w:tc>
          <w:tcPr>
            <w:tcW w:w="300" w:type="pct"/>
            <w:hideMark/>
          </w:tcPr>
          <w:p w14:paraId="53915D3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1500</w:t>
            </w:r>
          </w:p>
        </w:tc>
        <w:tc>
          <w:tcPr>
            <w:tcW w:w="350" w:type="pct"/>
            <w:hideMark/>
          </w:tcPr>
          <w:p w14:paraId="0AB2DE9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w:t>
            </w:r>
          </w:p>
        </w:tc>
        <w:tc>
          <w:tcPr>
            <w:tcW w:w="400" w:type="pct"/>
            <w:hideMark/>
          </w:tcPr>
          <w:p w14:paraId="0B1293F0"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w:t>
            </w:r>
          </w:p>
        </w:tc>
        <w:tc>
          <w:tcPr>
            <w:tcW w:w="300" w:type="pct"/>
            <w:hideMark/>
          </w:tcPr>
          <w:p w14:paraId="62C2176E"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101</w:t>
            </w:r>
          </w:p>
        </w:tc>
        <w:tc>
          <w:tcPr>
            <w:tcW w:w="550" w:type="pct"/>
            <w:gridSpan w:val="2"/>
            <w:hideMark/>
          </w:tcPr>
          <w:p w14:paraId="4B09CE79"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1800" w:type="pct"/>
            <w:hideMark/>
          </w:tcPr>
          <w:p w14:paraId="5242C6EE" w14:textId="77777777" w:rsidR="006806CE" w:rsidRPr="006806CE" w:rsidRDefault="006806CE" w:rsidP="006806CE">
            <w:pPr>
              <w:spacing w:after="160"/>
              <w:rPr>
                <w:rFonts w:ascii="Verdana" w:hAnsi="Verdana"/>
                <w:sz w:val="18"/>
                <w:szCs w:val="18"/>
              </w:rPr>
            </w:pPr>
            <w:r w:rsidRPr="006806CE">
              <w:rPr>
                <w:rFonts w:ascii="Verdana" w:hAnsi="Verdana"/>
                <w:sz w:val="18"/>
                <w:szCs w:val="18"/>
              </w:rPr>
              <w:t>INTEGRAL</w:t>
            </w:r>
          </w:p>
        </w:tc>
        <w:tc>
          <w:tcPr>
            <w:tcW w:w="1050" w:type="pct"/>
            <w:hideMark/>
          </w:tcPr>
          <w:p w14:paraId="66D68388" w14:textId="77777777" w:rsidR="006806CE" w:rsidRPr="006806CE" w:rsidRDefault="006806CE" w:rsidP="006806CE">
            <w:pPr>
              <w:spacing w:after="160"/>
              <w:rPr>
                <w:rFonts w:ascii="Verdana" w:hAnsi="Verdana"/>
                <w:sz w:val="18"/>
                <w:szCs w:val="18"/>
              </w:rPr>
            </w:pPr>
            <w:r w:rsidRPr="006806CE">
              <w:rPr>
                <w:rFonts w:ascii="Verdana" w:hAnsi="Verdana"/>
                <w:sz w:val="18"/>
                <w:szCs w:val="18"/>
              </w:rPr>
              <w:t>$319.856.265.448,00</w:t>
            </w:r>
          </w:p>
        </w:tc>
      </w:tr>
      <w:tr w:rsidR="006806CE" w:rsidRPr="006806CE" w14:paraId="6262AD09" w14:textId="77777777" w:rsidTr="006806CE">
        <w:tc>
          <w:tcPr>
            <w:tcW w:w="550" w:type="pct"/>
            <w:gridSpan w:val="2"/>
            <w:hideMark/>
          </w:tcPr>
          <w:p w14:paraId="424D472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29B0ADBE"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7A06196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16</w:t>
            </w:r>
          </w:p>
        </w:tc>
        <w:tc>
          <w:tcPr>
            <w:tcW w:w="2050" w:type="pct"/>
            <w:gridSpan w:val="2"/>
            <w:hideMark/>
          </w:tcPr>
          <w:p w14:paraId="570A6EC5" w14:textId="77777777" w:rsidR="006806CE" w:rsidRPr="006806CE" w:rsidRDefault="006806CE" w:rsidP="006806CE">
            <w:pPr>
              <w:spacing w:after="160"/>
              <w:rPr>
                <w:rFonts w:ascii="Verdana" w:hAnsi="Verdana"/>
                <w:sz w:val="18"/>
                <w:szCs w:val="18"/>
              </w:rPr>
            </w:pPr>
            <w:r w:rsidRPr="006806CE">
              <w:rPr>
                <w:rFonts w:ascii="Verdana" w:hAnsi="Verdana"/>
                <w:sz w:val="18"/>
                <w:szCs w:val="18"/>
              </w:rPr>
              <w:t>FONDOS ESPECIALES</w:t>
            </w:r>
          </w:p>
        </w:tc>
        <w:tc>
          <w:tcPr>
            <w:tcW w:w="1050" w:type="pct"/>
            <w:hideMark/>
          </w:tcPr>
          <w:p w14:paraId="4648654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$319.856.265.448,00</w:t>
            </w:r>
          </w:p>
        </w:tc>
      </w:tr>
      <w:tr w:rsidR="006806CE" w:rsidRPr="006806CE" w14:paraId="1FB167EB" w14:textId="77777777" w:rsidTr="006806CE">
        <w:tc>
          <w:tcPr>
            <w:tcW w:w="550" w:type="pct"/>
            <w:gridSpan w:val="2"/>
            <w:hideMark/>
          </w:tcPr>
          <w:p w14:paraId="7E951459"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383A919E"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39F13AD5"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250" w:type="pct"/>
            <w:hideMark/>
          </w:tcPr>
          <w:p w14:paraId="766ACE73"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01</w:t>
            </w:r>
          </w:p>
        </w:tc>
        <w:tc>
          <w:tcPr>
            <w:tcW w:w="1800" w:type="pct"/>
            <w:hideMark/>
          </w:tcPr>
          <w:p w14:paraId="7A7F0025" w14:textId="77777777" w:rsidR="006806CE" w:rsidRPr="006806CE" w:rsidRDefault="006806CE" w:rsidP="006806CE">
            <w:pPr>
              <w:spacing w:after="160"/>
              <w:rPr>
                <w:rFonts w:ascii="Verdana" w:hAnsi="Verdana"/>
                <w:sz w:val="18"/>
                <w:szCs w:val="18"/>
              </w:rPr>
            </w:pPr>
            <w:r w:rsidRPr="006806CE">
              <w:rPr>
                <w:rFonts w:ascii="Verdana" w:hAnsi="Verdana"/>
                <w:sz w:val="18"/>
                <w:szCs w:val="18"/>
              </w:rPr>
              <w:t>SEDE NACIONAL</w:t>
            </w:r>
          </w:p>
        </w:tc>
        <w:tc>
          <w:tcPr>
            <w:tcW w:w="1050" w:type="pct"/>
            <w:hideMark/>
          </w:tcPr>
          <w:p w14:paraId="75357AB5" w14:textId="77777777" w:rsidR="006806CE" w:rsidRPr="006806CE" w:rsidRDefault="006806CE" w:rsidP="006806CE">
            <w:pPr>
              <w:spacing w:after="160"/>
              <w:rPr>
                <w:rFonts w:ascii="Verdana" w:hAnsi="Verdana"/>
                <w:sz w:val="18"/>
                <w:szCs w:val="18"/>
              </w:rPr>
            </w:pPr>
            <w:r w:rsidRPr="006806CE">
              <w:rPr>
                <w:rFonts w:ascii="Verdana" w:hAnsi="Verdana"/>
                <w:sz w:val="18"/>
                <w:szCs w:val="18"/>
              </w:rPr>
              <w:t>$319.856.265.448,00</w:t>
            </w:r>
          </w:p>
        </w:tc>
      </w:tr>
      <w:tr w:rsidR="006806CE" w:rsidRPr="006806CE" w14:paraId="41034F66" w14:textId="77777777" w:rsidTr="006806CE">
        <w:tc>
          <w:tcPr>
            <w:tcW w:w="250" w:type="pct"/>
            <w:hideMark/>
          </w:tcPr>
          <w:p w14:paraId="73EC6714"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4102</w:t>
            </w:r>
          </w:p>
        </w:tc>
        <w:tc>
          <w:tcPr>
            <w:tcW w:w="300" w:type="pct"/>
            <w:hideMark/>
          </w:tcPr>
          <w:p w14:paraId="4F3B59C2"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1500</w:t>
            </w:r>
          </w:p>
        </w:tc>
        <w:tc>
          <w:tcPr>
            <w:tcW w:w="350" w:type="pct"/>
            <w:hideMark/>
          </w:tcPr>
          <w:p w14:paraId="32EF4C1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w:t>
            </w:r>
          </w:p>
        </w:tc>
        <w:tc>
          <w:tcPr>
            <w:tcW w:w="400" w:type="pct"/>
            <w:hideMark/>
          </w:tcPr>
          <w:p w14:paraId="21477F7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w:t>
            </w:r>
          </w:p>
        </w:tc>
        <w:tc>
          <w:tcPr>
            <w:tcW w:w="300" w:type="pct"/>
            <w:hideMark/>
          </w:tcPr>
          <w:p w14:paraId="4EF232B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103</w:t>
            </w:r>
          </w:p>
        </w:tc>
        <w:tc>
          <w:tcPr>
            <w:tcW w:w="550" w:type="pct"/>
            <w:gridSpan w:val="2"/>
            <w:hideMark/>
          </w:tcPr>
          <w:p w14:paraId="3C90E762"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1800" w:type="pct"/>
            <w:hideMark/>
          </w:tcPr>
          <w:p w14:paraId="1E095DF7" w14:textId="77777777" w:rsidR="006806CE" w:rsidRPr="006806CE" w:rsidRDefault="006806CE" w:rsidP="006806CE">
            <w:pPr>
              <w:spacing w:after="160"/>
              <w:rPr>
                <w:rFonts w:ascii="Verdana" w:hAnsi="Verdana"/>
                <w:sz w:val="18"/>
                <w:szCs w:val="18"/>
              </w:rPr>
            </w:pPr>
            <w:r w:rsidRPr="006806CE">
              <w:rPr>
                <w:rFonts w:ascii="Verdana" w:hAnsi="Verdana"/>
                <w:sz w:val="18"/>
                <w:szCs w:val="18"/>
              </w:rPr>
              <w:t>CONVENIOS ESPECIALES</w:t>
            </w:r>
          </w:p>
        </w:tc>
        <w:tc>
          <w:tcPr>
            <w:tcW w:w="1050" w:type="pct"/>
            <w:hideMark/>
          </w:tcPr>
          <w:p w14:paraId="68668B85"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$ 8.000.000.000,00</w:t>
            </w:r>
          </w:p>
        </w:tc>
      </w:tr>
      <w:tr w:rsidR="006806CE" w:rsidRPr="006806CE" w14:paraId="69A80C24" w14:textId="77777777" w:rsidTr="006806CE">
        <w:tc>
          <w:tcPr>
            <w:tcW w:w="550" w:type="pct"/>
            <w:gridSpan w:val="2"/>
            <w:hideMark/>
          </w:tcPr>
          <w:p w14:paraId="3709CCF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0E097342"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1B9755B0"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16</w:t>
            </w:r>
          </w:p>
        </w:tc>
        <w:tc>
          <w:tcPr>
            <w:tcW w:w="2050" w:type="pct"/>
            <w:gridSpan w:val="2"/>
            <w:hideMark/>
          </w:tcPr>
          <w:p w14:paraId="17BF08F2" w14:textId="77777777" w:rsidR="006806CE" w:rsidRPr="006806CE" w:rsidRDefault="006806CE" w:rsidP="006806CE">
            <w:pPr>
              <w:spacing w:after="160"/>
              <w:rPr>
                <w:rFonts w:ascii="Verdana" w:hAnsi="Verdana"/>
                <w:sz w:val="18"/>
                <w:szCs w:val="18"/>
              </w:rPr>
            </w:pPr>
            <w:r w:rsidRPr="006806CE">
              <w:rPr>
                <w:rFonts w:ascii="Verdana" w:hAnsi="Verdana"/>
                <w:sz w:val="18"/>
                <w:szCs w:val="18"/>
              </w:rPr>
              <w:t>FONDOS ESPECIALES</w:t>
            </w:r>
          </w:p>
        </w:tc>
        <w:tc>
          <w:tcPr>
            <w:tcW w:w="1050" w:type="pct"/>
            <w:hideMark/>
          </w:tcPr>
          <w:p w14:paraId="16C6F4B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$ 8.000.000.000,00</w:t>
            </w:r>
          </w:p>
        </w:tc>
      </w:tr>
      <w:tr w:rsidR="006806CE" w:rsidRPr="006806CE" w14:paraId="796A4E10" w14:textId="77777777" w:rsidTr="006806CE">
        <w:tc>
          <w:tcPr>
            <w:tcW w:w="550" w:type="pct"/>
            <w:gridSpan w:val="2"/>
            <w:hideMark/>
          </w:tcPr>
          <w:p w14:paraId="6EE6A93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21F70258"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1C21AF94"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250" w:type="pct"/>
            <w:hideMark/>
          </w:tcPr>
          <w:p w14:paraId="535990CA"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01</w:t>
            </w:r>
          </w:p>
        </w:tc>
        <w:tc>
          <w:tcPr>
            <w:tcW w:w="1800" w:type="pct"/>
            <w:hideMark/>
          </w:tcPr>
          <w:p w14:paraId="2E146EEC" w14:textId="77777777" w:rsidR="006806CE" w:rsidRPr="006806CE" w:rsidRDefault="006806CE" w:rsidP="006806CE">
            <w:pPr>
              <w:spacing w:after="160"/>
              <w:rPr>
                <w:rFonts w:ascii="Verdana" w:hAnsi="Verdana"/>
                <w:sz w:val="18"/>
                <w:szCs w:val="18"/>
              </w:rPr>
            </w:pPr>
            <w:r w:rsidRPr="006806CE">
              <w:rPr>
                <w:rFonts w:ascii="Verdana" w:hAnsi="Verdana"/>
                <w:sz w:val="18"/>
                <w:szCs w:val="18"/>
              </w:rPr>
              <w:t>SEDE NACIONAL</w:t>
            </w:r>
          </w:p>
        </w:tc>
        <w:tc>
          <w:tcPr>
            <w:tcW w:w="1050" w:type="pct"/>
            <w:hideMark/>
          </w:tcPr>
          <w:p w14:paraId="60F02FE5"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$ 8.000.000.000,00</w:t>
            </w:r>
          </w:p>
        </w:tc>
      </w:tr>
      <w:tr w:rsidR="006806CE" w:rsidRPr="006806CE" w14:paraId="62CB8EFE" w14:textId="77777777" w:rsidTr="006806CE">
        <w:tc>
          <w:tcPr>
            <w:tcW w:w="250" w:type="pct"/>
            <w:hideMark/>
          </w:tcPr>
          <w:p w14:paraId="7E41AEE6"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4102</w:t>
            </w:r>
          </w:p>
        </w:tc>
        <w:tc>
          <w:tcPr>
            <w:tcW w:w="300" w:type="pct"/>
            <w:hideMark/>
          </w:tcPr>
          <w:p w14:paraId="38DFADC2"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1500</w:t>
            </w:r>
          </w:p>
        </w:tc>
        <w:tc>
          <w:tcPr>
            <w:tcW w:w="350" w:type="pct"/>
            <w:hideMark/>
          </w:tcPr>
          <w:p w14:paraId="7819BD38" w14:textId="77777777" w:rsidR="006806CE" w:rsidRPr="006806CE" w:rsidRDefault="006806CE" w:rsidP="006806CE">
            <w:pPr>
              <w:spacing w:after="160"/>
              <w:rPr>
                <w:rFonts w:ascii="Verdana" w:hAnsi="Verdana"/>
                <w:sz w:val="18"/>
                <w:szCs w:val="18"/>
              </w:rPr>
            </w:pPr>
            <w:r w:rsidRPr="006806CE">
              <w:rPr>
                <w:rFonts w:ascii="Verdana" w:hAnsi="Verdana"/>
                <w:sz w:val="18"/>
                <w:szCs w:val="18"/>
              </w:rPr>
              <w:t>4</w:t>
            </w:r>
          </w:p>
        </w:tc>
        <w:tc>
          <w:tcPr>
            <w:tcW w:w="400" w:type="pct"/>
            <w:hideMark/>
          </w:tcPr>
          <w:p w14:paraId="0E7D1411"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w:t>
            </w:r>
          </w:p>
        </w:tc>
        <w:tc>
          <w:tcPr>
            <w:tcW w:w="300" w:type="pct"/>
            <w:hideMark/>
          </w:tcPr>
          <w:p w14:paraId="6F779A6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105</w:t>
            </w:r>
          </w:p>
        </w:tc>
        <w:tc>
          <w:tcPr>
            <w:tcW w:w="550" w:type="pct"/>
            <w:gridSpan w:val="2"/>
            <w:hideMark/>
          </w:tcPr>
          <w:p w14:paraId="5A6C4806"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1800" w:type="pct"/>
            <w:hideMark/>
          </w:tcPr>
          <w:p w14:paraId="0713F4E9" w14:textId="77777777" w:rsidR="006806CE" w:rsidRPr="006806CE" w:rsidRDefault="006806CE" w:rsidP="006806CE">
            <w:pPr>
              <w:spacing w:after="160"/>
              <w:rPr>
                <w:rFonts w:ascii="Verdana" w:hAnsi="Verdana"/>
                <w:sz w:val="18"/>
                <w:szCs w:val="18"/>
              </w:rPr>
            </w:pPr>
            <w:r w:rsidRPr="006806CE">
              <w:rPr>
                <w:rFonts w:ascii="Verdana" w:hAnsi="Verdana"/>
                <w:sz w:val="18"/>
                <w:szCs w:val="18"/>
              </w:rPr>
              <w:t>ACCIONES PARA EL MEJORAMIENTO DE LA ATENCION A LA PRIMERA INFANCIA</w:t>
            </w:r>
          </w:p>
        </w:tc>
        <w:tc>
          <w:tcPr>
            <w:tcW w:w="1050" w:type="pct"/>
            <w:hideMark/>
          </w:tcPr>
          <w:p w14:paraId="23A7433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$ 45.000.000.000,00</w:t>
            </w:r>
          </w:p>
        </w:tc>
      </w:tr>
      <w:tr w:rsidR="006806CE" w:rsidRPr="006806CE" w14:paraId="507B4CCB" w14:textId="77777777" w:rsidTr="006806CE">
        <w:tc>
          <w:tcPr>
            <w:tcW w:w="550" w:type="pct"/>
            <w:gridSpan w:val="2"/>
            <w:hideMark/>
          </w:tcPr>
          <w:p w14:paraId="36398E93"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591F713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2648618B" w14:textId="77777777" w:rsidR="006806CE" w:rsidRPr="006806CE" w:rsidRDefault="006806CE" w:rsidP="006806CE">
            <w:pPr>
              <w:spacing w:after="160"/>
              <w:rPr>
                <w:rFonts w:ascii="Verdana" w:hAnsi="Verdana"/>
                <w:sz w:val="18"/>
                <w:szCs w:val="18"/>
              </w:rPr>
            </w:pPr>
            <w:r w:rsidRPr="006806CE">
              <w:rPr>
                <w:rFonts w:ascii="Verdana" w:hAnsi="Verdana"/>
                <w:sz w:val="18"/>
                <w:szCs w:val="18"/>
              </w:rPr>
              <w:t>16</w:t>
            </w:r>
          </w:p>
        </w:tc>
        <w:tc>
          <w:tcPr>
            <w:tcW w:w="2050" w:type="pct"/>
            <w:gridSpan w:val="2"/>
            <w:hideMark/>
          </w:tcPr>
          <w:p w14:paraId="41D2DB4D" w14:textId="77777777" w:rsidR="006806CE" w:rsidRPr="006806CE" w:rsidRDefault="006806CE" w:rsidP="006806CE">
            <w:pPr>
              <w:spacing w:after="160"/>
              <w:rPr>
                <w:rFonts w:ascii="Verdana" w:hAnsi="Verdana"/>
                <w:sz w:val="18"/>
                <w:szCs w:val="18"/>
              </w:rPr>
            </w:pPr>
            <w:r w:rsidRPr="006806CE">
              <w:rPr>
                <w:rFonts w:ascii="Verdana" w:hAnsi="Verdana"/>
                <w:sz w:val="18"/>
                <w:szCs w:val="18"/>
              </w:rPr>
              <w:t>FONDOS ESPECIALES</w:t>
            </w:r>
          </w:p>
        </w:tc>
        <w:tc>
          <w:tcPr>
            <w:tcW w:w="1050" w:type="pct"/>
            <w:hideMark/>
          </w:tcPr>
          <w:p w14:paraId="5133EF97"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$ 45.000.000.000,00</w:t>
            </w:r>
          </w:p>
        </w:tc>
      </w:tr>
      <w:tr w:rsidR="006806CE" w:rsidRPr="006806CE" w14:paraId="4591C9D2" w14:textId="77777777" w:rsidTr="006806CE">
        <w:tc>
          <w:tcPr>
            <w:tcW w:w="550" w:type="pct"/>
            <w:gridSpan w:val="2"/>
            <w:hideMark/>
          </w:tcPr>
          <w:p w14:paraId="253DF8E4"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750" w:type="pct"/>
            <w:gridSpan w:val="2"/>
            <w:hideMark/>
          </w:tcPr>
          <w:p w14:paraId="558200F1"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600" w:type="pct"/>
            <w:gridSpan w:val="2"/>
            <w:hideMark/>
          </w:tcPr>
          <w:p w14:paraId="776B0DA4"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w:t>
            </w:r>
          </w:p>
        </w:tc>
        <w:tc>
          <w:tcPr>
            <w:tcW w:w="250" w:type="pct"/>
            <w:hideMark/>
          </w:tcPr>
          <w:p w14:paraId="60F74297" w14:textId="77777777" w:rsidR="006806CE" w:rsidRPr="006806CE" w:rsidRDefault="006806CE" w:rsidP="006806CE">
            <w:pPr>
              <w:spacing w:after="160"/>
              <w:rPr>
                <w:rFonts w:ascii="Verdana" w:hAnsi="Verdana"/>
                <w:sz w:val="18"/>
                <w:szCs w:val="18"/>
              </w:rPr>
            </w:pPr>
            <w:r w:rsidRPr="006806CE">
              <w:rPr>
                <w:rFonts w:ascii="Verdana" w:hAnsi="Verdana"/>
                <w:sz w:val="18"/>
                <w:szCs w:val="18"/>
              </w:rPr>
              <w:t>01</w:t>
            </w:r>
          </w:p>
        </w:tc>
        <w:tc>
          <w:tcPr>
            <w:tcW w:w="1800" w:type="pct"/>
            <w:hideMark/>
          </w:tcPr>
          <w:p w14:paraId="08C277FF" w14:textId="77777777" w:rsidR="006806CE" w:rsidRPr="006806CE" w:rsidRDefault="006806CE" w:rsidP="006806CE">
            <w:pPr>
              <w:spacing w:after="160"/>
              <w:rPr>
                <w:rFonts w:ascii="Verdana" w:hAnsi="Verdana"/>
                <w:sz w:val="18"/>
                <w:szCs w:val="18"/>
              </w:rPr>
            </w:pPr>
            <w:r w:rsidRPr="006806CE">
              <w:rPr>
                <w:rFonts w:ascii="Verdana" w:hAnsi="Verdana"/>
                <w:sz w:val="18"/>
                <w:szCs w:val="18"/>
              </w:rPr>
              <w:t>SEDE NACIONAL</w:t>
            </w:r>
          </w:p>
        </w:tc>
        <w:tc>
          <w:tcPr>
            <w:tcW w:w="1050" w:type="pct"/>
            <w:hideMark/>
          </w:tcPr>
          <w:p w14:paraId="27821CA6" w14:textId="77777777" w:rsidR="006806CE" w:rsidRPr="006806CE" w:rsidRDefault="006806CE" w:rsidP="006806CE">
            <w:pPr>
              <w:spacing w:after="160"/>
              <w:rPr>
                <w:rFonts w:ascii="Verdana" w:hAnsi="Verdana"/>
                <w:sz w:val="18"/>
                <w:szCs w:val="18"/>
              </w:rPr>
            </w:pPr>
            <w:r w:rsidRPr="006806CE">
              <w:rPr>
                <w:rFonts w:ascii="Verdana" w:hAnsi="Verdana"/>
                <w:sz w:val="18"/>
                <w:szCs w:val="18"/>
              </w:rPr>
              <w:t>$ 45.000.000.000,00</w:t>
            </w:r>
          </w:p>
        </w:tc>
      </w:tr>
    </w:tbl>
    <w:p w14:paraId="7AD1158D" w14:textId="77777777" w:rsidR="001E5A62" w:rsidRPr="006806CE" w:rsidRDefault="001E5A62" w:rsidP="001E5A62">
      <w:pPr>
        <w:rPr>
          <w:rFonts w:ascii="Verdana" w:hAnsi="Verdana"/>
          <w:sz w:val="18"/>
          <w:szCs w:val="18"/>
        </w:rPr>
      </w:pPr>
    </w:p>
    <w:p w14:paraId="703EE964" w14:textId="27095BD9" w:rsidR="001E5A62" w:rsidRPr="001E5A62" w:rsidRDefault="001E5A62" w:rsidP="001E5A62">
      <w:pPr>
        <w:rPr>
          <w:rFonts w:ascii="Verdana" w:hAnsi="Verdana"/>
          <w:sz w:val="22"/>
          <w:szCs w:val="22"/>
        </w:rPr>
      </w:pPr>
      <w:r w:rsidRPr="001E5A62">
        <w:rPr>
          <w:rFonts w:ascii="Verdana" w:hAnsi="Verdana"/>
          <w:b/>
          <w:bCs/>
          <w:sz w:val="22"/>
          <w:szCs w:val="22"/>
        </w:rPr>
        <w:t xml:space="preserve">ARTÍCULO </w:t>
      </w:r>
      <w:r w:rsidRPr="001E5A62">
        <w:rPr>
          <w:rFonts w:ascii="Verdana" w:hAnsi="Verdana"/>
          <w:b/>
          <w:bCs/>
          <w:sz w:val="22"/>
          <w:szCs w:val="22"/>
        </w:rPr>
        <w:t>2o</w:t>
      </w:r>
      <w:r w:rsidRPr="001E5A62">
        <w:rPr>
          <w:rFonts w:ascii="Verdana" w:hAnsi="Verdana"/>
          <w:b/>
          <w:bCs/>
          <w:sz w:val="22"/>
          <w:szCs w:val="22"/>
        </w:rPr>
        <w:t>.</w:t>
      </w:r>
      <w:r w:rsidRPr="001E5A62">
        <w:rPr>
          <w:rFonts w:ascii="Verdana" w:hAnsi="Verdana"/>
          <w:sz w:val="22"/>
          <w:szCs w:val="22"/>
        </w:rPr>
        <w:t xml:space="preserve"> la presente Resolución rige a partir de la fecha de su expedición.</w:t>
      </w:r>
    </w:p>
    <w:p w14:paraId="05A7D589" w14:textId="310A96E4" w:rsidR="001E5A62" w:rsidRPr="001E5A62" w:rsidRDefault="001E5A62" w:rsidP="001E5A62">
      <w:pPr>
        <w:jc w:val="center"/>
        <w:rPr>
          <w:rFonts w:ascii="Verdana" w:hAnsi="Verdana"/>
          <w:b/>
          <w:bCs/>
          <w:sz w:val="22"/>
          <w:szCs w:val="22"/>
        </w:rPr>
      </w:pPr>
      <w:r w:rsidRPr="001E5A62">
        <w:rPr>
          <w:rFonts w:ascii="Verdana" w:hAnsi="Verdana"/>
          <w:b/>
          <w:bCs/>
          <w:sz w:val="22"/>
          <w:szCs w:val="22"/>
        </w:rPr>
        <w:t>COMUNIQUESE Y CUMPLASE</w:t>
      </w:r>
    </w:p>
    <w:p w14:paraId="278A9EBA" w14:textId="546B7A35" w:rsidR="001E5A62" w:rsidRPr="001E5A62" w:rsidRDefault="001E5A62" w:rsidP="001E5A62">
      <w:pPr>
        <w:jc w:val="center"/>
        <w:rPr>
          <w:rFonts w:ascii="Verdana" w:hAnsi="Verdana"/>
          <w:sz w:val="22"/>
          <w:szCs w:val="22"/>
        </w:rPr>
      </w:pPr>
      <w:r w:rsidRPr="001E5A62">
        <w:rPr>
          <w:rFonts w:ascii="Verdana" w:hAnsi="Verdana"/>
          <w:sz w:val="22"/>
          <w:szCs w:val="22"/>
        </w:rPr>
        <w:t>Dada en Bogotá D.C. a los 24</w:t>
      </w:r>
      <w:r>
        <w:rPr>
          <w:rFonts w:ascii="Verdana" w:hAnsi="Verdana"/>
          <w:sz w:val="22"/>
          <w:szCs w:val="22"/>
        </w:rPr>
        <w:t xml:space="preserve"> días del mes de marzo de </w:t>
      </w:r>
      <w:r w:rsidRPr="001E5A62">
        <w:rPr>
          <w:rFonts w:ascii="Verdana" w:hAnsi="Verdana"/>
          <w:sz w:val="22"/>
          <w:szCs w:val="22"/>
        </w:rPr>
        <w:t>2017</w:t>
      </w:r>
    </w:p>
    <w:p w14:paraId="457E577C" w14:textId="3E107884" w:rsidR="001E5A62" w:rsidRPr="001E5A62" w:rsidRDefault="001E5A62" w:rsidP="001E5A62">
      <w:pPr>
        <w:jc w:val="center"/>
        <w:rPr>
          <w:rFonts w:ascii="Verdana" w:hAnsi="Verdana"/>
          <w:b/>
          <w:bCs/>
          <w:sz w:val="22"/>
          <w:szCs w:val="22"/>
        </w:rPr>
      </w:pPr>
      <w:r w:rsidRPr="001E5A62">
        <w:rPr>
          <w:rFonts w:ascii="Verdana" w:hAnsi="Verdana"/>
          <w:b/>
          <w:bCs/>
          <w:sz w:val="22"/>
          <w:szCs w:val="22"/>
        </w:rPr>
        <w:t>CRISTINA PLAZAS MICHELSEN</w:t>
      </w:r>
    </w:p>
    <w:p w14:paraId="77C1C94B" w14:textId="56E3CF8D" w:rsidR="00A724C4" w:rsidRPr="001E5A62" w:rsidRDefault="001E5A62" w:rsidP="001E5A62">
      <w:pPr>
        <w:jc w:val="center"/>
        <w:rPr>
          <w:rFonts w:ascii="Verdana" w:hAnsi="Verdana"/>
          <w:sz w:val="22"/>
          <w:szCs w:val="22"/>
        </w:rPr>
      </w:pPr>
      <w:r w:rsidRPr="001E5A62">
        <w:rPr>
          <w:rFonts w:ascii="Verdana" w:hAnsi="Verdana"/>
          <w:sz w:val="22"/>
          <w:szCs w:val="22"/>
        </w:rPr>
        <w:t>DIRECTORA GENERAL</w:t>
      </w:r>
    </w:p>
    <w:sectPr w:rsidR="00A724C4" w:rsidRPr="001E5A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4D9D"/>
    <w:multiLevelType w:val="hybridMultilevel"/>
    <w:tmpl w:val="A88EE7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0943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3D"/>
    <w:rsid w:val="001E5A62"/>
    <w:rsid w:val="00243CB4"/>
    <w:rsid w:val="002C3888"/>
    <w:rsid w:val="00531C3D"/>
    <w:rsid w:val="005F24DA"/>
    <w:rsid w:val="006806CE"/>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B6BD"/>
  <w15:chartTrackingRefBased/>
  <w15:docId w15:val="{DE22E18B-6D65-4544-A994-BD593A85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DA"/>
    <w:pPr>
      <w:spacing w:line="240" w:lineRule="auto"/>
      <w:jc w:val="both"/>
    </w:pPr>
    <w:rPr>
      <w:rFonts w:ascii="Arial" w:hAnsi="Arial" w:cs="Arial"/>
    </w:rPr>
  </w:style>
  <w:style w:type="paragraph" w:styleId="Ttulo1">
    <w:name w:val="heading 1"/>
    <w:basedOn w:val="Normal"/>
    <w:next w:val="Normal"/>
    <w:link w:val="Ttulo1Car"/>
    <w:uiPriority w:val="9"/>
    <w:qFormat/>
    <w:rsid w:val="00531C3D"/>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1C3D"/>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1C3D"/>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1C3D"/>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31C3D"/>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31C3D"/>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31C3D"/>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31C3D"/>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31C3D"/>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1C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1C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1C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1C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1C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1C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1C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1C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1C3D"/>
    <w:rPr>
      <w:rFonts w:eastAsiaTheme="majorEastAsia" w:cstheme="majorBidi"/>
      <w:color w:val="272727" w:themeColor="text1" w:themeTint="D8"/>
    </w:rPr>
  </w:style>
  <w:style w:type="paragraph" w:styleId="Ttulo">
    <w:name w:val="Title"/>
    <w:basedOn w:val="Normal"/>
    <w:next w:val="Normal"/>
    <w:link w:val="TtuloCar"/>
    <w:uiPriority w:val="10"/>
    <w:qFormat/>
    <w:rsid w:val="00531C3D"/>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1C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1C3D"/>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1C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1C3D"/>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531C3D"/>
    <w:rPr>
      <w:i/>
      <w:iCs/>
      <w:color w:val="404040" w:themeColor="text1" w:themeTint="BF"/>
    </w:rPr>
  </w:style>
  <w:style w:type="paragraph" w:styleId="Prrafodelista">
    <w:name w:val="List Paragraph"/>
    <w:basedOn w:val="Normal"/>
    <w:uiPriority w:val="34"/>
    <w:qFormat/>
    <w:rsid w:val="00531C3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531C3D"/>
    <w:rPr>
      <w:i/>
      <w:iCs/>
      <w:color w:val="0F4761" w:themeColor="accent1" w:themeShade="BF"/>
    </w:rPr>
  </w:style>
  <w:style w:type="paragraph" w:styleId="Citadestacada">
    <w:name w:val="Intense Quote"/>
    <w:basedOn w:val="Normal"/>
    <w:next w:val="Normal"/>
    <w:link w:val="CitadestacadaCar"/>
    <w:uiPriority w:val="30"/>
    <w:qFormat/>
    <w:rsid w:val="00531C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531C3D"/>
    <w:rPr>
      <w:i/>
      <w:iCs/>
      <w:color w:val="0F4761" w:themeColor="accent1" w:themeShade="BF"/>
    </w:rPr>
  </w:style>
  <w:style w:type="character" w:styleId="Referenciaintensa">
    <w:name w:val="Intense Reference"/>
    <w:basedOn w:val="Fuentedeprrafopredeter"/>
    <w:uiPriority w:val="32"/>
    <w:qFormat/>
    <w:rsid w:val="00531C3D"/>
    <w:rPr>
      <w:b/>
      <w:bCs/>
      <w:smallCaps/>
      <w:color w:val="0F4761" w:themeColor="accent1" w:themeShade="BF"/>
      <w:spacing w:val="5"/>
    </w:rPr>
  </w:style>
  <w:style w:type="table" w:styleId="Tablaconcuadrcula">
    <w:name w:val="Table Grid"/>
    <w:basedOn w:val="Tablanormal"/>
    <w:uiPriority w:val="39"/>
    <w:rsid w:val="0068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742D6-C355-46B3-9585-ED5140D25613}"/>
</file>

<file path=customXml/itemProps2.xml><?xml version="1.0" encoding="utf-8"?>
<ds:datastoreItem xmlns:ds="http://schemas.openxmlformats.org/officeDocument/2006/customXml" ds:itemID="{90E05EC4-0AF4-41E9-BBA2-DD7A4F9B950F}"/>
</file>

<file path=customXml/itemProps3.xml><?xml version="1.0" encoding="utf-8"?>
<ds:datastoreItem xmlns:ds="http://schemas.openxmlformats.org/officeDocument/2006/customXml" ds:itemID="{D6807FDF-94DA-407F-BC8D-4F63F1D1614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3946</Characters>
  <Application>Microsoft Office Word</Application>
  <DocSecurity>0</DocSecurity>
  <Lines>32</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2026-02-24T21:11:00Z</dcterms:created>
  <dcterms:modified xsi:type="dcterms:W3CDTF">2026-02-24T21:14:00Z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