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E0885" w:rsidRDefault="00000000">
      <w:pPr>
        <w:spacing w:after="160" w:line="240" w:lineRule="auto"/>
        <w:jc w:val="center"/>
        <w:rPr>
          <w:rFonts w:ascii="Verdana" w:eastAsia="Verdana" w:hAnsi="Verdana" w:cs="Verdana"/>
          <w:b/>
          <w:bCs/>
        </w:rPr>
      </w:pPr>
      <w:r>
        <w:rPr>
          <w:rFonts w:ascii="Verdana" w:eastAsia="Verdana" w:hAnsi="Verdana" w:cs="Verdana"/>
          <w:b/>
          <w:bCs/>
        </w:rPr>
        <w:t>RESOLUCIÓN 1910 DE 2010</w:t>
      </w:r>
    </w:p>
    <w:p w14:paraId="00000002" w14:textId="77777777" w:rsidR="008E0885" w:rsidRDefault="00000000">
      <w:pPr>
        <w:spacing w:line="240" w:lineRule="auto"/>
        <w:rPr>
          <w:rFonts w:ascii="Verdana" w:eastAsia="Verdana" w:hAnsi="Verdana" w:cs="Verdana"/>
        </w:rPr>
      </w:pPr>
      <w:r>
        <w:rPr>
          <w:rFonts w:ascii="Verdana" w:eastAsia="Verdana" w:hAnsi="Verdana" w:cs="Verdana"/>
        </w:rPr>
        <w:t>Fecha de Expedición: 11 de mayo de 2010</w:t>
      </w:r>
    </w:p>
    <w:p w14:paraId="00000003" w14:textId="77777777" w:rsidR="008E0885"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xml:space="preserve">: </w:t>
      </w:r>
      <w:r>
        <w:rPr>
          <w:rFonts w:ascii="Verdana" w:eastAsia="Verdana" w:hAnsi="Verdana" w:cs="Verdana"/>
          <w:highlight w:val="white"/>
        </w:rPr>
        <w:t xml:space="preserve"> 11 de mayo de 2010</w:t>
      </w:r>
    </w:p>
    <w:p w14:paraId="00000004" w14:textId="77777777" w:rsidR="008E0885" w:rsidRDefault="00000000">
      <w:pPr>
        <w:spacing w:line="240" w:lineRule="auto"/>
        <w:rPr>
          <w:rFonts w:ascii="Verdana" w:eastAsia="Verdana" w:hAnsi="Verdana" w:cs="Verdana"/>
        </w:rPr>
      </w:pPr>
      <w:r>
        <w:rPr>
          <w:rFonts w:ascii="Verdana" w:eastAsia="Verdana" w:hAnsi="Verdana" w:cs="Verdana"/>
        </w:rPr>
        <w:t>Estado de la vigencia: Vigente</w:t>
      </w:r>
    </w:p>
    <w:p w14:paraId="00000005" w14:textId="77777777" w:rsidR="008E0885" w:rsidRDefault="008E0885">
      <w:pPr>
        <w:spacing w:line="240" w:lineRule="auto"/>
        <w:rPr>
          <w:rFonts w:ascii="Verdana" w:eastAsia="Verdana" w:hAnsi="Verdana" w:cs="Verdana"/>
        </w:rPr>
      </w:pPr>
    </w:p>
    <w:p w14:paraId="00000006" w14:textId="77777777" w:rsidR="008E0885" w:rsidRDefault="00000000">
      <w:pPr>
        <w:spacing w:line="240" w:lineRule="auto"/>
        <w:rPr>
          <w:rFonts w:ascii="Verdana" w:eastAsia="Verdana" w:hAnsi="Verdana" w:cs="Verdana"/>
          <w:highlight w:val="white"/>
        </w:rPr>
      </w:pPr>
      <w:r>
        <w:rPr>
          <w:rFonts w:ascii="Verdana" w:eastAsia="Verdana" w:hAnsi="Verdana" w:cs="Verdana"/>
        </w:rPr>
        <w:t>Fecha de publicación en Diario Oficial:</w:t>
      </w:r>
      <w:r>
        <w:rPr>
          <w:rFonts w:ascii="Verdana" w:eastAsia="Verdana" w:hAnsi="Verdana" w:cs="Verdana"/>
          <w:highlight w:val="white"/>
        </w:rPr>
        <w:t xml:space="preserve"> N/A</w:t>
      </w:r>
    </w:p>
    <w:p w14:paraId="00000007" w14:textId="77777777" w:rsidR="008E0885" w:rsidRDefault="00000000">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0000008" w14:textId="77777777" w:rsidR="008E0885" w:rsidRDefault="008E0885">
      <w:pPr>
        <w:spacing w:line="240" w:lineRule="auto"/>
        <w:rPr>
          <w:rFonts w:ascii="Verdana" w:eastAsia="Verdana" w:hAnsi="Verdana" w:cs="Verdana"/>
          <w:highlight w:val="white"/>
        </w:rPr>
      </w:pPr>
    </w:p>
    <w:p w14:paraId="00000009" w14:textId="77777777" w:rsidR="008E0885" w:rsidRDefault="00000000">
      <w:pPr>
        <w:spacing w:after="160" w:line="240" w:lineRule="auto"/>
        <w:jc w:val="center"/>
        <w:rPr>
          <w:rFonts w:ascii="Verdana" w:eastAsia="Verdana" w:hAnsi="Verdana" w:cs="Verdana"/>
          <w:b/>
          <w:bCs/>
        </w:rPr>
      </w:pPr>
      <w:r>
        <w:rPr>
          <w:rFonts w:ascii="Verdana" w:eastAsia="Verdana" w:hAnsi="Verdana" w:cs="Verdana"/>
          <w:b/>
          <w:bCs/>
        </w:rPr>
        <w:t>RESOLUCIÓN 1910 2010</w:t>
      </w:r>
    </w:p>
    <w:p w14:paraId="0000000A" w14:textId="77777777" w:rsidR="008E0885" w:rsidRDefault="00000000">
      <w:pPr>
        <w:spacing w:after="160" w:line="240" w:lineRule="auto"/>
        <w:jc w:val="center"/>
        <w:rPr>
          <w:rFonts w:ascii="Verdana" w:eastAsia="Verdana" w:hAnsi="Verdana" w:cs="Verdana"/>
        </w:rPr>
      </w:pPr>
      <w:r>
        <w:rPr>
          <w:rFonts w:ascii="Verdana" w:eastAsia="Verdana" w:hAnsi="Verdana" w:cs="Verdana"/>
        </w:rPr>
        <w:t>(11 de mayo)</w:t>
      </w:r>
    </w:p>
    <w:p w14:paraId="0000000B" w14:textId="77777777" w:rsidR="008E0885"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47B86D89" w:rsidR="008E0885" w:rsidRDefault="00000000">
      <w:pPr>
        <w:shd w:val="clear" w:color="auto" w:fill="FFFFFF"/>
        <w:spacing w:after="240" w:line="240" w:lineRule="auto"/>
        <w:jc w:val="center"/>
        <w:rPr>
          <w:rFonts w:ascii="Verdana" w:eastAsia="Verdana" w:hAnsi="Verdana" w:cs="Verdana"/>
          <w:highlight w:val="white"/>
        </w:rPr>
      </w:pPr>
      <w:r>
        <w:rPr>
          <w:rFonts w:ascii="Verdana" w:eastAsia="Verdana" w:hAnsi="Verdana" w:cs="Verdana"/>
          <w:highlight w:val="white"/>
        </w:rPr>
        <w:t xml:space="preserve">Por la cual se revoca la Resolución No. </w:t>
      </w:r>
      <w:r w:rsidR="008E0885">
        <w:rPr>
          <w:rFonts w:ascii="Verdana" w:eastAsia="Verdana" w:hAnsi="Verdana" w:cs="Verdana"/>
          <w:highlight w:val="white"/>
        </w:rPr>
        <w:t>1526</w:t>
      </w:r>
      <w:r>
        <w:rPr>
          <w:rFonts w:ascii="Verdana" w:eastAsia="Verdana" w:hAnsi="Verdana" w:cs="Verdana"/>
          <w:highlight w:val="white"/>
        </w:rPr>
        <w:t xml:space="preserve"> de 5 de julio de 2006 y se ordena el desarchive de la denuncia de bien mostrenco No. 001 de 2005</w:t>
      </w:r>
    </w:p>
    <w:p w14:paraId="0000000D" w14:textId="77777777" w:rsidR="008E088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E" w14:textId="7A88D1EB" w:rsidR="008E0885" w:rsidRDefault="00000000">
      <w:pPr>
        <w:shd w:val="clear" w:color="auto" w:fill="FFFFFF"/>
        <w:spacing w:after="280" w:line="426" w:lineRule="auto"/>
        <w:jc w:val="center"/>
        <w:rPr>
          <w:rFonts w:ascii="Verdana" w:eastAsia="Verdana" w:hAnsi="Verdana" w:cs="Verdana"/>
        </w:rPr>
      </w:pPr>
      <w:r>
        <w:rPr>
          <w:rFonts w:ascii="Verdana" w:eastAsia="Verdana" w:hAnsi="Verdana" w:cs="Verdana"/>
        </w:rPr>
        <w:t xml:space="preserve">En uso de sus facultades legales y estatutarias, en especial la establecida en el artículo </w:t>
      </w:r>
      <w:r w:rsidR="008E0885">
        <w:rPr>
          <w:rFonts w:ascii="Verdana" w:eastAsia="Verdana" w:hAnsi="Verdana" w:cs="Verdana"/>
        </w:rPr>
        <w:t>69</w:t>
      </w:r>
      <w:r>
        <w:rPr>
          <w:rFonts w:ascii="Verdana" w:eastAsia="Verdana" w:hAnsi="Verdana" w:cs="Verdana"/>
        </w:rPr>
        <w:t xml:space="preserve"> del Código Contencioso Administrativo</w:t>
      </w:r>
    </w:p>
    <w:p w14:paraId="0000000F" w14:textId="3ABEA655" w:rsidR="008E0885"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rPr>
        <w:t xml:space="preserve">Procede el Despacho a revisar la legalidad del archivo de la denuncia de bien mostrenco No 001 de 2005, ordenado mediante la Resolución No. </w:t>
      </w:r>
      <w:r w:rsidR="008E0885">
        <w:rPr>
          <w:rFonts w:ascii="Verdana" w:eastAsia="Verdana" w:hAnsi="Verdana" w:cs="Verdana"/>
        </w:rPr>
        <w:t>1526</w:t>
      </w:r>
      <w:r>
        <w:rPr>
          <w:rFonts w:ascii="Verdana" w:eastAsia="Verdana" w:hAnsi="Verdana" w:cs="Verdana"/>
        </w:rPr>
        <w:t xml:space="preserve"> de 5 de julio de 2006.</w:t>
      </w:r>
    </w:p>
    <w:p w14:paraId="00000010" w14:textId="77777777" w:rsidR="008E0885" w:rsidRDefault="00000000">
      <w:pPr>
        <w:spacing w:after="280" w:line="426" w:lineRule="auto"/>
        <w:jc w:val="center"/>
        <w:rPr>
          <w:rFonts w:ascii="Verdana" w:eastAsia="Verdana" w:hAnsi="Verdana" w:cs="Verdana"/>
          <w:b/>
          <w:bCs/>
        </w:rPr>
      </w:pPr>
      <w:r>
        <w:rPr>
          <w:rFonts w:ascii="Verdana" w:eastAsia="Verdana" w:hAnsi="Verdana" w:cs="Verdana"/>
          <w:b/>
          <w:bCs/>
        </w:rPr>
        <w:t>ANTECEDENTES</w:t>
      </w:r>
    </w:p>
    <w:p w14:paraId="00000011" w14:textId="2B1BB972" w:rsidR="008E0885" w:rsidRDefault="00000000">
      <w:pPr>
        <w:spacing w:after="280" w:line="426" w:lineRule="auto"/>
        <w:jc w:val="both"/>
        <w:rPr>
          <w:rFonts w:ascii="Verdana" w:eastAsia="Verdana" w:hAnsi="Verdana" w:cs="Verdana"/>
        </w:rPr>
      </w:pPr>
      <w:r>
        <w:rPr>
          <w:rFonts w:ascii="Verdana" w:eastAsia="Verdana" w:hAnsi="Verdana" w:cs="Verdana"/>
        </w:rPr>
        <w:t xml:space="preserve">La Sala de Consulta y Servicio Civil del Consejo de Estado, mediante oficio No. 846 de 10 de noviembre de 2005, remitió a la </w:t>
      </w:r>
      <w:proofErr w:type="gramStart"/>
      <w:r>
        <w:rPr>
          <w:rFonts w:ascii="Verdana" w:eastAsia="Verdana" w:hAnsi="Verdana" w:cs="Verdana"/>
        </w:rPr>
        <w:t>Directora</w:t>
      </w:r>
      <w:proofErr w:type="gramEnd"/>
      <w:r>
        <w:rPr>
          <w:rFonts w:ascii="Verdana" w:eastAsia="Verdana" w:hAnsi="Verdana" w:cs="Verdana"/>
        </w:rPr>
        <w:t xml:space="preserve"> del Instituto Colombiano de Bienestar Familiar copia del concepto No. </w:t>
      </w:r>
      <w:r w:rsidR="008E0885">
        <w:rPr>
          <w:rFonts w:ascii="Verdana" w:eastAsia="Verdana" w:hAnsi="Verdana" w:cs="Verdana"/>
        </w:rPr>
        <w:t>1.677</w:t>
      </w:r>
      <w:r>
        <w:rPr>
          <w:rFonts w:ascii="Verdana" w:eastAsia="Verdana" w:hAnsi="Verdana" w:cs="Verdana"/>
        </w:rPr>
        <w:t xml:space="preserve"> del 12 de octubre de 2005, en donde se concluyó que las sumas recaudadas con ocasión del incremento de $100 y $200 en los peajes de las vías transferidas y concesionadas por el Departamento de Cundinamarca entre los años 2001 a 2003 y autorizadas mediante las Resoluciones Nos. 3966 de 2000, 301 y 12901 de 2001 y 1286 de 2002 expedidas por el Ministerio de Transporte y los Decretos Departamentales Nos. 1902, 2304 y 2305 de 2001 y 1353, 1513 y 1514 de 2002 expedidos por la Gobernación de Cundinamarca, podrían ser denunciadas como bienes mostrencos por el ICBF.</w:t>
      </w:r>
    </w:p>
    <w:p w14:paraId="00000012" w14:textId="77777777" w:rsidR="008E0885" w:rsidRDefault="00000000">
      <w:pPr>
        <w:spacing w:after="280" w:line="426" w:lineRule="auto"/>
        <w:jc w:val="both"/>
        <w:rPr>
          <w:rFonts w:ascii="Verdana" w:eastAsia="Verdana" w:hAnsi="Verdana" w:cs="Verdana"/>
        </w:rPr>
      </w:pPr>
      <w:r>
        <w:rPr>
          <w:rFonts w:ascii="Verdana" w:eastAsia="Verdana" w:hAnsi="Verdana" w:cs="Verdana"/>
        </w:rPr>
        <w:lastRenderedPageBreak/>
        <w:t>En virtud de lo anterior, se procedió a revisar el libro de denuncias de vocaciones hereditarias, bienes vacantes y mostrencos de la Dirección General y, al determinarse que no existía denuncia anterior por los mismos hechos, se registró en el respectivo libro a folio 01 como denuncia No. 0001 de 2005.</w:t>
      </w:r>
    </w:p>
    <w:p w14:paraId="00000013" w14:textId="63728F6E" w:rsidR="008E0885" w:rsidRDefault="00000000">
      <w:pPr>
        <w:spacing w:after="280" w:line="426" w:lineRule="auto"/>
        <w:jc w:val="both"/>
        <w:rPr>
          <w:rFonts w:ascii="Verdana" w:eastAsia="Verdana" w:hAnsi="Verdana" w:cs="Verdana"/>
        </w:rPr>
      </w:pPr>
      <w:r>
        <w:rPr>
          <w:rFonts w:ascii="Verdana" w:eastAsia="Verdana" w:hAnsi="Verdana" w:cs="Verdana"/>
        </w:rPr>
        <w:t xml:space="preserve">En cumplimiento de los Decretos Nos. </w:t>
      </w:r>
      <w:r w:rsidR="008E0885">
        <w:rPr>
          <w:rFonts w:ascii="Verdana" w:eastAsia="Verdana" w:hAnsi="Verdana" w:cs="Verdana"/>
        </w:rPr>
        <w:t>2388</w:t>
      </w:r>
      <w:r>
        <w:rPr>
          <w:rFonts w:ascii="Verdana" w:eastAsia="Verdana" w:hAnsi="Verdana" w:cs="Verdana"/>
        </w:rPr>
        <w:t xml:space="preserve"> de 1979 y </w:t>
      </w:r>
      <w:r w:rsidR="008E0885">
        <w:rPr>
          <w:rFonts w:ascii="Verdana" w:eastAsia="Verdana" w:hAnsi="Verdana" w:cs="Verdana"/>
        </w:rPr>
        <w:t>3421</w:t>
      </w:r>
      <w:r>
        <w:rPr>
          <w:rFonts w:ascii="Verdana" w:eastAsia="Verdana" w:hAnsi="Verdana" w:cs="Verdana"/>
        </w:rPr>
        <w:t xml:space="preserve"> de 1986, en forma oficiosa, el ICBF procedió mediante oficio No. 63821 de 1 de diciembre de 2005 a requerir al Ministerio de Transporte con el fin de que certificara a cuánto ascendía la suma de dinero percibida por los aumentos adicionales a los incrementos anuales en las tarifas de peajes del Departamento de Cundinamarca.</w:t>
      </w:r>
    </w:p>
    <w:p w14:paraId="00000014" w14:textId="77777777" w:rsidR="008E0885" w:rsidRDefault="00000000">
      <w:pPr>
        <w:spacing w:after="280" w:line="426" w:lineRule="auto"/>
        <w:jc w:val="both"/>
        <w:rPr>
          <w:rFonts w:ascii="Verdana" w:eastAsia="Verdana" w:hAnsi="Verdana" w:cs="Verdana"/>
        </w:rPr>
      </w:pPr>
      <w:r>
        <w:rPr>
          <w:rFonts w:ascii="Verdana" w:eastAsia="Verdana" w:hAnsi="Verdana" w:cs="Verdana"/>
        </w:rPr>
        <w:t>La solicitud mencionada anteriormente fue remitida por el Ministerio de Transporte a la Unidad Administrativa Especial de Concesiones Departamento de Cundinamarca, quien a su vez dio traslado de ésta a las fiduciarias que administran los recursos de los proyectos concesionados.</w:t>
      </w:r>
    </w:p>
    <w:p w14:paraId="00000015" w14:textId="77777777" w:rsidR="008E0885" w:rsidRDefault="00000000">
      <w:pPr>
        <w:spacing w:after="280" w:line="426" w:lineRule="auto"/>
        <w:jc w:val="both"/>
        <w:rPr>
          <w:rFonts w:ascii="Verdana" w:eastAsia="Verdana" w:hAnsi="Verdana" w:cs="Verdana"/>
        </w:rPr>
      </w:pPr>
      <w:r>
        <w:rPr>
          <w:rFonts w:ascii="Verdana" w:eastAsia="Verdana" w:hAnsi="Verdana" w:cs="Verdana"/>
        </w:rPr>
        <w:t xml:space="preserve">Mediante oficio radicado en esta entidad con el No. 07800 de 13 de febrero de 2006, el entonces </w:t>
      </w:r>
      <w:proofErr w:type="gramStart"/>
      <w:r>
        <w:rPr>
          <w:rFonts w:ascii="Verdana" w:eastAsia="Verdana" w:hAnsi="Verdana" w:cs="Verdana"/>
        </w:rPr>
        <w:t>Secretario</w:t>
      </w:r>
      <w:proofErr w:type="gramEnd"/>
      <w:r>
        <w:rPr>
          <w:rFonts w:ascii="Verdana" w:eastAsia="Verdana" w:hAnsi="Verdana" w:cs="Verdana"/>
        </w:rPr>
        <w:t xml:space="preserve"> de Obras Públicas del Departamento de Cundinamarca, doctor Jerónimo Camilo Daza </w:t>
      </w:r>
      <w:proofErr w:type="spellStart"/>
      <w:r>
        <w:rPr>
          <w:rFonts w:ascii="Verdana" w:eastAsia="Verdana" w:hAnsi="Verdana" w:cs="Verdana"/>
        </w:rPr>
        <w:t>Daza</w:t>
      </w:r>
      <w:proofErr w:type="spellEnd"/>
      <w:r>
        <w:rPr>
          <w:rFonts w:ascii="Verdana" w:eastAsia="Verdana" w:hAnsi="Verdana" w:cs="Verdana"/>
        </w:rPr>
        <w:t xml:space="preserve">, remitió copias de los certificados expedidos por la Fiduciaria de Occidente S.A. y </w:t>
      </w:r>
      <w:proofErr w:type="spellStart"/>
      <w:r>
        <w:rPr>
          <w:rFonts w:ascii="Verdana" w:eastAsia="Verdana" w:hAnsi="Verdana" w:cs="Verdana"/>
        </w:rPr>
        <w:t>Fiduagraria</w:t>
      </w:r>
      <w:proofErr w:type="spellEnd"/>
      <w:r>
        <w:rPr>
          <w:rFonts w:ascii="Verdana" w:eastAsia="Verdana" w:hAnsi="Verdana" w:cs="Verdana"/>
        </w:rPr>
        <w:t xml:space="preserve"> S.A., relacionados con los dineros recaudados para seguridad vial, en virtud de los decretos de peajes para las vías concesionadas por el Departamento, en donde consta que para entonces las sumas ascendían a:</w:t>
      </w:r>
    </w:p>
    <w:p w14:paraId="00000016" w14:textId="77777777" w:rsidR="008E0885" w:rsidRDefault="00000000">
      <w:pPr>
        <w:spacing w:after="280" w:line="426" w:lineRule="auto"/>
        <w:jc w:val="both"/>
        <w:rPr>
          <w:rFonts w:ascii="Verdana" w:eastAsia="Verdana" w:hAnsi="Verdana" w:cs="Verdana"/>
        </w:rPr>
      </w:pPr>
      <w:r>
        <w:rPr>
          <w:rFonts w:ascii="Verdana" w:eastAsia="Verdana" w:hAnsi="Verdana" w:cs="Verdana"/>
          <w:b/>
          <w:bCs/>
        </w:rPr>
        <w:t xml:space="preserve">i. CONCESIÓN CHÍA - MOSQUERA - GIRARDOT Y RAMAL SOACHA: </w:t>
      </w:r>
      <w:r>
        <w:rPr>
          <w:rFonts w:ascii="Verdana" w:eastAsia="Verdana" w:hAnsi="Verdana" w:cs="Verdana"/>
        </w:rPr>
        <w:t>$1.907.950.100,42 (capital e intereses),</w:t>
      </w:r>
    </w:p>
    <w:p w14:paraId="00000017" w14:textId="77777777" w:rsidR="008E0885" w:rsidRDefault="00000000">
      <w:pPr>
        <w:spacing w:after="280" w:line="426" w:lineRule="auto"/>
        <w:jc w:val="both"/>
        <w:rPr>
          <w:rFonts w:ascii="Verdana" w:eastAsia="Verdana" w:hAnsi="Verdana" w:cs="Verdana"/>
        </w:rPr>
      </w:pPr>
      <w:proofErr w:type="spellStart"/>
      <w:r>
        <w:rPr>
          <w:rFonts w:ascii="Verdana" w:eastAsia="Verdana" w:hAnsi="Verdana" w:cs="Verdana"/>
          <w:b/>
          <w:bCs/>
        </w:rPr>
        <w:t>ii</w:t>
      </w:r>
      <w:proofErr w:type="spellEnd"/>
      <w:r>
        <w:rPr>
          <w:rFonts w:ascii="Verdana" w:eastAsia="Verdana" w:hAnsi="Verdana" w:cs="Verdana"/>
          <w:b/>
          <w:bCs/>
        </w:rPr>
        <w:t>.  CONCESIÓN TRONCAL DEL TEQUENDAMA: $291 837.977,36</w:t>
      </w:r>
      <w:r>
        <w:rPr>
          <w:rFonts w:ascii="Verdana" w:eastAsia="Verdana" w:hAnsi="Verdana" w:cs="Verdana"/>
        </w:rPr>
        <w:t xml:space="preserve"> (capital e intereses).</w:t>
      </w:r>
    </w:p>
    <w:p w14:paraId="00000018" w14:textId="77777777" w:rsidR="008E0885" w:rsidRDefault="00000000">
      <w:pPr>
        <w:spacing w:after="280" w:line="426" w:lineRule="auto"/>
        <w:jc w:val="both"/>
        <w:rPr>
          <w:rFonts w:ascii="Verdana" w:eastAsia="Verdana" w:hAnsi="Verdana" w:cs="Verdana"/>
        </w:rPr>
      </w:pPr>
      <w:proofErr w:type="spellStart"/>
      <w:r>
        <w:rPr>
          <w:rFonts w:ascii="Verdana" w:eastAsia="Verdana" w:hAnsi="Verdana" w:cs="Verdana"/>
          <w:b/>
          <w:bCs/>
        </w:rPr>
        <w:t>iii</w:t>
      </w:r>
      <w:proofErr w:type="spellEnd"/>
      <w:r>
        <w:rPr>
          <w:rFonts w:ascii="Verdana" w:eastAsia="Verdana" w:hAnsi="Verdana" w:cs="Verdana"/>
          <w:b/>
          <w:bCs/>
        </w:rPr>
        <w:t xml:space="preserve">. CONCESIÓN LOS ALPES - VILLETA - CHUGUACAL - CAMBAO: </w:t>
      </w:r>
      <w:r>
        <w:rPr>
          <w:rFonts w:ascii="Verdana" w:eastAsia="Verdana" w:hAnsi="Verdana" w:cs="Verdana"/>
        </w:rPr>
        <w:t>$409.219.692,92 (capital e intereses).</w:t>
      </w:r>
    </w:p>
    <w:p w14:paraId="00000019" w14:textId="4534FE6B" w:rsidR="008E0885"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No obstante contar con la información anteriormente relacionada, la Dirección General, mediante Resolución No. </w:t>
      </w:r>
      <w:r w:rsidR="008E0885">
        <w:rPr>
          <w:rFonts w:ascii="Verdana" w:eastAsia="Verdana" w:hAnsi="Verdana" w:cs="Verdana"/>
        </w:rPr>
        <w:t>1526</w:t>
      </w:r>
      <w:r>
        <w:rPr>
          <w:rFonts w:ascii="Verdana" w:eastAsia="Verdana" w:hAnsi="Verdana" w:cs="Verdana"/>
        </w:rPr>
        <w:t xml:space="preserve"> de 5 de julio de 2006, ordenó el archivo de la denuncia No. 001 de 10 de noviembre de 2005 considerando, en primer lugar, que de acuerdo con la naturaleza de las funciones encomendadas a la Sala de Consulta y Servicio Civil del Consejo de Estado por los artículos </w:t>
      </w:r>
      <w:r w:rsidR="008E0885">
        <w:rPr>
          <w:rFonts w:ascii="Verdana" w:eastAsia="Verdana" w:hAnsi="Verdana" w:cs="Verdana"/>
        </w:rPr>
        <w:t>236</w:t>
      </w:r>
      <w:r>
        <w:rPr>
          <w:rFonts w:ascii="Verdana" w:eastAsia="Verdana" w:hAnsi="Verdana" w:cs="Verdana"/>
        </w:rPr>
        <w:t xml:space="preserve"> y siguientes de la Constitución Nacional, así como el artículo 98 del Código Contencioso Administrativo, subrogado por el artículo </w:t>
      </w:r>
      <w:r w:rsidR="008E0885">
        <w:rPr>
          <w:rFonts w:ascii="Verdana" w:eastAsia="Verdana" w:hAnsi="Verdana" w:cs="Verdana"/>
        </w:rPr>
        <w:t>38</w:t>
      </w:r>
      <w:r>
        <w:rPr>
          <w:rFonts w:ascii="Verdana" w:eastAsia="Verdana" w:hAnsi="Verdana" w:cs="Verdana"/>
        </w:rPr>
        <w:t xml:space="preserve"> de la Ley 270 de 1996, los conceptos que se profieren en sede consulta no poseen carácter vinculante para la administración ni para la Sala de lo Contencioso Administrativo del Consejo de Estado.</w:t>
      </w:r>
    </w:p>
    <w:p w14:paraId="0000001A" w14:textId="676E7474" w:rsidR="008E0885" w:rsidRDefault="00000000">
      <w:pPr>
        <w:spacing w:after="280" w:line="426" w:lineRule="auto"/>
        <w:jc w:val="both"/>
        <w:rPr>
          <w:rFonts w:ascii="Verdana" w:eastAsia="Verdana" w:hAnsi="Verdana" w:cs="Verdana"/>
        </w:rPr>
      </w:pPr>
      <w:r>
        <w:rPr>
          <w:rFonts w:ascii="Verdana" w:eastAsia="Verdana" w:hAnsi="Verdana" w:cs="Verdana"/>
        </w:rPr>
        <w:t xml:space="preserve">Posteriormente, la parte considerativa de la Resolución No. </w:t>
      </w:r>
      <w:r w:rsidR="008E0885">
        <w:rPr>
          <w:rFonts w:ascii="Verdana" w:eastAsia="Verdana" w:hAnsi="Verdana" w:cs="Verdana"/>
        </w:rPr>
        <w:t>1526</w:t>
      </w:r>
      <w:r>
        <w:rPr>
          <w:rFonts w:ascii="Verdana" w:eastAsia="Verdana" w:hAnsi="Verdana" w:cs="Verdana"/>
        </w:rPr>
        <w:t xml:space="preserve"> de 2006 tuvo en cuenta los elementos que determina el artículo </w:t>
      </w:r>
      <w:r w:rsidR="008E0885">
        <w:rPr>
          <w:rFonts w:ascii="Verdana" w:eastAsia="Verdana" w:hAnsi="Verdana" w:cs="Verdana"/>
        </w:rPr>
        <w:t>706</w:t>
      </w:r>
      <w:r>
        <w:rPr>
          <w:rFonts w:ascii="Verdana" w:eastAsia="Verdana" w:hAnsi="Verdana" w:cs="Verdana"/>
        </w:rPr>
        <w:t xml:space="preserve"> del Código Civil para que un bien pueda reputarse como mostrenco, a saber: (i) que sea mueble; (</w:t>
      </w:r>
      <w:proofErr w:type="spellStart"/>
      <w:r>
        <w:rPr>
          <w:rFonts w:ascii="Verdana" w:eastAsia="Verdana" w:hAnsi="Verdana" w:cs="Verdana"/>
        </w:rPr>
        <w:t>ii</w:t>
      </w:r>
      <w:proofErr w:type="spellEnd"/>
      <w:r>
        <w:rPr>
          <w:rFonts w:ascii="Verdana" w:eastAsia="Verdana" w:hAnsi="Verdana" w:cs="Verdana"/>
        </w:rPr>
        <w:t>) que se encuentre en el territorio de la Nación y (</w:t>
      </w:r>
      <w:proofErr w:type="spellStart"/>
      <w:r>
        <w:rPr>
          <w:rFonts w:ascii="Verdana" w:eastAsia="Verdana" w:hAnsi="Verdana" w:cs="Verdana"/>
        </w:rPr>
        <w:t>iii</w:t>
      </w:r>
      <w:proofErr w:type="spellEnd"/>
      <w:r>
        <w:rPr>
          <w:rFonts w:ascii="Verdana" w:eastAsia="Verdana" w:hAnsi="Verdana" w:cs="Verdana"/>
        </w:rPr>
        <w:t>) que no tenga dueño aparente o conocido.</w:t>
      </w:r>
    </w:p>
    <w:p w14:paraId="0000001B" w14:textId="77777777" w:rsidR="008E0885" w:rsidRDefault="00000000">
      <w:pPr>
        <w:spacing w:after="280" w:line="426" w:lineRule="auto"/>
        <w:jc w:val="both"/>
        <w:rPr>
          <w:rFonts w:ascii="Verdana" w:eastAsia="Verdana" w:hAnsi="Verdana" w:cs="Verdana"/>
        </w:rPr>
      </w:pPr>
      <w:r>
        <w:rPr>
          <w:rFonts w:ascii="Verdana" w:eastAsia="Verdana" w:hAnsi="Verdana" w:cs="Verdana"/>
        </w:rPr>
        <w:t xml:space="preserve">Por último, luego del análisis de cada uno de los elementos citados en el anterior considerando, la Dirección General concluyó que los dineros recaudados por el incremento en la tarifa de peaje de las concesiones y que se encuentran en las fiduciarias de Occidente S.A. y </w:t>
      </w:r>
      <w:proofErr w:type="spellStart"/>
      <w:r>
        <w:rPr>
          <w:rFonts w:ascii="Verdana" w:eastAsia="Verdana" w:hAnsi="Verdana" w:cs="Verdana"/>
        </w:rPr>
        <w:t>Fiduagraria</w:t>
      </w:r>
      <w:proofErr w:type="spellEnd"/>
      <w:r>
        <w:rPr>
          <w:rFonts w:ascii="Verdana" w:eastAsia="Verdana" w:hAnsi="Verdana" w:cs="Verdana"/>
        </w:rPr>
        <w:t xml:space="preserve"> S.A., a pesar de satisfacer el requisito de encontrarse dentro del territorio de la Nación, no pueden reputarse como bienes mostrencos por no ser cosas muebles corporales e identificables, encontrarse representados en una obligación o derecho personal y existir un dueño aparente, plenamente identificable, cual es el Departamento de Cundinamarca.</w:t>
      </w:r>
    </w:p>
    <w:p w14:paraId="0000001C" w14:textId="77777777" w:rsidR="008E0885" w:rsidRDefault="00000000">
      <w:pPr>
        <w:spacing w:after="280" w:line="426" w:lineRule="auto"/>
        <w:jc w:val="center"/>
        <w:rPr>
          <w:rFonts w:ascii="Verdana" w:eastAsia="Verdana" w:hAnsi="Verdana" w:cs="Verdana"/>
          <w:b/>
          <w:bCs/>
        </w:rPr>
      </w:pPr>
      <w:r>
        <w:rPr>
          <w:rFonts w:ascii="Verdana" w:eastAsia="Verdana" w:hAnsi="Verdana" w:cs="Verdana"/>
          <w:b/>
          <w:bCs/>
        </w:rPr>
        <w:t>CONSIDERACIONES DEL DESPACHO</w:t>
      </w:r>
    </w:p>
    <w:p w14:paraId="0000001D" w14:textId="73AED5AE" w:rsidR="008E0885" w:rsidRDefault="00000000">
      <w:pPr>
        <w:spacing w:after="280" w:line="426" w:lineRule="auto"/>
        <w:jc w:val="both"/>
        <w:rPr>
          <w:rFonts w:ascii="Verdana" w:eastAsia="Verdana" w:hAnsi="Verdana" w:cs="Verdana"/>
        </w:rPr>
      </w:pPr>
      <w:r>
        <w:rPr>
          <w:rFonts w:ascii="Verdana" w:eastAsia="Verdana" w:hAnsi="Verdana" w:cs="Verdana"/>
        </w:rPr>
        <w:t xml:space="preserve">Realizado el análisis de legalidad del archivo ordenado mediante la Resolución No. </w:t>
      </w:r>
      <w:r w:rsidR="008E0885">
        <w:rPr>
          <w:rFonts w:ascii="Verdana" w:eastAsia="Verdana" w:hAnsi="Verdana" w:cs="Verdana"/>
        </w:rPr>
        <w:t>1526</w:t>
      </w:r>
      <w:r>
        <w:rPr>
          <w:rFonts w:ascii="Verdana" w:eastAsia="Verdana" w:hAnsi="Verdana" w:cs="Verdana"/>
        </w:rPr>
        <w:t xml:space="preserve"> de 2006, se logró establecer que existen razones suficientes para considerar </w:t>
      </w:r>
      <w:r>
        <w:rPr>
          <w:rFonts w:ascii="Verdana" w:eastAsia="Verdana" w:hAnsi="Verdana" w:cs="Verdana"/>
        </w:rPr>
        <w:lastRenderedPageBreak/>
        <w:t xml:space="preserve">que dicho archivo no era procedente, por las razones que se exponen a continuación, considerando uno a uno los elementos del artículo </w:t>
      </w:r>
      <w:r w:rsidR="008E0885">
        <w:rPr>
          <w:rFonts w:ascii="Verdana" w:eastAsia="Verdana" w:hAnsi="Verdana" w:cs="Verdana"/>
        </w:rPr>
        <w:t>706</w:t>
      </w:r>
      <w:r>
        <w:rPr>
          <w:rFonts w:ascii="Verdana" w:eastAsia="Verdana" w:hAnsi="Verdana" w:cs="Verdana"/>
        </w:rPr>
        <w:t xml:space="preserve"> del C.C.:</w:t>
      </w:r>
    </w:p>
    <w:p w14:paraId="0000001E" w14:textId="77777777" w:rsidR="008E0885" w:rsidRDefault="00000000">
      <w:pPr>
        <w:spacing w:after="280" w:line="426" w:lineRule="auto"/>
        <w:jc w:val="both"/>
        <w:rPr>
          <w:rFonts w:ascii="Verdana" w:eastAsia="Verdana" w:hAnsi="Verdana" w:cs="Verdana"/>
        </w:rPr>
      </w:pPr>
      <w:r>
        <w:rPr>
          <w:rFonts w:ascii="Verdana" w:eastAsia="Verdana" w:hAnsi="Verdana" w:cs="Verdana"/>
        </w:rPr>
        <w:t xml:space="preserve">(i) </w:t>
      </w:r>
      <w:r>
        <w:rPr>
          <w:rFonts w:ascii="Verdana" w:eastAsia="Verdana" w:hAnsi="Verdana" w:cs="Verdana"/>
          <w:u w:val="single"/>
        </w:rPr>
        <w:t>Que sea mueble</w:t>
      </w:r>
      <w:r>
        <w:rPr>
          <w:rFonts w:ascii="Verdana" w:eastAsia="Verdana" w:hAnsi="Verdana" w:cs="Verdana"/>
        </w:rPr>
        <w:t>:</w:t>
      </w:r>
    </w:p>
    <w:p w14:paraId="0000001F" w14:textId="0EEA5336" w:rsidR="008E0885" w:rsidRDefault="00000000">
      <w:pPr>
        <w:spacing w:after="280" w:line="426" w:lineRule="auto"/>
        <w:jc w:val="both"/>
        <w:rPr>
          <w:rFonts w:ascii="Verdana" w:eastAsia="Verdana" w:hAnsi="Verdana" w:cs="Verdana"/>
        </w:rPr>
      </w:pPr>
      <w:r>
        <w:rPr>
          <w:rFonts w:ascii="Verdana" w:eastAsia="Verdana" w:hAnsi="Verdana" w:cs="Verdana"/>
        </w:rPr>
        <w:t xml:space="preserve">Conforme lo establece el artículo </w:t>
      </w:r>
      <w:r w:rsidR="008E0885">
        <w:rPr>
          <w:rFonts w:ascii="Verdana" w:eastAsia="Verdana" w:hAnsi="Verdana" w:cs="Verdana"/>
        </w:rPr>
        <w:t>653</w:t>
      </w:r>
      <w:r>
        <w:rPr>
          <w:rFonts w:ascii="Verdana" w:eastAsia="Verdana" w:hAnsi="Verdana" w:cs="Verdana"/>
        </w:rPr>
        <w:t xml:space="preserve"> del C.C., los </w:t>
      </w:r>
      <w:r>
        <w:rPr>
          <w:rFonts w:ascii="Verdana" w:eastAsia="Verdana" w:hAnsi="Verdana" w:cs="Verdana"/>
          <w:u w:val="single"/>
        </w:rPr>
        <w:t>bienes</w:t>
      </w:r>
      <w:r>
        <w:rPr>
          <w:rFonts w:ascii="Verdana" w:eastAsia="Verdana" w:hAnsi="Verdana" w:cs="Verdana"/>
        </w:rPr>
        <w:t xml:space="preserve">, en términos generales, “consisten en cosas corporales e incorporales". A su vez, las cosas corporales se clasifican en bienes muebles e inmuebles (artículo </w:t>
      </w:r>
      <w:r w:rsidR="008E0885">
        <w:rPr>
          <w:rFonts w:ascii="Verdana" w:eastAsia="Verdana" w:hAnsi="Verdana" w:cs="Verdana"/>
        </w:rPr>
        <w:t>654</w:t>
      </w:r>
      <w:r>
        <w:rPr>
          <w:rFonts w:ascii="Verdana" w:eastAsia="Verdana" w:hAnsi="Verdana" w:cs="Verdana"/>
        </w:rPr>
        <w:t xml:space="preserve"> C.C.), mientras que, según señala el artículo </w:t>
      </w:r>
      <w:r w:rsidR="008E0885">
        <w:rPr>
          <w:rFonts w:ascii="Verdana" w:eastAsia="Verdana" w:hAnsi="Verdana" w:cs="Verdana"/>
        </w:rPr>
        <w:t>664</w:t>
      </w:r>
      <w:r>
        <w:rPr>
          <w:rFonts w:ascii="Verdana" w:eastAsia="Verdana" w:hAnsi="Verdana" w:cs="Verdana"/>
        </w:rPr>
        <w:t xml:space="preserve"> del C.C., las cosas incorporales comprenden los derechos reales y los personales.</w:t>
      </w:r>
    </w:p>
    <w:p w14:paraId="00000020" w14:textId="6D5E6735" w:rsidR="008E0885" w:rsidRDefault="00000000">
      <w:pPr>
        <w:spacing w:after="280" w:line="426" w:lineRule="auto"/>
        <w:jc w:val="both"/>
        <w:rPr>
          <w:rFonts w:ascii="Verdana" w:eastAsia="Verdana" w:hAnsi="Verdana" w:cs="Verdana"/>
          <w:i/>
          <w:iCs/>
        </w:rPr>
      </w:pPr>
      <w:r>
        <w:rPr>
          <w:rFonts w:ascii="Verdana" w:eastAsia="Verdana" w:hAnsi="Verdana" w:cs="Verdana"/>
        </w:rPr>
        <w:t xml:space="preserve">Sin embargo, el artículo </w:t>
      </w:r>
      <w:r w:rsidR="008E0885">
        <w:rPr>
          <w:rFonts w:ascii="Verdana" w:eastAsia="Verdana" w:hAnsi="Verdana" w:cs="Verdana"/>
        </w:rPr>
        <w:t>667</w:t>
      </w:r>
      <w:r>
        <w:rPr>
          <w:rFonts w:ascii="Verdana" w:eastAsia="Verdana" w:hAnsi="Verdana" w:cs="Verdana"/>
        </w:rPr>
        <w:t xml:space="preserve"> del C.C. extiende las categorías de bienes muebles e inmuebles a los derechos personales y las obligaciones en general, estableciendo la siguiente presunción </w:t>
      </w:r>
      <w:r>
        <w:rPr>
          <w:rFonts w:ascii="Verdana" w:eastAsia="Verdana" w:hAnsi="Verdana" w:cs="Verdana"/>
          <w:i/>
          <w:iCs/>
        </w:rPr>
        <w:t xml:space="preserve">"Los derechos y acciones se reputan bienes muebles o inmuebles, según lo sea la cosa en que han de ejercerse o que se debe. Así el derecho de usufructo sobre un </w:t>
      </w:r>
      <w:proofErr w:type="gramStart"/>
      <w:r>
        <w:rPr>
          <w:rFonts w:ascii="Verdana" w:eastAsia="Verdana" w:hAnsi="Verdana" w:cs="Verdana"/>
          <w:i/>
          <w:iCs/>
        </w:rPr>
        <w:t>inmueble,</w:t>
      </w:r>
      <w:proofErr w:type="gramEnd"/>
      <w:r>
        <w:rPr>
          <w:rFonts w:ascii="Verdana" w:eastAsia="Verdana" w:hAnsi="Verdana" w:cs="Verdana"/>
          <w:i/>
          <w:iCs/>
        </w:rPr>
        <w:t xml:space="preserve"> es inmueble. Así la acción del comprador para que se le entregue la finca </w:t>
      </w:r>
      <w:proofErr w:type="gramStart"/>
      <w:r>
        <w:rPr>
          <w:rFonts w:ascii="Verdana" w:eastAsia="Verdana" w:hAnsi="Verdana" w:cs="Verdana"/>
          <w:i/>
          <w:iCs/>
        </w:rPr>
        <w:t>comprada,</w:t>
      </w:r>
      <w:proofErr w:type="gramEnd"/>
      <w:r>
        <w:rPr>
          <w:rFonts w:ascii="Verdana" w:eastAsia="Verdana" w:hAnsi="Verdana" w:cs="Verdana"/>
          <w:i/>
          <w:iCs/>
        </w:rPr>
        <w:t xml:space="preserve"> es inmueble, y la acción del que ha prestado dinero para que se le pague, es mueble".</w:t>
      </w:r>
    </w:p>
    <w:p w14:paraId="00000021" w14:textId="77777777" w:rsidR="008E0885" w:rsidRDefault="00000000">
      <w:pPr>
        <w:spacing w:after="280" w:line="426" w:lineRule="auto"/>
        <w:jc w:val="both"/>
        <w:rPr>
          <w:rFonts w:ascii="Verdana" w:eastAsia="Verdana" w:hAnsi="Verdana" w:cs="Verdana"/>
          <w:i/>
          <w:iCs/>
        </w:rPr>
      </w:pPr>
      <w:r>
        <w:rPr>
          <w:rFonts w:ascii="Verdana" w:eastAsia="Verdana" w:hAnsi="Verdana" w:cs="Verdana"/>
        </w:rPr>
        <w:t>Por lo tanto, en lo que se refiere a los bienes muebles y en palabras de Raúl Ochoa,</w:t>
      </w:r>
      <w:r>
        <w:rPr>
          <w:rFonts w:ascii="Verdana" w:eastAsia="Verdana" w:hAnsi="Verdana" w:cs="Verdana"/>
          <w:vertAlign w:val="subscript"/>
        </w:rPr>
        <w:t>[1]</w:t>
      </w:r>
      <w:r>
        <w:rPr>
          <w:rFonts w:ascii="Verdana" w:eastAsia="Verdana" w:hAnsi="Verdana" w:cs="Verdana"/>
        </w:rPr>
        <w:t xml:space="preserve"> se puede afirmar que</w:t>
      </w:r>
      <w:r>
        <w:rPr>
          <w:rFonts w:ascii="Verdana" w:eastAsia="Verdana" w:hAnsi="Verdana" w:cs="Verdana"/>
          <w:i/>
          <w:iCs/>
        </w:rPr>
        <w:t xml:space="preserve"> "...En síntesis, son muebles: 1</w:t>
      </w:r>
      <w:r>
        <w:rPr>
          <w:rFonts w:ascii="Verdana" w:eastAsia="Verdana" w:hAnsi="Verdana" w:cs="Verdana"/>
          <w:i/>
          <w:iCs/>
          <w:vertAlign w:val="superscript"/>
        </w:rPr>
        <w:t>o</w:t>
      </w:r>
      <w:r>
        <w:rPr>
          <w:rFonts w:ascii="Verdana" w:eastAsia="Verdana" w:hAnsi="Verdana" w:cs="Verdana"/>
          <w:i/>
          <w:iCs/>
        </w:rPr>
        <w:t xml:space="preserve"> los derechos reales que recaen sobre cosas muebles; 2o Los créditos o derechos personales cuya prestación es un hecho positivo o negativo, ya que los hechos se reputan muebles; 3o Los derechos patrimoniales de acción cuando la prestación se refiere a una cosa mueble; 4o la propiedad accionaria; 5</w:t>
      </w:r>
      <w:r>
        <w:rPr>
          <w:rFonts w:ascii="Verdana" w:eastAsia="Verdana" w:hAnsi="Verdana" w:cs="Verdana"/>
          <w:i/>
          <w:iCs/>
          <w:vertAlign w:val="superscript"/>
        </w:rPr>
        <w:t>o</w:t>
      </w:r>
      <w:r>
        <w:rPr>
          <w:rFonts w:ascii="Verdana" w:eastAsia="Verdana" w:hAnsi="Verdana" w:cs="Verdana"/>
          <w:i/>
          <w:iCs/>
        </w:rPr>
        <w:t xml:space="preserve"> El derecho del comunero en la comunidad será un derecho (real o personal), mueble, si el derecho compartido comunitariamente, recae sobre una cosa mueble."</w:t>
      </w:r>
    </w:p>
    <w:p w14:paraId="00000022" w14:textId="247257FC" w:rsidR="008E0885" w:rsidRDefault="00000000">
      <w:pPr>
        <w:spacing w:after="280" w:line="426" w:lineRule="auto"/>
        <w:jc w:val="both"/>
        <w:rPr>
          <w:rFonts w:ascii="Verdana" w:eastAsia="Verdana" w:hAnsi="Verdana" w:cs="Verdana"/>
        </w:rPr>
      </w:pPr>
      <w:r>
        <w:rPr>
          <w:rFonts w:ascii="Verdana" w:eastAsia="Verdana" w:hAnsi="Verdana" w:cs="Verdana"/>
        </w:rPr>
        <w:t xml:space="preserve">Por lo tanto, una interpretación de las disposiciones contenidas en el artículo </w:t>
      </w:r>
      <w:r w:rsidR="008E0885">
        <w:rPr>
          <w:rFonts w:ascii="Verdana" w:eastAsia="Verdana" w:hAnsi="Verdana" w:cs="Verdana"/>
        </w:rPr>
        <w:t>667</w:t>
      </w:r>
      <w:r>
        <w:rPr>
          <w:rFonts w:ascii="Verdana" w:eastAsia="Verdana" w:hAnsi="Verdana" w:cs="Verdana"/>
        </w:rPr>
        <w:t xml:space="preserve"> del C.C., que incluye los derechos personales en la categoría de bienes muebles, y en el artículo </w:t>
      </w:r>
      <w:r w:rsidR="008E0885">
        <w:rPr>
          <w:rFonts w:ascii="Verdana" w:eastAsia="Verdana" w:hAnsi="Verdana" w:cs="Verdana"/>
        </w:rPr>
        <w:t>706</w:t>
      </w:r>
      <w:r>
        <w:rPr>
          <w:rFonts w:ascii="Verdana" w:eastAsia="Verdana" w:hAnsi="Verdana" w:cs="Verdana"/>
        </w:rPr>
        <w:t xml:space="preserve"> del C.C., que define los bienes mostrencos como muebles sin </w:t>
      </w:r>
      <w:r>
        <w:rPr>
          <w:rFonts w:ascii="Verdana" w:eastAsia="Verdana" w:hAnsi="Verdana" w:cs="Verdana"/>
        </w:rPr>
        <w:lastRenderedPageBreak/>
        <w:t>dueño aparente o conocido, sin distinción entre corporales e incorporales, permite afirmar que las obligaciones y derechos personales son susceptibles de ser declarados mostrencos.</w:t>
      </w:r>
    </w:p>
    <w:p w14:paraId="00000023" w14:textId="77777777" w:rsidR="008E0885" w:rsidRDefault="00000000">
      <w:pPr>
        <w:spacing w:after="280" w:line="426" w:lineRule="auto"/>
        <w:jc w:val="both"/>
        <w:rPr>
          <w:rFonts w:ascii="Verdana" w:eastAsia="Verdana" w:hAnsi="Verdana" w:cs="Verdana"/>
          <w:i/>
          <w:iCs/>
        </w:rPr>
      </w:pPr>
      <w:r>
        <w:rPr>
          <w:rFonts w:ascii="Verdana" w:eastAsia="Verdana" w:hAnsi="Verdana" w:cs="Verdana"/>
        </w:rPr>
        <w:t xml:space="preserve">Lo anterior se aparta de las consideraciones que tuvo la Dirección General en el 2006 para ordenar el archivo de la denuncia No. 001 de 2005, cuando a pesar de reconocer el análisis anterior, determinó que no era posible tener como mostrencos los dineros recaudados por el incremento en la tarifa de peaje de las concesiones mencionadas y que se encuentran en las fiduciarias de Occidente S.A. y </w:t>
      </w:r>
      <w:proofErr w:type="spellStart"/>
      <w:r>
        <w:rPr>
          <w:rFonts w:ascii="Verdana" w:eastAsia="Verdana" w:hAnsi="Verdana" w:cs="Verdana"/>
        </w:rPr>
        <w:t>Fiduagraria</w:t>
      </w:r>
      <w:proofErr w:type="spellEnd"/>
      <w:r>
        <w:rPr>
          <w:rFonts w:ascii="Verdana" w:eastAsia="Verdana" w:hAnsi="Verdana" w:cs="Verdana"/>
        </w:rPr>
        <w:t xml:space="preserve"> S.A.,</w:t>
      </w:r>
      <w:r>
        <w:rPr>
          <w:rFonts w:ascii="Verdana" w:eastAsia="Verdana" w:hAnsi="Verdana" w:cs="Verdana"/>
          <w:i/>
          <w:iCs/>
        </w:rPr>
        <w:t xml:space="preserve"> "por no tratarse de bienes corporales".</w:t>
      </w:r>
    </w:p>
    <w:p w14:paraId="00000024" w14:textId="66CD9748" w:rsidR="008E0885" w:rsidRDefault="00000000">
      <w:pPr>
        <w:spacing w:after="280" w:line="426" w:lineRule="auto"/>
        <w:jc w:val="both"/>
        <w:rPr>
          <w:rFonts w:ascii="Verdana" w:eastAsia="Verdana" w:hAnsi="Verdana" w:cs="Verdana"/>
        </w:rPr>
      </w:pPr>
      <w:r>
        <w:rPr>
          <w:rFonts w:ascii="Verdana" w:eastAsia="Verdana" w:hAnsi="Verdana" w:cs="Verdana"/>
        </w:rPr>
        <w:t xml:space="preserve">Como pudo establecerse, la calidad de incorporal o corporal que predica el artículo </w:t>
      </w:r>
      <w:r w:rsidR="008E0885">
        <w:rPr>
          <w:rFonts w:ascii="Verdana" w:eastAsia="Verdana" w:hAnsi="Verdana" w:cs="Verdana"/>
        </w:rPr>
        <w:t>654</w:t>
      </w:r>
      <w:r>
        <w:rPr>
          <w:rFonts w:ascii="Verdana" w:eastAsia="Verdana" w:hAnsi="Verdana" w:cs="Verdana"/>
        </w:rPr>
        <w:t xml:space="preserve"> del C.C no es un criterio determinante para la aplicación del artículo </w:t>
      </w:r>
      <w:r w:rsidR="008E0885">
        <w:rPr>
          <w:rFonts w:ascii="Verdana" w:eastAsia="Verdana" w:hAnsi="Verdana" w:cs="Verdana"/>
        </w:rPr>
        <w:t>706</w:t>
      </w:r>
      <w:r>
        <w:rPr>
          <w:rFonts w:ascii="Verdana" w:eastAsia="Verdana" w:hAnsi="Verdana" w:cs="Verdana"/>
        </w:rPr>
        <w:t xml:space="preserve"> del C.C., el cual simplemente hace referencia a los bienes inmuebles y muebles en términos generales, encontrándose los dineros recaudados por el incremento en la tarifa de peaje de las concesiones, como ya se explicó, entre los bienes muebles, de conformidad con la disposición contenida en el artículo </w:t>
      </w:r>
      <w:r w:rsidR="008E0885">
        <w:rPr>
          <w:rFonts w:ascii="Verdana" w:eastAsia="Verdana" w:hAnsi="Verdana" w:cs="Verdana"/>
        </w:rPr>
        <w:t>667</w:t>
      </w:r>
      <w:r>
        <w:rPr>
          <w:rFonts w:ascii="Verdana" w:eastAsia="Verdana" w:hAnsi="Verdana" w:cs="Verdana"/>
        </w:rPr>
        <w:t xml:space="preserve"> del C.C.</w:t>
      </w:r>
    </w:p>
    <w:p w14:paraId="00000025" w14:textId="054A5CFA" w:rsidR="008E0885" w:rsidRDefault="00000000">
      <w:pPr>
        <w:spacing w:after="280" w:line="426" w:lineRule="auto"/>
        <w:jc w:val="both"/>
        <w:rPr>
          <w:rFonts w:ascii="Verdana" w:eastAsia="Verdana" w:hAnsi="Verdana" w:cs="Verdana"/>
        </w:rPr>
      </w:pPr>
      <w:r>
        <w:rPr>
          <w:rFonts w:ascii="Verdana" w:eastAsia="Verdana" w:hAnsi="Verdana" w:cs="Verdana"/>
        </w:rPr>
        <w:t xml:space="preserve">Igualmente, es claro que el anterior análisis encuentra sustento en el concepto No. </w:t>
      </w:r>
      <w:r w:rsidR="008E0885">
        <w:rPr>
          <w:rFonts w:ascii="Verdana" w:eastAsia="Verdana" w:hAnsi="Verdana" w:cs="Verdana"/>
        </w:rPr>
        <w:t>1.677</w:t>
      </w:r>
      <w:r>
        <w:rPr>
          <w:rFonts w:ascii="Verdana" w:eastAsia="Verdana" w:hAnsi="Verdana" w:cs="Verdana"/>
        </w:rPr>
        <w:t xml:space="preserve"> de 2005 de la Sala de Consulta y Servicio Civil del Consejo de Estado, el cual concluyó que:</w:t>
      </w:r>
    </w:p>
    <w:p w14:paraId="00000026" w14:textId="77777777" w:rsidR="008E0885" w:rsidRDefault="00000000">
      <w:pPr>
        <w:spacing w:after="280" w:line="426" w:lineRule="auto"/>
        <w:jc w:val="both"/>
        <w:rPr>
          <w:rFonts w:ascii="Verdana" w:eastAsia="Verdana" w:hAnsi="Verdana" w:cs="Verdana"/>
          <w:i/>
          <w:iCs/>
        </w:rPr>
      </w:pPr>
      <w:r>
        <w:rPr>
          <w:rFonts w:ascii="Verdana" w:eastAsia="Verdana" w:hAnsi="Verdana" w:cs="Verdana"/>
          <w:i/>
          <w:iCs/>
        </w:rPr>
        <w:t>Comoquiera que los actos administrativos que ordenaron el incremento adicional en las tarifas de peaje en las vías departamentales - tanto en las transferidas como en las propias - fueron expedidos sin tener competencia para ello, y los de carácter departamental fueron posteriormente modificados en el sentido de dejar sin efecto el incremento al peaje con destino a fortalecer la seguridad en las vías departamentales - transferidas o propias - por no existir disposición legal que así lo permitiera.</w:t>
      </w:r>
    </w:p>
    <w:p w14:paraId="00000027" w14:textId="5C1D7767" w:rsidR="008E0885" w:rsidRDefault="00000000">
      <w:pPr>
        <w:spacing w:after="280" w:line="426" w:lineRule="auto"/>
        <w:jc w:val="both"/>
        <w:rPr>
          <w:rFonts w:ascii="Verdana" w:eastAsia="Verdana" w:hAnsi="Verdana" w:cs="Verdana"/>
          <w:i/>
          <w:iCs/>
        </w:rPr>
      </w:pPr>
      <w:r>
        <w:rPr>
          <w:rFonts w:ascii="Verdana" w:eastAsia="Verdana" w:hAnsi="Verdana" w:cs="Verdana"/>
          <w:i/>
          <w:iCs/>
        </w:rPr>
        <w:lastRenderedPageBreak/>
        <w:t xml:space="preserve">En consecuencia, los dineros así recaudados no podrían pertenecer al Estado, sino a los usuarios que los pagaron, quienes son desconocidos, situación ésta que ubica dichos dineros dentro del concepto a que alude el artículo </w:t>
      </w:r>
      <w:r w:rsidR="008E0885">
        <w:rPr>
          <w:rFonts w:ascii="Verdana" w:eastAsia="Verdana" w:hAnsi="Verdana" w:cs="Verdana"/>
          <w:i/>
          <w:iCs/>
        </w:rPr>
        <w:t>704</w:t>
      </w:r>
      <w:r>
        <w:rPr>
          <w:rFonts w:ascii="Verdana" w:eastAsia="Verdana" w:hAnsi="Verdana" w:cs="Verdana"/>
          <w:i/>
          <w:iCs/>
        </w:rPr>
        <w:t xml:space="preserve"> (...).</w:t>
      </w:r>
    </w:p>
    <w:p w14:paraId="00000028" w14:textId="77777777" w:rsidR="008E0885" w:rsidRDefault="00000000">
      <w:pPr>
        <w:spacing w:after="280" w:line="426" w:lineRule="auto"/>
        <w:jc w:val="both"/>
        <w:rPr>
          <w:rFonts w:ascii="Verdana" w:eastAsia="Verdana" w:hAnsi="Verdana" w:cs="Verdana"/>
          <w:i/>
          <w:iCs/>
        </w:rPr>
      </w:pPr>
      <w:r>
        <w:rPr>
          <w:rFonts w:ascii="Verdana" w:eastAsia="Verdana" w:hAnsi="Verdana" w:cs="Verdana"/>
        </w:rPr>
        <w:t>Así las cosas, teniendo en cuenta que quienes pagaron el excedente no han ejercido su derecho de propiedad por un tiempo considerable, un término de más de cinco (5) años; luego, su radical inactividad, sumada a su anonimato, impide enmarcarlos con holgura dentro de la definición de</w:t>
      </w:r>
      <w:r>
        <w:rPr>
          <w:rFonts w:ascii="Verdana" w:eastAsia="Verdana" w:hAnsi="Verdana" w:cs="Verdana"/>
          <w:i/>
          <w:iCs/>
        </w:rPr>
        <w:t xml:space="preserve"> dueño conocido;</w:t>
      </w:r>
      <w:r>
        <w:rPr>
          <w:rFonts w:ascii="Verdana" w:eastAsia="Verdana" w:hAnsi="Verdana" w:cs="Verdana"/>
        </w:rPr>
        <w:t xml:space="preserve"> así como tampoco se conoce de la existencia de persona que figure como poseedor o tenedor de tales dineros, que los use, los disfrute y disponga de ellos, o que haya manifestado su voluntad de reclamarlos; luego, no existe</w:t>
      </w:r>
      <w:r>
        <w:rPr>
          <w:rFonts w:ascii="Verdana" w:eastAsia="Verdana" w:hAnsi="Verdana" w:cs="Verdana"/>
          <w:i/>
          <w:iCs/>
        </w:rPr>
        <w:t xml:space="preserve"> dueño aparente.</w:t>
      </w:r>
    </w:p>
    <w:p w14:paraId="00000029" w14:textId="0DC41BA9" w:rsidR="008E0885" w:rsidRDefault="00000000">
      <w:pPr>
        <w:spacing w:after="280" w:line="426" w:lineRule="auto"/>
        <w:jc w:val="both"/>
        <w:rPr>
          <w:rFonts w:ascii="Verdana" w:eastAsia="Verdana" w:hAnsi="Verdana" w:cs="Verdana"/>
        </w:rPr>
      </w:pPr>
      <w:r>
        <w:rPr>
          <w:rFonts w:ascii="Verdana" w:eastAsia="Verdana" w:hAnsi="Verdana" w:cs="Verdana"/>
        </w:rPr>
        <w:t xml:space="preserve">El Despacho considera que no puede el ICBF desconocer el criterio del Consejo de Estado según el cual los dueños aparentes de los dineros son los usuarios que pagaron el excedente y no el Estado, para el caso representado por el Departamento de Cundinamarca, como se manifestó en la Resolución No. </w:t>
      </w:r>
      <w:r w:rsidR="008E0885">
        <w:rPr>
          <w:rFonts w:ascii="Verdana" w:eastAsia="Verdana" w:hAnsi="Verdana" w:cs="Verdana"/>
        </w:rPr>
        <w:t>1526</w:t>
      </w:r>
      <w:r>
        <w:rPr>
          <w:rFonts w:ascii="Verdana" w:eastAsia="Verdana" w:hAnsi="Verdana" w:cs="Verdana"/>
        </w:rPr>
        <w:t xml:space="preserve"> de 5 de julio de 2006, de la que la presente se aparta.</w:t>
      </w:r>
    </w:p>
    <w:p w14:paraId="0000002A" w14:textId="77777777" w:rsidR="008E0885" w:rsidRDefault="00000000">
      <w:pPr>
        <w:spacing w:after="280" w:line="426" w:lineRule="auto"/>
        <w:jc w:val="both"/>
        <w:rPr>
          <w:rFonts w:ascii="Verdana" w:eastAsia="Verdana" w:hAnsi="Verdana" w:cs="Verdana"/>
        </w:rPr>
      </w:pPr>
      <w:r>
        <w:rPr>
          <w:rFonts w:ascii="Verdana" w:eastAsia="Verdana" w:hAnsi="Verdana" w:cs="Verdana"/>
        </w:rPr>
        <w:t>Lo anterior, teniendo en cuenta que para entender los conceptos de "dueño aparente o conocido" no basta con ajustarse a las simples palabras. El problema de fondo no se agota en unos ejercicios terminológicos con apariencia jurídica, sino que consiste en una realidad sustancial a la que se debe atender prioritariamente. Así, pues, no basta que un bien se encuentre, como en el presente caso, en un patrimonio autónomo a nombre del Departamento de Cundinamarca para que se entienda que éste es su dueño conocido o aparente, desconociendo que los reales dueños aparentes de los dineros son los usuarios que los pagaron acatando una norma que al momento gozaba de presunción de legalidad pero que resultó carecer de ella, cosa que invalidó su recaudo.</w:t>
      </w:r>
    </w:p>
    <w:p w14:paraId="0000002B" w14:textId="378D13D5" w:rsidR="008E0885" w:rsidRDefault="00000000">
      <w:pPr>
        <w:spacing w:after="280" w:line="426" w:lineRule="auto"/>
        <w:jc w:val="both"/>
        <w:rPr>
          <w:rFonts w:ascii="Verdana" w:eastAsia="Verdana" w:hAnsi="Verdana" w:cs="Verdana"/>
          <w:i/>
          <w:iCs/>
        </w:rPr>
      </w:pPr>
      <w:r>
        <w:rPr>
          <w:rFonts w:ascii="Verdana" w:eastAsia="Verdana" w:hAnsi="Verdana" w:cs="Verdana"/>
        </w:rPr>
        <w:t xml:space="preserve">Aunado a lo esgrimido, hay que resaltar que para el ICBF es claro que respecto de los dineros de que trata la denuncia No. 001 de 2005 ha existido una </w:t>
      </w:r>
      <w:r>
        <w:rPr>
          <w:rFonts w:ascii="Verdana" w:eastAsia="Verdana" w:hAnsi="Verdana" w:cs="Verdana"/>
        </w:rPr>
        <w:lastRenderedPageBreak/>
        <w:t xml:space="preserve">"manifestación", señal" o "vestigio" de "haber estado en dominio anterior", tal y como indica el artículo </w:t>
      </w:r>
      <w:r w:rsidR="008E0885">
        <w:rPr>
          <w:rFonts w:ascii="Verdana" w:eastAsia="Verdana" w:hAnsi="Verdana" w:cs="Verdana"/>
        </w:rPr>
        <w:t>704</w:t>
      </w:r>
      <w:r>
        <w:rPr>
          <w:rFonts w:ascii="Verdana" w:eastAsia="Verdana" w:hAnsi="Verdana" w:cs="Verdana"/>
        </w:rPr>
        <w:t xml:space="preserve"> CC en su primer inciso. De ahí, considera este Despacho procedente actuar de conformidad con el segundo inciso del citado artículo y "poner [la cosa] a disposición de su dueño" (mediante su citación al proceso civil de declaración de bien mostrenco), teniendo en cuenta además que</w:t>
      </w:r>
      <w:r>
        <w:rPr>
          <w:rFonts w:ascii="Verdana" w:eastAsia="Verdana" w:hAnsi="Verdana" w:cs="Verdana"/>
          <w:i/>
          <w:iCs/>
        </w:rPr>
        <w:t xml:space="preserve"> "Si el dueño no fuere conocido o no pareciere [no apareciere, no compareciere], se reputará provisoriamente estar vacante o ser mostrenca la cosa".</w:t>
      </w:r>
    </w:p>
    <w:p w14:paraId="0000002C" w14:textId="77777777" w:rsidR="008E0885" w:rsidRDefault="00000000">
      <w:pPr>
        <w:spacing w:after="280" w:line="426" w:lineRule="auto"/>
        <w:jc w:val="both"/>
        <w:rPr>
          <w:rFonts w:ascii="Verdana" w:eastAsia="Verdana" w:hAnsi="Verdana" w:cs="Verdana"/>
          <w:i/>
          <w:iCs/>
        </w:rPr>
      </w:pPr>
      <w:r>
        <w:rPr>
          <w:rFonts w:ascii="Verdana" w:eastAsia="Verdana" w:hAnsi="Verdana" w:cs="Verdana"/>
        </w:rPr>
        <w:t xml:space="preserve">Es evidente que los bienes denunciados se encuentran, de acuerdo con las definiciones dadas en situación de abandono y sin dueño aparente o conocido, en virtud de lo cual </w:t>
      </w:r>
      <w:r>
        <w:rPr>
          <w:rFonts w:ascii="Verdana" w:eastAsia="Verdana" w:hAnsi="Verdana" w:cs="Verdana"/>
          <w:i/>
          <w:iCs/>
        </w:rPr>
        <w:t>es procedente atribuirles la calidad de bienes mostrencos.</w:t>
      </w:r>
    </w:p>
    <w:p w14:paraId="0000002D" w14:textId="77777777" w:rsidR="008E0885" w:rsidRDefault="00000000">
      <w:pPr>
        <w:spacing w:after="280" w:line="426" w:lineRule="auto"/>
        <w:jc w:val="both"/>
        <w:rPr>
          <w:rFonts w:ascii="Verdana" w:eastAsia="Verdana" w:hAnsi="Verdana" w:cs="Verdana"/>
        </w:rPr>
      </w:pPr>
      <w:r>
        <w:rPr>
          <w:rFonts w:ascii="Verdana" w:eastAsia="Verdana" w:hAnsi="Verdana" w:cs="Verdana"/>
        </w:rPr>
        <w:t xml:space="preserve">Para los efectos de las presentes razones, la larga inactividad de quienes sean sus propietarios o titulares sólo puede obedecer a la dificultad que presenta establecer cuáles fueron los usuarios de dichos peajes en el periodo de cobro ilegal y, a la vez, que éstos tengan el documento que pruebe el pago del excedente recaudado. Así las cosas, considera este Despacho que en el presente caso se configura la condición mostrenca referente a que el bien no tenga dueño aparente o </w:t>
      </w:r>
      <w:proofErr w:type="gramStart"/>
      <w:r>
        <w:rPr>
          <w:rFonts w:ascii="Verdana" w:eastAsia="Verdana" w:hAnsi="Verdana" w:cs="Verdana"/>
        </w:rPr>
        <w:t>conocido</w:t>
      </w:r>
      <w:proofErr w:type="gramEnd"/>
      <w:r>
        <w:rPr>
          <w:rFonts w:ascii="Verdana" w:eastAsia="Verdana" w:hAnsi="Verdana" w:cs="Verdana"/>
        </w:rPr>
        <w:t xml:space="preserve"> pero sí manifieste haber estado bajo dominio anterior.</w:t>
      </w:r>
    </w:p>
    <w:p w14:paraId="0000002E" w14:textId="77777777" w:rsidR="008E0885" w:rsidRDefault="00000000">
      <w:pPr>
        <w:spacing w:after="280" w:line="426" w:lineRule="auto"/>
        <w:jc w:val="both"/>
        <w:rPr>
          <w:rFonts w:ascii="Verdana" w:eastAsia="Verdana" w:hAnsi="Verdana" w:cs="Verdana"/>
        </w:rPr>
      </w:pPr>
      <w:r>
        <w:rPr>
          <w:rFonts w:ascii="Verdana" w:eastAsia="Verdana" w:hAnsi="Verdana" w:cs="Verdana"/>
        </w:rPr>
        <w:t xml:space="preserve">Frente a lo expuesto se debe tener en cuenta que la finalidad del proceso de declaración de bien mostrenco no se agota en la adjudicación </w:t>
      </w:r>
      <w:proofErr w:type="gramStart"/>
      <w:r>
        <w:rPr>
          <w:rFonts w:ascii="Verdana" w:eastAsia="Verdana" w:hAnsi="Verdana" w:cs="Verdana"/>
        </w:rPr>
        <w:t>del mismo</w:t>
      </w:r>
      <w:proofErr w:type="gramEnd"/>
      <w:r>
        <w:rPr>
          <w:rFonts w:ascii="Verdana" w:eastAsia="Verdana" w:hAnsi="Verdana" w:cs="Verdana"/>
        </w:rPr>
        <w:t xml:space="preserve"> al ICBF; por el contrario, dada la naturaleza del bien, se busca que el verdadero propietario tenga la oportunidad de recuperar el ejercicio de su derecho, y para ello se realiza la "exhibición" del bien en el proceso.</w:t>
      </w:r>
    </w:p>
    <w:p w14:paraId="0000002F" w14:textId="0B925DAC" w:rsidR="008E0885" w:rsidRDefault="00000000">
      <w:pPr>
        <w:spacing w:after="280" w:line="426" w:lineRule="auto"/>
        <w:jc w:val="both"/>
        <w:rPr>
          <w:rFonts w:ascii="Verdana" w:eastAsia="Verdana" w:hAnsi="Verdana" w:cs="Verdana"/>
        </w:rPr>
      </w:pPr>
      <w:r>
        <w:rPr>
          <w:rFonts w:ascii="Verdana" w:eastAsia="Verdana" w:hAnsi="Verdana" w:cs="Verdana"/>
        </w:rPr>
        <w:t xml:space="preserve">De esta manera, si bien es cierto, como manifestó el Despacho en la Resolución No. </w:t>
      </w:r>
      <w:r w:rsidR="008E0885">
        <w:rPr>
          <w:rFonts w:ascii="Verdana" w:eastAsia="Verdana" w:hAnsi="Verdana" w:cs="Verdana"/>
        </w:rPr>
        <w:t>1526</w:t>
      </w:r>
      <w:r>
        <w:rPr>
          <w:rFonts w:ascii="Verdana" w:eastAsia="Verdana" w:hAnsi="Verdana" w:cs="Verdana"/>
        </w:rPr>
        <w:t xml:space="preserve"> de 2006, que las consultas emitidas por la Sala de Consulta y Servicio Civil del Consejo de Estado no tienen carácter vinculante para la administración, no puede desconocerse que, de conformidad con la Ley </w:t>
      </w:r>
      <w:r w:rsidR="008E0885">
        <w:rPr>
          <w:rFonts w:ascii="Verdana" w:eastAsia="Verdana" w:hAnsi="Verdana" w:cs="Verdana"/>
        </w:rPr>
        <w:t>7</w:t>
      </w:r>
      <w:r>
        <w:rPr>
          <w:rFonts w:ascii="Verdana" w:eastAsia="Verdana" w:hAnsi="Verdana" w:cs="Verdana"/>
        </w:rPr>
        <w:t xml:space="preserve"> de 1979, es función del Instituto promover las acciones en que tenga interés por razón de su vocación </w:t>
      </w:r>
      <w:r>
        <w:rPr>
          <w:rFonts w:ascii="Verdana" w:eastAsia="Verdana" w:hAnsi="Verdana" w:cs="Verdana"/>
        </w:rPr>
        <w:lastRenderedPageBreak/>
        <w:t xml:space="preserve">hereditaria o de bienes vacantes o mostrencos, de acuerdo con las leyes y, en especial, el numeral 22 del artículo </w:t>
      </w:r>
      <w:r w:rsidR="008E0885">
        <w:rPr>
          <w:rFonts w:ascii="Verdana" w:eastAsia="Verdana" w:hAnsi="Verdana" w:cs="Verdana"/>
        </w:rPr>
        <w:t>17</w:t>
      </w:r>
      <w:r>
        <w:rPr>
          <w:rFonts w:ascii="Verdana" w:eastAsia="Verdana" w:hAnsi="Verdana" w:cs="Verdana"/>
        </w:rPr>
        <w:t xml:space="preserve"> del Decreto No. 1137 de 1999. En este sentido, ordenar el archivo de una denuncia sin haber promovido las acciones judiciales tendientes a obtener la declaración de bien mostrenco por la jurisdicción competente, debe tenerse como un acto desacorde con el espíritu de la citada ley y las funciones de la entidad.</w:t>
      </w:r>
    </w:p>
    <w:p w14:paraId="00000030" w14:textId="77777777" w:rsidR="008E0885" w:rsidRDefault="00000000">
      <w:pPr>
        <w:spacing w:after="280" w:line="426" w:lineRule="auto"/>
        <w:jc w:val="both"/>
        <w:rPr>
          <w:rFonts w:ascii="Verdana" w:eastAsia="Verdana" w:hAnsi="Verdana" w:cs="Verdana"/>
        </w:rPr>
      </w:pPr>
      <w:r>
        <w:rPr>
          <w:rFonts w:ascii="Verdana" w:eastAsia="Verdana" w:hAnsi="Verdana" w:cs="Verdana"/>
        </w:rPr>
        <w:t>Por otra parte, no podemos olvidar la importancia de la función social como atributo esencial del derecho de propiedad en un estado como el nuestro, y no en el mal sentido en que se ha entendido en alguna ocasión, sino entendiéndolo como la posibilidad que existe de que sea declarada a favor de la colectividad, máxime cuando está representada por organismos de nivel nacional y de servicio efectivo de beneficio general y de los desvalidos, como es el ICBF.</w:t>
      </w:r>
    </w:p>
    <w:p w14:paraId="00000031" w14:textId="7B18CC62" w:rsidR="008E0885" w:rsidRDefault="00000000">
      <w:pPr>
        <w:spacing w:after="280" w:line="426" w:lineRule="auto"/>
        <w:jc w:val="both"/>
        <w:rPr>
          <w:rFonts w:ascii="Verdana" w:eastAsia="Verdana" w:hAnsi="Verdana" w:cs="Verdana"/>
        </w:rPr>
      </w:pPr>
      <w:r>
        <w:rPr>
          <w:rFonts w:ascii="Verdana" w:eastAsia="Verdana" w:hAnsi="Verdana" w:cs="Verdana"/>
        </w:rPr>
        <w:t xml:space="preserve">Así las cosas, este Despacho considera que los dineros recaudados con ocasión del incremento de $100 y $200 en los peajes de las vías transferidas y concesionadas por el Departamento de Cundinamarca entre los años 2001 a 2003, deben ser denunciados como bienes mostrencos por el ICBF y, en consecuencia, disponerse que se adelante el trámite que establece la normativa que regula la materia, de acuerdo con el procedimiento indicado en el Decreto </w:t>
      </w:r>
      <w:r w:rsidR="008E0885">
        <w:rPr>
          <w:rFonts w:ascii="Verdana" w:eastAsia="Verdana" w:hAnsi="Verdana" w:cs="Verdana"/>
        </w:rPr>
        <w:t>2388</w:t>
      </w:r>
      <w:r>
        <w:rPr>
          <w:rFonts w:ascii="Verdana" w:eastAsia="Verdana" w:hAnsi="Verdana" w:cs="Verdana"/>
        </w:rPr>
        <w:t xml:space="preserve"> de 1979, modificado por el Decreto </w:t>
      </w:r>
      <w:r w:rsidR="008E0885">
        <w:rPr>
          <w:rFonts w:ascii="Verdana" w:eastAsia="Verdana" w:hAnsi="Verdana" w:cs="Verdana"/>
        </w:rPr>
        <w:t>3421</w:t>
      </w:r>
      <w:r>
        <w:rPr>
          <w:rFonts w:ascii="Verdana" w:eastAsia="Verdana" w:hAnsi="Verdana" w:cs="Verdana"/>
        </w:rPr>
        <w:t xml:space="preserve"> de 1986, para así permitir que la jurisdicción ordinaria, como autoridad competente, sea quien determine si estos dineros son o no bienes mostrencos, teniendo en cuenta que:</w:t>
      </w:r>
    </w:p>
    <w:p w14:paraId="00000032" w14:textId="77777777" w:rsidR="008E0885" w:rsidRDefault="00000000">
      <w:pPr>
        <w:spacing w:after="280" w:line="426" w:lineRule="auto"/>
        <w:jc w:val="both"/>
        <w:rPr>
          <w:rFonts w:ascii="Verdana" w:eastAsia="Verdana" w:hAnsi="Verdana" w:cs="Verdana"/>
        </w:rPr>
      </w:pPr>
      <w:r>
        <w:rPr>
          <w:rFonts w:ascii="Verdana" w:eastAsia="Verdana" w:hAnsi="Verdana" w:cs="Verdana"/>
          <w:i/>
          <w:iCs/>
        </w:rPr>
        <w:t xml:space="preserve">"(...) una cosa es no reconocer la calidad de denunciante, lo cual en el presente caso ocurrió por existir una denuncia previa a la de los actores, </w:t>
      </w:r>
      <w:r>
        <w:rPr>
          <w:rFonts w:ascii="Verdana" w:eastAsia="Verdana" w:hAnsi="Verdana" w:cs="Verdana"/>
          <w:i/>
          <w:iCs/>
          <w:u w:val="single"/>
        </w:rPr>
        <w:t>y otra muy distinta la declaratoria de bien mostrenco, cuestión esta última que corresponde a la jurisdicción civil ordinaria.</w:t>
      </w:r>
      <w:r>
        <w:rPr>
          <w:rFonts w:ascii="Verdana" w:eastAsia="Verdana" w:hAnsi="Verdana" w:cs="Verdana"/>
          <w:i/>
          <w:iCs/>
        </w:rPr>
        <w:t>"</w:t>
      </w:r>
      <w:r>
        <w:rPr>
          <w:rFonts w:ascii="Verdana" w:eastAsia="Verdana" w:hAnsi="Verdana" w:cs="Verdana"/>
          <w:i/>
          <w:iCs/>
          <w:vertAlign w:val="subscript"/>
        </w:rPr>
        <w:t>[2]</w:t>
      </w:r>
      <w:r>
        <w:rPr>
          <w:rFonts w:ascii="Verdana" w:eastAsia="Verdana" w:hAnsi="Verdana" w:cs="Verdana"/>
        </w:rPr>
        <w:t xml:space="preserve"> (Se subraya).</w:t>
      </w:r>
    </w:p>
    <w:p w14:paraId="00000033" w14:textId="4AAA5825" w:rsidR="008E0885" w:rsidRDefault="00000000">
      <w:pPr>
        <w:spacing w:after="280" w:line="426" w:lineRule="auto"/>
        <w:jc w:val="both"/>
        <w:rPr>
          <w:rFonts w:ascii="Verdana" w:eastAsia="Verdana" w:hAnsi="Verdana" w:cs="Verdana"/>
        </w:rPr>
      </w:pPr>
      <w:r>
        <w:rPr>
          <w:rFonts w:ascii="Verdana" w:eastAsia="Verdana" w:hAnsi="Verdana" w:cs="Verdana"/>
        </w:rPr>
        <w:t xml:space="preserve">En virtud de lo anteriormente expuesto, y teniendo en cuenta que en el presente caso se configuran dos de las causales señaladas por el artículo </w:t>
      </w:r>
      <w:r w:rsidR="008E0885">
        <w:rPr>
          <w:rFonts w:ascii="Verdana" w:eastAsia="Verdana" w:hAnsi="Verdana" w:cs="Verdana"/>
        </w:rPr>
        <w:t>69</w:t>
      </w:r>
      <w:r>
        <w:rPr>
          <w:rFonts w:ascii="Verdana" w:eastAsia="Verdana" w:hAnsi="Verdana" w:cs="Verdana"/>
        </w:rPr>
        <w:t xml:space="preserve"> del Código </w:t>
      </w:r>
      <w:r>
        <w:rPr>
          <w:rFonts w:ascii="Verdana" w:eastAsia="Verdana" w:hAnsi="Verdana" w:cs="Verdana"/>
        </w:rPr>
        <w:lastRenderedPageBreak/>
        <w:t xml:space="preserve">Contencioso Administrativo para determinar la revocación directa de los actos administrativos, a saber: (1) Cuando sea manifiesta su oposición a la Constitución Política o a la </w:t>
      </w:r>
      <w:proofErr w:type="gramStart"/>
      <w:r>
        <w:rPr>
          <w:rFonts w:ascii="Verdana" w:eastAsia="Verdana" w:hAnsi="Verdana" w:cs="Verdana"/>
        </w:rPr>
        <w:t>ley</w:t>
      </w:r>
      <w:r>
        <w:rPr>
          <w:rFonts w:ascii="Verdana" w:eastAsia="Verdana" w:hAnsi="Verdana" w:cs="Verdana"/>
          <w:vertAlign w:val="subscript"/>
        </w:rPr>
        <w:t>[</w:t>
      </w:r>
      <w:proofErr w:type="gramEnd"/>
      <w:r>
        <w:rPr>
          <w:rFonts w:ascii="Verdana" w:eastAsia="Verdana" w:hAnsi="Verdana" w:cs="Verdana"/>
          <w:vertAlign w:val="subscript"/>
        </w:rPr>
        <w:t>3]</w:t>
      </w:r>
      <w:r>
        <w:rPr>
          <w:rFonts w:ascii="Verdana" w:eastAsia="Verdana" w:hAnsi="Verdana" w:cs="Verdana"/>
        </w:rPr>
        <w:t xml:space="preserve"> y (2) Cuando no estén conformes con el interés público o social, o atenten contra él,</w:t>
      </w:r>
      <w:r>
        <w:rPr>
          <w:rFonts w:ascii="Verdana" w:eastAsia="Verdana" w:hAnsi="Verdana" w:cs="Verdana"/>
          <w:vertAlign w:val="subscript"/>
        </w:rPr>
        <w:t>[4]</w:t>
      </w:r>
      <w:r>
        <w:rPr>
          <w:rFonts w:ascii="Verdana" w:eastAsia="Verdana" w:hAnsi="Verdana" w:cs="Verdana"/>
        </w:rPr>
        <w:t xml:space="preserve"> procede el Despacho a resolver.</w:t>
      </w:r>
    </w:p>
    <w:p w14:paraId="00000034" w14:textId="77777777" w:rsidR="008E0885"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35" w14:textId="199CEA82" w:rsidR="008E0885" w:rsidRDefault="00000000">
      <w:pPr>
        <w:spacing w:after="280" w:line="426"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REVOCAR en su integridad la Resolución No. </w:t>
      </w:r>
      <w:r w:rsidR="008E0885">
        <w:rPr>
          <w:rFonts w:ascii="Verdana" w:eastAsia="Verdana" w:hAnsi="Verdana" w:cs="Verdana"/>
        </w:rPr>
        <w:t>1526</w:t>
      </w:r>
      <w:r>
        <w:rPr>
          <w:rFonts w:ascii="Verdana" w:eastAsia="Verdana" w:hAnsi="Verdana" w:cs="Verdana"/>
        </w:rPr>
        <w:t xml:space="preserve"> de 5 de julio de 2006 proferida por la Dirección General del ICBF dentro del expediente de denuncia de bien mostrenco No. 001 de 2005, conforme a lo expuesto en la parte motiva de la presente resolución.</w:t>
      </w:r>
    </w:p>
    <w:p w14:paraId="00000036" w14:textId="77777777" w:rsidR="008E0885" w:rsidRDefault="00000000">
      <w:pPr>
        <w:spacing w:after="280" w:line="426"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Como consecuencia de lo anterior, DESARCHÍVESE la denuncia No. 001 de 2005 y DISPÓNGASE iniciar de oficio el correspondiente proceso con el fin de obtener la declaración de bien mostrenco por la jurisdicción civil ordinaria, conforme señala la ley.</w:t>
      </w:r>
    </w:p>
    <w:p w14:paraId="00000037" w14:textId="77777777" w:rsidR="008E0885" w:rsidRDefault="00000000">
      <w:pPr>
        <w:spacing w:after="280" w:line="426"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DELÉGASE la competencia para conocer de esta denuncia y sus trámites ulteriores en la Oficina Asesora Jurídica de la Dirección General del Instituto Colombiano de Bienestar Familiar - Cecilia De la Fuente de Lleras, para este caso en particular.</w:t>
      </w:r>
    </w:p>
    <w:p w14:paraId="00000038" w14:textId="77777777" w:rsidR="008E0885" w:rsidRDefault="00000000">
      <w:pPr>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La presente resolución rige a partir de su expedición.</w:t>
      </w:r>
    </w:p>
    <w:p w14:paraId="00000039" w14:textId="77777777" w:rsidR="008E0885" w:rsidRDefault="008E0885">
      <w:pPr>
        <w:jc w:val="both"/>
        <w:rPr>
          <w:rFonts w:ascii="Verdana" w:eastAsia="Verdana" w:hAnsi="Verdana" w:cs="Verdana"/>
        </w:rPr>
      </w:pPr>
    </w:p>
    <w:p w14:paraId="0000003A" w14:textId="77777777" w:rsidR="008E0885" w:rsidRDefault="008E0885">
      <w:pPr>
        <w:jc w:val="both"/>
        <w:rPr>
          <w:rFonts w:ascii="Verdana" w:eastAsia="Verdana" w:hAnsi="Verdana" w:cs="Verdana"/>
        </w:rPr>
      </w:pPr>
    </w:p>
    <w:p w14:paraId="0000003B" w14:textId="77777777" w:rsidR="008E0885" w:rsidRDefault="008E0885">
      <w:pPr>
        <w:jc w:val="both"/>
        <w:rPr>
          <w:rFonts w:ascii="Verdana" w:eastAsia="Verdana" w:hAnsi="Verdana" w:cs="Verdana"/>
        </w:rPr>
      </w:pPr>
    </w:p>
    <w:p w14:paraId="0000003C" w14:textId="77777777" w:rsidR="008E0885" w:rsidRDefault="008E0885">
      <w:pPr>
        <w:jc w:val="both"/>
        <w:rPr>
          <w:rFonts w:ascii="Verdana" w:eastAsia="Verdana" w:hAnsi="Verdana" w:cs="Verdana"/>
        </w:rPr>
      </w:pPr>
    </w:p>
    <w:p w14:paraId="0000003D" w14:textId="77777777" w:rsidR="008E0885" w:rsidRDefault="008E0885">
      <w:pPr>
        <w:jc w:val="both"/>
        <w:rPr>
          <w:rFonts w:ascii="Verdana" w:eastAsia="Verdana" w:hAnsi="Verdana" w:cs="Verdana"/>
        </w:rPr>
      </w:pPr>
    </w:p>
    <w:p w14:paraId="0000003E" w14:textId="77777777" w:rsidR="008E0885" w:rsidRDefault="008E0885">
      <w:pPr>
        <w:jc w:val="both"/>
        <w:rPr>
          <w:rFonts w:ascii="Verdana" w:eastAsia="Verdana" w:hAnsi="Verdana" w:cs="Verdana"/>
        </w:rPr>
      </w:pPr>
    </w:p>
    <w:p w14:paraId="0000003F" w14:textId="77777777" w:rsidR="008E0885" w:rsidRDefault="00000000">
      <w:pPr>
        <w:spacing w:after="280" w:line="426" w:lineRule="auto"/>
        <w:jc w:val="center"/>
        <w:rPr>
          <w:rFonts w:ascii="Verdana" w:eastAsia="Verdana" w:hAnsi="Verdana" w:cs="Verdana"/>
          <w:b/>
          <w:bCs/>
        </w:rPr>
      </w:pPr>
      <w:r>
        <w:rPr>
          <w:rFonts w:ascii="Verdana" w:eastAsia="Verdana" w:hAnsi="Verdana" w:cs="Verdana"/>
          <w:b/>
          <w:bCs/>
        </w:rPr>
        <w:t>PUBLÍQUESE Y CÚMPLASE</w:t>
      </w:r>
    </w:p>
    <w:p w14:paraId="00000040" w14:textId="77777777" w:rsidR="008E0885" w:rsidRDefault="00000000">
      <w:pPr>
        <w:spacing w:after="280" w:line="426" w:lineRule="auto"/>
        <w:jc w:val="center"/>
        <w:rPr>
          <w:rFonts w:ascii="Verdana" w:eastAsia="Verdana" w:hAnsi="Verdana" w:cs="Verdana"/>
        </w:rPr>
      </w:pPr>
      <w:r>
        <w:rPr>
          <w:rFonts w:ascii="Verdana" w:eastAsia="Verdana" w:hAnsi="Verdana" w:cs="Verdana"/>
        </w:rPr>
        <w:t>Dada en Bogotá, a los 11 días de mayo de 2010</w:t>
      </w:r>
    </w:p>
    <w:p w14:paraId="00000041" w14:textId="77777777" w:rsidR="008E0885" w:rsidRDefault="00000000">
      <w:pPr>
        <w:spacing w:after="280" w:line="426" w:lineRule="auto"/>
        <w:jc w:val="center"/>
        <w:rPr>
          <w:rFonts w:ascii="Verdana" w:eastAsia="Verdana" w:hAnsi="Verdana" w:cs="Verdana"/>
          <w:b/>
          <w:bCs/>
        </w:rPr>
      </w:pPr>
      <w:r>
        <w:rPr>
          <w:rFonts w:ascii="Verdana" w:eastAsia="Verdana" w:hAnsi="Verdana" w:cs="Verdana"/>
          <w:b/>
          <w:bCs/>
        </w:rPr>
        <w:t>ÉLVIRA FORERO HERNÁNDEZ</w:t>
      </w:r>
    </w:p>
    <w:p w14:paraId="00000042" w14:textId="77777777" w:rsidR="008E0885" w:rsidRDefault="00000000">
      <w:pPr>
        <w:spacing w:after="280" w:line="426" w:lineRule="auto"/>
        <w:jc w:val="center"/>
        <w:rPr>
          <w:rFonts w:ascii="Verdana" w:eastAsia="Verdana" w:hAnsi="Verdana" w:cs="Verdana"/>
        </w:rPr>
      </w:pPr>
      <w:r>
        <w:rPr>
          <w:rFonts w:ascii="Verdana" w:eastAsia="Verdana" w:hAnsi="Verdana" w:cs="Verdana"/>
        </w:rPr>
        <w:lastRenderedPageBreak/>
        <w:t>LA DIRECTORA GENERAL</w:t>
      </w:r>
    </w:p>
    <w:p w14:paraId="00000043" w14:textId="77777777" w:rsidR="008E0885" w:rsidRDefault="008E0885">
      <w:pPr>
        <w:rPr>
          <w:rFonts w:ascii="Verdana" w:eastAsia="Verdana" w:hAnsi="Verdana" w:cs="Verdana"/>
        </w:rPr>
      </w:pPr>
    </w:p>
    <w:sectPr w:rsidR="008E088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D5FD404-855E-42A1-BC8C-33C8E630F971}"/>
    <w:embedBold r:id="rId2" w:fontKey="{0787CA54-7D10-490B-9350-F7E5AE469A1A}"/>
    <w:embedItalic r:id="rId3" w:fontKey="{5F15D47D-FF05-4B85-94CD-4953ED25F75F}"/>
  </w:font>
  <w:font w:name="Calibri">
    <w:panose1 w:val="020F0502020204030204"/>
    <w:charset w:val="00"/>
    <w:family w:val="swiss"/>
    <w:pitch w:val="variable"/>
    <w:sig w:usb0="E4002EFF" w:usb1="C200247B" w:usb2="00000009" w:usb3="00000000" w:csb0="000001FF" w:csb1="00000000"/>
    <w:embedRegular r:id="rId4" w:fontKey="{8DA2842F-9E88-46B3-B001-443AA8BE678C}"/>
  </w:font>
  <w:font w:name="Cambria">
    <w:panose1 w:val="02040503050406030204"/>
    <w:charset w:val="00"/>
    <w:family w:val="roman"/>
    <w:pitch w:val="variable"/>
    <w:sig w:usb0="E00006FF" w:usb1="420024FF" w:usb2="02000000" w:usb3="00000000" w:csb0="0000019F" w:csb1="00000000"/>
    <w:embedRegular r:id="rId5" w:fontKey="{69A5CFEE-848B-41DD-A6B9-5005673C02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885"/>
    <w:rsid w:val="00484CC4"/>
    <w:rsid w:val="004F2EC7"/>
    <w:rsid w:val="006C38AF"/>
    <w:rsid w:val="008E0885"/>
    <w:rsid w:val="00A133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38F36-55E6-4B72-B7BC-9950D9222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5FFD7A-C5A1-47C2-8A38-E823D6FF385A}"/>
</file>

<file path=customXml/itemProps2.xml><?xml version="1.0" encoding="utf-8"?>
<ds:datastoreItem xmlns:ds="http://schemas.openxmlformats.org/officeDocument/2006/customXml" ds:itemID="{23486BB0-ECF7-4865-B419-5311E8E3A1E8}"/>
</file>

<file path=customXml/itemProps3.xml><?xml version="1.0" encoding="utf-8"?>
<ds:datastoreItem xmlns:ds="http://schemas.openxmlformats.org/officeDocument/2006/customXml" ds:itemID="{EF7A51F3-B9F7-4AF5-8E09-F086178C8CBF}"/>
</file>

<file path=docProps/app.xml><?xml version="1.0" encoding="utf-8"?>
<Properties xmlns="http://schemas.openxmlformats.org/officeDocument/2006/extended-properties" xmlns:vt="http://schemas.openxmlformats.org/officeDocument/2006/docPropsVTypes">
  <Template>Normal</Template>
  <TotalTime>1</TotalTime>
  <Pages>1</Pages>
  <Words>2511</Words>
  <Characters>13815</Characters>
  <Application>Microsoft Office Word</Application>
  <DocSecurity>0</DocSecurity>
  <Lines>115</Lines>
  <Paragraphs>32</Paragraphs>
  <ScaleCrop>false</ScaleCrop>
  <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2026-01-29T20:30:00Z</dcterms:created>
  <dcterms:modified xsi:type="dcterms:W3CDTF">2026-04-15T15:58:00Z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