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C000" w14:textId="77777777" w:rsidR="00851F76" w:rsidRDefault="00000000">
      <w:pPr>
        <w:spacing w:after="160" w:line="240" w:lineRule="auto"/>
        <w:jc w:val="center"/>
        <w:rPr>
          <w:rFonts w:ascii="Verdana" w:eastAsia="Verdana" w:hAnsi="Verdana" w:cs="Verdana"/>
          <w:b/>
          <w:bCs/>
        </w:rPr>
      </w:pPr>
      <w:r>
        <w:rPr>
          <w:rFonts w:ascii="Verdana" w:eastAsia="Verdana" w:hAnsi="Verdana" w:cs="Verdana"/>
          <w:b/>
          <w:bCs/>
        </w:rPr>
        <w:t>RESOLUCIÓN 1816 DE 2010</w:t>
      </w:r>
    </w:p>
    <w:p w14:paraId="01A28AEF" w14:textId="77777777" w:rsidR="00851F76" w:rsidRPr="00346D89" w:rsidRDefault="00000000">
      <w:pPr>
        <w:spacing w:line="240" w:lineRule="auto"/>
        <w:rPr>
          <w:rFonts w:ascii="Verdana" w:eastAsia="Verdana" w:hAnsi="Verdana" w:cs="Verdana"/>
          <w:sz w:val="20"/>
          <w:szCs w:val="20"/>
        </w:rPr>
      </w:pPr>
      <w:r w:rsidRPr="00346D89">
        <w:rPr>
          <w:rFonts w:ascii="Verdana" w:eastAsia="Verdana" w:hAnsi="Verdana" w:cs="Verdana"/>
          <w:sz w:val="20"/>
          <w:szCs w:val="20"/>
        </w:rPr>
        <w:t>Fecha de Expedición: 3 de mayo de 2010</w:t>
      </w:r>
    </w:p>
    <w:p w14:paraId="53B89883" w14:textId="77777777" w:rsidR="00851F76" w:rsidRPr="00346D89" w:rsidRDefault="00000000">
      <w:pPr>
        <w:spacing w:line="240" w:lineRule="auto"/>
        <w:rPr>
          <w:rFonts w:ascii="Verdana" w:eastAsia="Verdana" w:hAnsi="Verdana" w:cs="Verdana"/>
          <w:sz w:val="20"/>
          <w:szCs w:val="20"/>
          <w:highlight w:val="white"/>
        </w:rPr>
      </w:pPr>
      <w:r w:rsidRPr="00346D89">
        <w:rPr>
          <w:rFonts w:ascii="Verdana" w:eastAsia="Verdana" w:hAnsi="Verdana" w:cs="Verdana"/>
          <w:sz w:val="20"/>
          <w:szCs w:val="20"/>
        </w:rPr>
        <w:t xml:space="preserve">Fecha de </w:t>
      </w:r>
      <w:proofErr w:type="gramStart"/>
      <w:r w:rsidRPr="00346D89">
        <w:rPr>
          <w:rFonts w:ascii="Verdana" w:eastAsia="Verdana" w:hAnsi="Verdana" w:cs="Verdana"/>
          <w:sz w:val="20"/>
          <w:szCs w:val="20"/>
        </w:rPr>
        <w:t>entrada en vigencia</w:t>
      </w:r>
      <w:proofErr w:type="gramEnd"/>
      <w:r w:rsidRPr="00346D89">
        <w:rPr>
          <w:rFonts w:ascii="Verdana" w:eastAsia="Verdana" w:hAnsi="Verdana" w:cs="Verdana"/>
          <w:sz w:val="20"/>
          <w:szCs w:val="20"/>
        </w:rPr>
        <w:t xml:space="preserve">: </w:t>
      </w:r>
      <w:r w:rsidRPr="00346D89">
        <w:rPr>
          <w:rFonts w:ascii="Verdana" w:eastAsia="Verdana" w:hAnsi="Verdana" w:cs="Verdana"/>
          <w:sz w:val="20"/>
          <w:szCs w:val="20"/>
          <w:highlight w:val="white"/>
        </w:rPr>
        <w:t xml:space="preserve"> 5 de mayo de 2010</w:t>
      </w:r>
    </w:p>
    <w:p w14:paraId="6BBFC170" w14:textId="77777777" w:rsidR="00851F76" w:rsidRPr="00346D89" w:rsidRDefault="00000000">
      <w:pPr>
        <w:spacing w:line="240" w:lineRule="auto"/>
        <w:rPr>
          <w:rFonts w:ascii="Verdana" w:eastAsia="Verdana" w:hAnsi="Verdana" w:cs="Verdana"/>
          <w:sz w:val="20"/>
          <w:szCs w:val="20"/>
        </w:rPr>
      </w:pPr>
      <w:r w:rsidRPr="00346D89">
        <w:rPr>
          <w:rFonts w:ascii="Verdana" w:eastAsia="Verdana" w:hAnsi="Verdana" w:cs="Verdana"/>
          <w:sz w:val="20"/>
          <w:szCs w:val="20"/>
        </w:rPr>
        <w:t>Estado de la vigencia: Vigente</w:t>
      </w:r>
    </w:p>
    <w:p w14:paraId="366CE7EA" w14:textId="77777777" w:rsidR="00851F76" w:rsidRPr="00346D89" w:rsidRDefault="00851F76">
      <w:pPr>
        <w:spacing w:line="240" w:lineRule="auto"/>
        <w:rPr>
          <w:rFonts w:ascii="Verdana" w:eastAsia="Verdana" w:hAnsi="Verdana" w:cs="Verdana"/>
          <w:sz w:val="20"/>
          <w:szCs w:val="20"/>
        </w:rPr>
      </w:pPr>
    </w:p>
    <w:p w14:paraId="0B09CA29" w14:textId="77777777" w:rsidR="00851F76" w:rsidRPr="00346D89" w:rsidRDefault="00000000">
      <w:pPr>
        <w:spacing w:line="240" w:lineRule="auto"/>
        <w:rPr>
          <w:rFonts w:ascii="Verdana" w:eastAsia="Verdana" w:hAnsi="Verdana" w:cs="Verdana"/>
          <w:sz w:val="20"/>
          <w:szCs w:val="20"/>
          <w:highlight w:val="white"/>
        </w:rPr>
      </w:pPr>
      <w:r w:rsidRPr="00346D89">
        <w:rPr>
          <w:rFonts w:ascii="Verdana" w:eastAsia="Verdana" w:hAnsi="Verdana" w:cs="Verdana"/>
          <w:sz w:val="20"/>
          <w:szCs w:val="20"/>
        </w:rPr>
        <w:t>Fecha de publicación en Diario Oficial:</w:t>
      </w:r>
      <w:r w:rsidRPr="00346D89">
        <w:rPr>
          <w:rFonts w:ascii="Verdana" w:eastAsia="Verdana" w:hAnsi="Verdana" w:cs="Verdana"/>
          <w:sz w:val="20"/>
          <w:szCs w:val="20"/>
          <w:highlight w:val="white"/>
        </w:rPr>
        <w:t xml:space="preserve">  14 de mayo de 2010</w:t>
      </w:r>
    </w:p>
    <w:p w14:paraId="119D4BAF" w14:textId="77777777" w:rsidR="00851F76" w:rsidRPr="00346D89" w:rsidRDefault="00000000">
      <w:pPr>
        <w:spacing w:line="240" w:lineRule="auto"/>
        <w:rPr>
          <w:rFonts w:ascii="Verdana" w:eastAsia="Verdana" w:hAnsi="Verdana" w:cs="Verdana"/>
          <w:sz w:val="20"/>
          <w:szCs w:val="20"/>
          <w:highlight w:val="white"/>
        </w:rPr>
      </w:pPr>
      <w:r w:rsidRPr="00346D89">
        <w:rPr>
          <w:rFonts w:ascii="Verdana" w:eastAsia="Verdana" w:hAnsi="Verdana" w:cs="Verdana"/>
          <w:sz w:val="20"/>
          <w:szCs w:val="20"/>
        </w:rPr>
        <w:t>Número del Diario Oficial:</w:t>
      </w:r>
      <w:r w:rsidRPr="00346D89">
        <w:rPr>
          <w:rFonts w:ascii="Verdana" w:eastAsia="Verdana" w:hAnsi="Verdana" w:cs="Verdana"/>
          <w:sz w:val="20"/>
          <w:szCs w:val="20"/>
          <w:highlight w:val="white"/>
        </w:rPr>
        <w:t xml:space="preserve"> 47.709  </w:t>
      </w:r>
    </w:p>
    <w:p w14:paraId="5A6D224F" w14:textId="77777777" w:rsidR="00851F76" w:rsidRDefault="00851F76">
      <w:pPr>
        <w:spacing w:line="240" w:lineRule="auto"/>
        <w:rPr>
          <w:rFonts w:ascii="Verdana" w:eastAsia="Verdana" w:hAnsi="Verdana" w:cs="Verdana"/>
          <w:highlight w:val="white"/>
        </w:rPr>
      </w:pPr>
    </w:p>
    <w:p w14:paraId="27CA1135" w14:textId="77777777" w:rsidR="00851F76" w:rsidRDefault="00000000">
      <w:pPr>
        <w:spacing w:after="160" w:line="240" w:lineRule="auto"/>
        <w:jc w:val="center"/>
        <w:rPr>
          <w:rFonts w:ascii="Verdana" w:eastAsia="Verdana" w:hAnsi="Verdana" w:cs="Verdana"/>
          <w:b/>
          <w:bCs/>
        </w:rPr>
      </w:pPr>
      <w:r>
        <w:rPr>
          <w:rFonts w:ascii="Verdana" w:eastAsia="Verdana" w:hAnsi="Verdana" w:cs="Verdana"/>
          <w:b/>
          <w:bCs/>
        </w:rPr>
        <w:t>RESOLUCIÓN 1816 2010</w:t>
      </w:r>
    </w:p>
    <w:p w14:paraId="0E02F64C" w14:textId="77777777" w:rsidR="00851F76" w:rsidRDefault="00000000">
      <w:pPr>
        <w:spacing w:after="160" w:line="240" w:lineRule="auto"/>
        <w:jc w:val="center"/>
        <w:rPr>
          <w:rFonts w:ascii="Verdana" w:eastAsia="Verdana" w:hAnsi="Verdana" w:cs="Verdana"/>
        </w:rPr>
      </w:pPr>
      <w:r>
        <w:rPr>
          <w:rFonts w:ascii="Verdana" w:eastAsia="Verdana" w:hAnsi="Verdana" w:cs="Verdana"/>
        </w:rPr>
        <w:t>(3 de mayo)</w:t>
      </w:r>
    </w:p>
    <w:p w14:paraId="22AF857F" w14:textId="77777777" w:rsidR="00851F76"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42A12258" w14:textId="77777777" w:rsidR="00851F76"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estructura el Comité de Archivo Nacional del ICBF, se crea el Comité de Archivo en el nivel Regional y se derogan unas Resoluciones.</w:t>
      </w:r>
    </w:p>
    <w:p w14:paraId="3AAF4F34" w14:textId="77777777" w:rsidR="00851F76"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727E516F" w14:textId="486B2B61" w:rsidR="00851F76"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y en especial de las conferidas en el artículo </w:t>
      </w:r>
      <w:r w:rsidR="00851F76">
        <w:rPr>
          <w:rFonts w:ascii="Verdana" w:eastAsia="Verdana" w:hAnsi="Verdana" w:cs="Verdana"/>
          <w:highlight w:val="white"/>
        </w:rPr>
        <w:t>28</w:t>
      </w:r>
      <w:r>
        <w:rPr>
          <w:rFonts w:ascii="Verdana" w:eastAsia="Verdana" w:hAnsi="Verdana" w:cs="Verdana"/>
          <w:highlight w:val="white"/>
        </w:rPr>
        <w:t xml:space="preserve">, Literal b), de la Ley 7a de 1979, los artículos </w:t>
      </w:r>
      <w:r w:rsidR="00851F76">
        <w:rPr>
          <w:rFonts w:ascii="Verdana" w:eastAsia="Verdana" w:hAnsi="Verdana" w:cs="Verdana"/>
          <w:highlight w:val="white"/>
        </w:rPr>
        <w:t>78</w:t>
      </w:r>
      <w:r>
        <w:rPr>
          <w:rFonts w:ascii="Verdana" w:eastAsia="Verdana" w:hAnsi="Verdana" w:cs="Verdana"/>
          <w:highlight w:val="white"/>
        </w:rPr>
        <w:t xml:space="preserve"> de la Ley 489 de 1998 y el artículo </w:t>
      </w:r>
      <w:r w:rsidR="00851F76">
        <w:rPr>
          <w:rFonts w:ascii="Verdana" w:eastAsia="Verdana" w:hAnsi="Verdana" w:cs="Verdana"/>
          <w:highlight w:val="white"/>
        </w:rPr>
        <w:t>27</w:t>
      </w:r>
      <w:r>
        <w:rPr>
          <w:rFonts w:ascii="Verdana" w:eastAsia="Verdana" w:hAnsi="Verdana" w:cs="Verdana"/>
          <w:highlight w:val="white"/>
        </w:rPr>
        <w:t xml:space="preserve"> del Decreto 1138 de 1999, y</w:t>
      </w:r>
    </w:p>
    <w:p w14:paraId="7306FD77" w14:textId="77777777" w:rsidR="00851F76"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6E36BF08" w14:textId="5F44A149" w:rsidR="00851F76" w:rsidRDefault="00000000">
      <w:pPr>
        <w:spacing w:after="280" w:line="426" w:lineRule="auto"/>
        <w:jc w:val="both"/>
        <w:rPr>
          <w:rFonts w:ascii="Verdana" w:eastAsia="Verdana" w:hAnsi="Verdana" w:cs="Verdana"/>
        </w:rPr>
      </w:pPr>
      <w:r>
        <w:rPr>
          <w:rFonts w:ascii="Verdana" w:eastAsia="Verdana" w:hAnsi="Verdana" w:cs="Verdana"/>
        </w:rPr>
        <w:t xml:space="preserve">Que los artículos </w:t>
      </w:r>
      <w:r w:rsidR="00851F76">
        <w:rPr>
          <w:rFonts w:ascii="Verdana" w:eastAsia="Verdana" w:hAnsi="Verdana" w:cs="Verdana"/>
        </w:rPr>
        <w:t>62</w:t>
      </w:r>
      <w:r>
        <w:rPr>
          <w:rFonts w:ascii="Verdana" w:eastAsia="Verdana" w:hAnsi="Verdana" w:cs="Verdana"/>
        </w:rPr>
        <w:t xml:space="preserve"> y </w:t>
      </w:r>
      <w:r w:rsidR="00851F76">
        <w:rPr>
          <w:rFonts w:ascii="Verdana" w:eastAsia="Verdana" w:hAnsi="Verdana" w:cs="Verdana"/>
        </w:rPr>
        <w:t>66</w:t>
      </w:r>
      <w:r>
        <w:rPr>
          <w:rFonts w:ascii="Verdana" w:eastAsia="Verdana" w:hAnsi="Verdana" w:cs="Verdana"/>
        </w:rPr>
        <w:t xml:space="preserve"> de la Ley 75 de 1968 y </w:t>
      </w:r>
      <w:r w:rsidR="00851F76">
        <w:rPr>
          <w:rFonts w:ascii="Verdana" w:eastAsia="Verdana" w:hAnsi="Verdana" w:cs="Verdana"/>
        </w:rPr>
        <w:t>39</w:t>
      </w:r>
      <w:r>
        <w:rPr>
          <w:rFonts w:ascii="Verdana" w:eastAsia="Verdana" w:hAnsi="Verdana" w:cs="Verdana"/>
        </w:rPr>
        <w:t xml:space="preserve"> de la ley 7a de 1979, determinan que el ICBF es el heredero del quinto orden </w:t>
      </w:r>
      <w:proofErr w:type="spellStart"/>
      <w:r>
        <w:rPr>
          <w:rFonts w:ascii="Verdana" w:eastAsia="Verdana" w:hAnsi="Verdana" w:cs="Verdana"/>
        </w:rPr>
        <w:t>sucesoral</w:t>
      </w:r>
      <w:proofErr w:type="spellEnd"/>
      <w:r>
        <w:rPr>
          <w:rFonts w:ascii="Verdana" w:eastAsia="Verdana" w:hAnsi="Verdana" w:cs="Verdana"/>
        </w:rPr>
        <w:t xml:space="preserve"> y destinatario de los bienes que se declaren como vacantes o mostrencos. Los bienes inmuebles de propiedad del ICBF recibidos en desarrollo de estas normas, por no estar sometidos a la obligación de oferta de donación a favor de otras entidades públicas, deben enajenarse para ingresar a sus rentas el producido de las respectivas ventas.</w:t>
      </w:r>
    </w:p>
    <w:p w14:paraId="454B7909" w14:textId="6FB65F1B" w:rsidR="00851F76"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851F76">
        <w:rPr>
          <w:rFonts w:ascii="Verdana" w:eastAsia="Verdana" w:hAnsi="Verdana" w:cs="Verdana"/>
        </w:rPr>
        <w:t>33</w:t>
      </w:r>
      <w:r>
        <w:rPr>
          <w:rFonts w:ascii="Verdana" w:eastAsia="Verdana" w:hAnsi="Verdana" w:cs="Verdana"/>
        </w:rPr>
        <w:t xml:space="preserve"> </w:t>
      </w:r>
      <w:r>
        <w:rPr>
          <w:rFonts w:ascii="Verdana" w:eastAsia="Verdana" w:hAnsi="Verdana" w:cs="Verdana"/>
          <w:vertAlign w:val="superscript"/>
        </w:rPr>
        <w:t>[1]</w:t>
      </w:r>
      <w:r>
        <w:rPr>
          <w:rFonts w:ascii="Verdana" w:eastAsia="Verdana" w:hAnsi="Verdana" w:cs="Verdana"/>
        </w:rPr>
        <w:t xml:space="preserve"> de la Ley 9a de 1989 dispuso que las Entidades Públicas que hayan adquirido bienes a cualquier título, deberán aplicarlos a los fines para los cuales fueron adquiridos o en su defecto enajenarlos.</w:t>
      </w:r>
    </w:p>
    <w:p w14:paraId="7B6F3418" w14:textId="77777777" w:rsidR="00851F76" w:rsidRDefault="00000000">
      <w:pPr>
        <w:spacing w:after="280" w:line="426" w:lineRule="auto"/>
        <w:jc w:val="both"/>
        <w:rPr>
          <w:rFonts w:ascii="Verdana" w:eastAsia="Verdana" w:hAnsi="Verdana" w:cs="Verdana"/>
        </w:rPr>
      </w:pPr>
      <w:r>
        <w:rPr>
          <w:rFonts w:ascii="Verdana" w:eastAsia="Verdana" w:hAnsi="Verdana" w:cs="Verdana"/>
        </w:rPr>
        <w:t>Que el Instituto debe promover la venta de los inmuebles que no necesita para su uso, cualquiera hayan sido el título o modo de adquisición.</w:t>
      </w:r>
    </w:p>
    <w:p w14:paraId="742E7726" w14:textId="77777777" w:rsidR="00851F76" w:rsidRDefault="00000000">
      <w:pPr>
        <w:spacing w:after="280" w:line="426" w:lineRule="auto"/>
        <w:jc w:val="both"/>
        <w:rPr>
          <w:rFonts w:ascii="Verdana" w:eastAsia="Verdana" w:hAnsi="Verdana" w:cs="Verdana"/>
        </w:rPr>
      </w:pPr>
      <w:r>
        <w:rPr>
          <w:rFonts w:ascii="Verdana" w:eastAsia="Verdana" w:hAnsi="Verdana" w:cs="Verdana"/>
        </w:rPr>
        <w:lastRenderedPageBreak/>
        <w:t>Que el Instituto Colombiano de Bienestar Familiar - Cecilia De la Fuente de Lleras adoptó su Plan de Enajenación Onerosa mediante la Resolución No. 783 del 20 de abril de 2007, el cual se ha venido actualizando periódicamente. Los bienes que hacen parte del Plan de Enajenación Onerosa (i) no tienen vocación para la construcción de vivienda de interés social, (</w:t>
      </w:r>
      <w:proofErr w:type="spellStart"/>
      <w:r>
        <w:rPr>
          <w:rFonts w:ascii="Verdana" w:eastAsia="Verdana" w:hAnsi="Verdana" w:cs="Verdana"/>
        </w:rPr>
        <w:t>ii</w:t>
      </w:r>
      <w:proofErr w:type="spellEnd"/>
      <w:r>
        <w:rPr>
          <w:rFonts w:ascii="Verdana" w:eastAsia="Verdana" w:hAnsi="Verdana" w:cs="Verdana"/>
        </w:rPr>
        <w:t>) no los requiere la entidad para el desarrollo de sus funciones, (</w:t>
      </w:r>
      <w:proofErr w:type="spellStart"/>
      <w:r>
        <w:rPr>
          <w:rFonts w:ascii="Verdana" w:eastAsia="Verdana" w:hAnsi="Verdana" w:cs="Verdana"/>
        </w:rPr>
        <w:t>iii</w:t>
      </w:r>
      <w:proofErr w:type="spellEnd"/>
      <w:r>
        <w:rPr>
          <w:rFonts w:ascii="Verdana" w:eastAsia="Verdana" w:hAnsi="Verdana" w:cs="Verdana"/>
        </w:rPr>
        <w:t>) no han sido solicitados por otras entidades para el desarrollo de programas contemplados en el Plan Nacional de Desarrollo, (</w:t>
      </w:r>
      <w:proofErr w:type="spellStart"/>
      <w:r>
        <w:rPr>
          <w:rFonts w:ascii="Verdana" w:eastAsia="Verdana" w:hAnsi="Verdana" w:cs="Verdana"/>
        </w:rPr>
        <w:t>iv</w:t>
      </w:r>
      <w:proofErr w:type="spellEnd"/>
      <w:r>
        <w:rPr>
          <w:rFonts w:ascii="Verdana" w:eastAsia="Verdana" w:hAnsi="Verdana" w:cs="Verdana"/>
        </w:rPr>
        <w:t>) no se encuentran dentro de los taxativamente excluidos por el artículo 3o del Decreto 4637 de 2008.</w:t>
      </w:r>
    </w:p>
    <w:p w14:paraId="359DE584" w14:textId="77777777" w:rsidR="00851F76" w:rsidRDefault="00000000">
      <w:pPr>
        <w:spacing w:after="280" w:line="426" w:lineRule="auto"/>
        <w:jc w:val="both"/>
        <w:rPr>
          <w:rFonts w:ascii="Verdana" w:eastAsia="Verdana" w:hAnsi="Verdana" w:cs="Verdana"/>
          <w:i/>
          <w:iCs/>
        </w:rPr>
      </w:pPr>
      <w:r>
        <w:rPr>
          <w:rFonts w:ascii="Verdana" w:eastAsia="Verdana" w:hAnsi="Verdana" w:cs="Verdana"/>
        </w:rPr>
        <w:t xml:space="preserve">Que el artículo 2o del Decreto 4637 de 2008 definió los Planes de Enajenación Onerosa como </w:t>
      </w:r>
      <w:r>
        <w:rPr>
          <w:rFonts w:ascii="Verdana" w:eastAsia="Verdana" w:hAnsi="Verdana" w:cs="Verdana"/>
          <w:i/>
          <w:iCs/>
        </w:rPr>
        <w:t>"(...) aquellos actos a través de los cuales las entidades públicas realizan una identificación de sus bienes inmuebles fiscales que no tienen vocación para la construcción de vivienda de interés social, que no los requiere la entidad para el desarrollo de sus funciones, así como aquellos que no han sido solicitados por otras entidades para el desarrollo de programas contemplados en el Plan Nacional de Desarrollo, y los que se encuentran incluidos en el artículo 3o del presente decreto (...)".</w:t>
      </w:r>
    </w:p>
    <w:p w14:paraId="057AC469" w14:textId="77777777" w:rsidR="00851F76" w:rsidRDefault="00000000">
      <w:pPr>
        <w:spacing w:after="280" w:line="426" w:lineRule="auto"/>
        <w:jc w:val="both"/>
        <w:rPr>
          <w:rFonts w:ascii="Verdana" w:eastAsia="Verdana" w:hAnsi="Verdana" w:cs="Verdana"/>
        </w:rPr>
      </w:pPr>
      <w:r>
        <w:rPr>
          <w:rFonts w:ascii="Verdana" w:eastAsia="Verdana" w:hAnsi="Verdana" w:cs="Verdana"/>
        </w:rPr>
        <w:t>Que los avalúos de algunos de los inmuebles incluidos en el Anexo, el cual hace parte integral del presente acto administrativo, se encuentran en trámite de actualización, motivo por el cual podrán ser modificados una vez se cuente con dicha información.</w:t>
      </w:r>
    </w:p>
    <w:p w14:paraId="51CDA03F" w14:textId="77777777" w:rsidR="00851F76" w:rsidRDefault="00000000">
      <w:pPr>
        <w:spacing w:after="280" w:line="426" w:lineRule="auto"/>
        <w:jc w:val="both"/>
        <w:rPr>
          <w:rFonts w:ascii="Verdana" w:eastAsia="Verdana" w:hAnsi="Verdana" w:cs="Verdana"/>
        </w:rPr>
      </w:pPr>
      <w:r>
        <w:rPr>
          <w:rFonts w:ascii="Verdana" w:eastAsia="Verdana" w:hAnsi="Verdana" w:cs="Verdana"/>
        </w:rPr>
        <w:t>Que se han presentado algunas novedades como retiro e ingreso de inmuebles, cambio de valor, actualización de nomenclatura y/o de alguno de los datos consignados en el Anexo del Plan de Enajenación Onerosa actualizado por medio de la Resolución No. 5855 del 23 de diciembre de 2009, por lo que se requiere su actualización.</w:t>
      </w:r>
    </w:p>
    <w:p w14:paraId="58898241" w14:textId="77777777" w:rsidR="00851F76" w:rsidRDefault="00000000">
      <w:pPr>
        <w:spacing w:after="280" w:line="426" w:lineRule="auto"/>
        <w:jc w:val="both"/>
        <w:rPr>
          <w:rFonts w:ascii="Verdana" w:eastAsia="Verdana" w:hAnsi="Verdana" w:cs="Verdana"/>
        </w:rPr>
      </w:pPr>
      <w:r>
        <w:rPr>
          <w:rFonts w:ascii="Verdana" w:eastAsia="Verdana" w:hAnsi="Verdana" w:cs="Verdana"/>
        </w:rPr>
        <w:t xml:space="preserve">Que los inmuebles que se retiran del Plan de Enajenación Onerosa por </w:t>
      </w:r>
      <w:proofErr w:type="gramStart"/>
      <w:r>
        <w:rPr>
          <w:rFonts w:ascii="Verdana" w:eastAsia="Verdana" w:hAnsi="Verdana" w:cs="Verdana"/>
        </w:rPr>
        <w:t>venta,</w:t>
      </w:r>
      <w:proofErr w:type="gramEnd"/>
      <w:r>
        <w:rPr>
          <w:rFonts w:ascii="Verdana" w:eastAsia="Verdana" w:hAnsi="Verdana" w:cs="Verdana"/>
        </w:rPr>
        <w:t xml:space="preserve"> son:</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1590"/>
        <w:gridCol w:w="1680"/>
        <w:gridCol w:w="3180"/>
        <w:gridCol w:w="1680"/>
      </w:tblGrid>
      <w:tr w:rsidR="00851F76" w14:paraId="1A0B44E9" w14:textId="77777777">
        <w:trPr>
          <w:trHeight w:val="85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56CAA3" w14:textId="77777777" w:rsidR="00851F76" w:rsidRDefault="00000000">
            <w:pPr>
              <w:spacing w:before="240" w:after="240" w:line="426" w:lineRule="auto"/>
              <w:jc w:val="both"/>
              <w:rPr>
                <w:rFonts w:ascii="Verdana" w:eastAsia="Verdana" w:hAnsi="Verdana" w:cs="Verdana"/>
                <w:b/>
                <w:bCs/>
              </w:rPr>
            </w:pPr>
            <w:proofErr w:type="spellStart"/>
            <w:r>
              <w:rPr>
                <w:rFonts w:ascii="Verdana" w:eastAsia="Verdana" w:hAnsi="Verdana" w:cs="Verdana"/>
                <w:b/>
                <w:bCs/>
              </w:rPr>
              <w:lastRenderedPageBreak/>
              <w:t>N°</w:t>
            </w:r>
            <w:proofErr w:type="spellEnd"/>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A88C95"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Regional</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2600E7"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Municipio</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FD7069"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Dirección</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CE6BD2"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Tipo de Inmueble</w:t>
            </w:r>
          </w:p>
        </w:tc>
      </w:tr>
      <w:tr w:rsidR="00851F76" w14:paraId="0E60CD40"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5F6E8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1</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FAFE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CAEC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proofErr w:type="spellStart"/>
            <w:r>
              <w:rPr>
                <w:rFonts w:ascii="Verdana" w:eastAsia="Verdana" w:hAnsi="Verdana" w:cs="Verdana"/>
              </w:rPr>
              <w:t>Itagui</w:t>
            </w:r>
            <w:proofErr w:type="spellEnd"/>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B9CB0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CL46 No. 48-47, AP 103</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FABD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Apartamento</w:t>
            </w:r>
          </w:p>
        </w:tc>
      </w:tr>
      <w:tr w:rsidR="00851F76" w14:paraId="485905DB"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EB7D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2</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CE7CC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96C74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Medellín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688E2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87 </w:t>
            </w:r>
            <w:proofErr w:type="spellStart"/>
            <w:r>
              <w:rPr>
                <w:rFonts w:ascii="Verdana" w:eastAsia="Verdana" w:hAnsi="Verdana" w:cs="Verdana"/>
              </w:rPr>
              <w:t>N°</w:t>
            </w:r>
            <w:proofErr w:type="spellEnd"/>
            <w:r>
              <w:rPr>
                <w:rFonts w:ascii="Verdana" w:eastAsia="Verdana" w:hAnsi="Verdana" w:cs="Verdana"/>
              </w:rPr>
              <w:t xml:space="preserve"> 35 C-85</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1EB9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5DDF184A"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28D5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3</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4C98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3024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Medellín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A276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54 </w:t>
            </w:r>
            <w:proofErr w:type="spellStart"/>
            <w:r>
              <w:rPr>
                <w:rFonts w:ascii="Verdana" w:eastAsia="Verdana" w:hAnsi="Verdana" w:cs="Verdana"/>
              </w:rPr>
              <w:t>N°</w:t>
            </w:r>
            <w:proofErr w:type="spellEnd"/>
            <w:r>
              <w:rPr>
                <w:rFonts w:ascii="Verdana" w:eastAsia="Verdana" w:hAnsi="Verdana" w:cs="Verdana"/>
              </w:rPr>
              <w:t xml:space="preserve"> 52-12 apto 302</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67095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Apartamento</w:t>
            </w:r>
          </w:p>
        </w:tc>
      </w:tr>
      <w:tr w:rsidR="00851F76" w14:paraId="311249DF"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3B11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4</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E846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49EEE2"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Medellín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E25E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73 </w:t>
            </w:r>
            <w:proofErr w:type="spellStart"/>
            <w:r>
              <w:rPr>
                <w:rFonts w:ascii="Verdana" w:eastAsia="Verdana" w:hAnsi="Verdana" w:cs="Verdana"/>
              </w:rPr>
              <w:t>N°</w:t>
            </w:r>
            <w:proofErr w:type="spellEnd"/>
            <w:r>
              <w:rPr>
                <w:rFonts w:ascii="Verdana" w:eastAsia="Verdana" w:hAnsi="Verdana" w:cs="Verdana"/>
              </w:rPr>
              <w:t xml:space="preserve"> 29 -28</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1B61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3112B4EE"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8C37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5</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602CD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5D25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El Peñol</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2DB9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14 </w:t>
            </w:r>
            <w:proofErr w:type="spellStart"/>
            <w:r>
              <w:rPr>
                <w:rFonts w:ascii="Verdana" w:eastAsia="Verdana" w:hAnsi="Verdana" w:cs="Verdana"/>
              </w:rPr>
              <w:t>N°</w:t>
            </w:r>
            <w:proofErr w:type="spellEnd"/>
            <w:r>
              <w:rPr>
                <w:rFonts w:ascii="Verdana" w:eastAsia="Verdana" w:hAnsi="Verdana" w:cs="Verdana"/>
              </w:rPr>
              <w:t xml:space="preserve"> 1-21</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304D5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4169CE33"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3D12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6</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6B6B9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Antioquia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BFA1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Medellín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871E7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CL68 </w:t>
            </w:r>
            <w:proofErr w:type="spellStart"/>
            <w:r>
              <w:rPr>
                <w:rFonts w:ascii="Verdana" w:eastAsia="Verdana" w:hAnsi="Verdana" w:cs="Verdana"/>
              </w:rPr>
              <w:t>N°</w:t>
            </w:r>
            <w:proofErr w:type="spellEnd"/>
            <w:r>
              <w:rPr>
                <w:rFonts w:ascii="Verdana" w:eastAsia="Verdana" w:hAnsi="Verdana" w:cs="Verdana"/>
              </w:rPr>
              <w:t xml:space="preserve"> 50 A-17</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7FB8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7A4DE671"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18580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7</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6457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Bogotá</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D47553"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 D.C.</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A5AB5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AV CL 36 SUR No. 28-45</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AC3A8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7C029E38"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8E6CF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8</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F8348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02DF6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 D.C.</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404DA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20 </w:t>
            </w:r>
            <w:proofErr w:type="spellStart"/>
            <w:r>
              <w:rPr>
                <w:rFonts w:ascii="Verdana" w:eastAsia="Verdana" w:hAnsi="Verdana" w:cs="Verdana"/>
              </w:rPr>
              <w:t>N°</w:t>
            </w:r>
            <w:proofErr w:type="spellEnd"/>
            <w:r>
              <w:rPr>
                <w:rFonts w:ascii="Verdana" w:eastAsia="Verdana" w:hAnsi="Verdana" w:cs="Verdana"/>
              </w:rPr>
              <w:t xml:space="preserve"> 65-38</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EFC91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5CF4BEBB"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7CC36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lastRenderedPageBreak/>
              <w:br/>
            </w:r>
            <w:r>
              <w:rPr>
                <w:rFonts w:ascii="Verdana" w:eastAsia="Verdana" w:hAnsi="Verdana" w:cs="Verdana"/>
                <w:b/>
                <w:bCs/>
              </w:rPr>
              <w:t xml:space="preserve"> </w:t>
            </w:r>
            <w:r>
              <w:rPr>
                <w:rFonts w:ascii="Verdana" w:eastAsia="Verdana" w:hAnsi="Verdana" w:cs="Verdana"/>
              </w:rPr>
              <w:t>9</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60AAE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9E02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 D.C.</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9D9E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KR 15 No. 15-58</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D9CF5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Lote</w:t>
            </w:r>
          </w:p>
        </w:tc>
      </w:tr>
      <w:tr w:rsidR="00851F76" w14:paraId="47BA8812"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46029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10</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DF5CC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F8633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Bogotá, D.C.</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0406A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CL 18 No. 96C-56</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1342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60E3B1B6"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02F47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11</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68DEC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Caldas</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3773E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Manizales</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719B2"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CL 10 </w:t>
            </w:r>
            <w:proofErr w:type="spellStart"/>
            <w:r>
              <w:rPr>
                <w:rFonts w:ascii="Verdana" w:eastAsia="Verdana" w:hAnsi="Verdana" w:cs="Verdana"/>
              </w:rPr>
              <w:t>N°</w:t>
            </w:r>
            <w:proofErr w:type="spellEnd"/>
            <w:r>
              <w:rPr>
                <w:rFonts w:ascii="Verdana" w:eastAsia="Verdana" w:hAnsi="Verdana" w:cs="Verdana"/>
              </w:rPr>
              <w:t xml:space="preserve"> 20-06</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51B043"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Lote</w:t>
            </w:r>
          </w:p>
        </w:tc>
      </w:tr>
      <w:tr w:rsidR="00851F76" w14:paraId="7914D9AF"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2575E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12</w:t>
            </w:r>
          </w:p>
        </w:tc>
        <w:tc>
          <w:tcPr>
            <w:tcW w:w="1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7D54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Caldas</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E333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Manizales</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700C83"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CL 22 </w:t>
            </w:r>
            <w:proofErr w:type="spellStart"/>
            <w:r>
              <w:rPr>
                <w:rFonts w:ascii="Verdana" w:eastAsia="Verdana" w:hAnsi="Verdana" w:cs="Verdana"/>
              </w:rPr>
              <w:t>N°</w:t>
            </w:r>
            <w:proofErr w:type="spellEnd"/>
            <w:r>
              <w:rPr>
                <w:rFonts w:ascii="Verdana" w:eastAsia="Verdana" w:hAnsi="Verdana" w:cs="Verdana"/>
              </w:rPr>
              <w:t xml:space="preserve"> 22-23 Oficina 205</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9CF2A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Oficina</w:t>
            </w:r>
          </w:p>
        </w:tc>
      </w:tr>
    </w:tbl>
    <w:p w14:paraId="2FF00E8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Que los inmuebles que se ingresan al Plan de Enajenación </w:t>
      </w:r>
      <w:proofErr w:type="gramStart"/>
      <w:r>
        <w:rPr>
          <w:rFonts w:ascii="Verdana" w:eastAsia="Verdana" w:hAnsi="Verdana" w:cs="Verdana"/>
        </w:rPr>
        <w:t>Onerosa,</w:t>
      </w:r>
      <w:proofErr w:type="gramEnd"/>
      <w:r>
        <w:rPr>
          <w:rFonts w:ascii="Verdana" w:eastAsia="Verdana" w:hAnsi="Verdana" w:cs="Verdana"/>
        </w:rPr>
        <w:t xml:space="preserve"> son:</w:t>
      </w:r>
    </w:p>
    <w:tbl>
      <w:tblPr>
        <w:tblStyle w:val="a0"/>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1500"/>
        <w:gridCol w:w="1770"/>
        <w:gridCol w:w="3180"/>
        <w:gridCol w:w="1680"/>
      </w:tblGrid>
      <w:tr w:rsidR="00851F76" w14:paraId="366AE937" w14:textId="77777777">
        <w:trPr>
          <w:trHeight w:val="112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6B1A5B"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w:t>
            </w:r>
            <w:proofErr w:type="spellStart"/>
            <w:r>
              <w:rPr>
                <w:rFonts w:ascii="Verdana" w:eastAsia="Verdana" w:hAnsi="Verdana" w:cs="Verdana"/>
                <w:b/>
                <w:bCs/>
              </w:rPr>
              <w:t>N°</w:t>
            </w:r>
            <w:proofErr w:type="spellEnd"/>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DED472"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Regional</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90CE1"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Municipio</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BFEA0F"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Dirección</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82FE84" w14:textId="77777777" w:rsidR="00851F76" w:rsidRDefault="00000000">
            <w:pPr>
              <w:spacing w:before="240" w:after="240" w:line="426"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 xml:space="preserve"> Tipo de Inmueble</w:t>
            </w:r>
            <w:r>
              <w:rPr>
                <w:rFonts w:ascii="Verdana" w:eastAsia="Verdana" w:hAnsi="Verdana" w:cs="Verdana"/>
                <w:b/>
                <w:bCs/>
              </w:rPr>
              <w:br/>
            </w:r>
            <w:r>
              <w:rPr>
                <w:rFonts w:ascii="Verdana" w:eastAsia="Verdana" w:hAnsi="Verdana" w:cs="Verdana"/>
                <w:b/>
                <w:bCs/>
              </w:rPr>
              <w:br/>
            </w:r>
          </w:p>
        </w:tc>
      </w:tr>
      <w:tr w:rsidR="00851F76" w14:paraId="2B99DE15"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E81C5F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94463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Huila</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54E6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Neiva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E347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 xml:space="preserve">KR 11 </w:t>
            </w:r>
            <w:proofErr w:type="spellStart"/>
            <w:r>
              <w:rPr>
                <w:rFonts w:ascii="Verdana" w:eastAsia="Verdana" w:hAnsi="Verdana" w:cs="Verdana"/>
              </w:rPr>
              <w:t>N°</w:t>
            </w:r>
            <w:proofErr w:type="spellEnd"/>
            <w:r>
              <w:rPr>
                <w:rFonts w:ascii="Verdana" w:eastAsia="Verdana" w:hAnsi="Verdana" w:cs="Verdana"/>
              </w:rPr>
              <w:t xml:space="preserve"> 2-12/14</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E9729"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Casa</w:t>
            </w:r>
          </w:p>
        </w:tc>
      </w:tr>
      <w:tr w:rsidR="00851F76" w14:paraId="40219490"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E98B7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2</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984B2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Huila</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87880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Garzón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7A809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CL 8 </w:t>
            </w:r>
            <w:proofErr w:type="spellStart"/>
            <w:r>
              <w:rPr>
                <w:rFonts w:ascii="Verdana" w:eastAsia="Verdana" w:hAnsi="Verdana" w:cs="Verdana"/>
              </w:rPr>
              <w:t>N°</w:t>
            </w:r>
            <w:proofErr w:type="spellEnd"/>
            <w:r>
              <w:rPr>
                <w:rFonts w:ascii="Verdana" w:eastAsia="Verdana" w:hAnsi="Verdana" w:cs="Verdana"/>
              </w:rPr>
              <w:t xml:space="preserve"> 5-45</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A3C0A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434F0C79"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4D3B5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3</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EB63E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Magdalena</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65990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Santa Marta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D374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Pozos Colorados</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F6BF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Lote</w:t>
            </w:r>
          </w:p>
        </w:tc>
      </w:tr>
      <w:tr w:rsidR="00851F76" w14:paraId="24A88CD3"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E5B1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lastRenderedPageBreak/>
              <w:t>4</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9791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Tolima</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474B3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Líbano</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1E1B8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CL 2 </w:t>
            </w:r>
            <w:proofErr w:type="spellStart"/>
            <w:r>
              <w:rPr>
                <w:rFonts w:ascii="Verdana" w:eastAsia="Verdana" w:hAnsi="Verdana" w:cs="Verdana"/>
              </w:rPr>
              <w:t>N°</w:t>
            </w:r>
            <w:proofErr w:type="spellEnd"/>
            <w:r>
              <w:rPr>
                <w:rFonts w:ascii="Verdana" w:eastAsia="Verdana" w:hAnsi="Verdana" w:cs="Verdana"/>
              </w:rPr>
              <w:t xml:space="preserve"> 13-60/78 Barrio Santa Rosa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12147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6BB2F226"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F41D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5</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FD77A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Tolima</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E3EB1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Purificación</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BF2F71" w14:textId="77777777" w:rsidR="00851F76" w:rsidRPr="005B0247" w:rsidRDefault="00000000">
            <w:pPr>
              <w:spacing w:before="240" w:after="240" w:line="426" w:lineRule="auto"/>
              <w:jc w:val="both"/>
              <w:rPr>
                <w:rFonts w:ascii="Verdana" w:eastAsia="Verdana" w:hAnsi="Verdana" w:cs="Verdana"/>
                <w:lang w:val="pt-PT"/>
              </w:rPr>
            </w:pPr>
            <w:r w:rsidRPr="005B0247">
              <w:rPr>
                <w:rFonts w:ascii="Verdana" w:eastAsia="Verdana" w:hAnsi="Verdana" w:cs="Verdana"/>
                <w:lang w:val="pt-PT"/>
              </w:rPr>
              <w:t>DG 12 N° 12A-78 Barrio Ospina Pérez</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BEA9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33E8AF5A"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00997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6</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C0ED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 </w:t>
            </w: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A3540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Corregimiento Borrero</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DB9AA2"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Kilómetro 30 Dagua</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8300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Finca</w:t>
            </w:r>
          </w:p>
        </w:tc>
      </w:tr>
      <w:tr w:rsidR="00851F76" w14:paraId="42BC3F0C"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9BEBF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7</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6FA4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D4AF2"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Cali</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0E56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KR 4B </w:t>
            </w:r>
            <w:proofErr w:type="spellStart"/>
            <w:r>
              <w:rPr>
                <w:rFonts w:ascii="Verdana" w:eastAsia="Verdana" w:hAnsi="Verdana" w:cs="Verdana"/>
              </w:rPr>
              <w:t>N°</w:t>
            </w:r>
            <w:proofErr w:type="spellEnd"/>
            <w:r>
              <w:rPr>
                <w:rFonts w:ascii="Verdana" w:eastAsia="Verdana" w:hAnsi="Verdana" w:cs="Verdana"/>
              </w:rPr>
              <w:t xml:space="preserve"> 42-34</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0C8E4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69CC88F1"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CB7AD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8</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3540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2B81E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Cali</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239AB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KR 16 </w:t>
            </w:r>
            <w:proofErr w:type="spellStart"/>
            <w:r>
              <w:rPr>
                <w:rFonts w:ascii="Verdana" w:eastAsia="Verdana" w:hAnsi="Verdana" w:cs="Verdana"/>
              </w:rPr>
              <w:t>N°</w:t>
            </w:r>
            <w:proofErr w:type="spellEnd"/>
            <w:r>
              <w:rPr>
                <w:rFonts w:ascii="Verdana" w:eastAsia="Verdana" w:hAnsi="Verdana" w:cs="Verdana"/>
              </w:rPr>
              <w:t xml:space="preserve"> 8-113</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42F6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2636D687"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AE7AA9"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9</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A4A1E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4D69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Palmira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09425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CL 22 A N°27-40</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43A5A8"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185F684B"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0D13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10</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7BC9F"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0BE0B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Cartago</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9058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CL 10 </w:t>
            </w:r>
            <w:proofErr w:type="spellStart"/>
            <w:r>
              <w:rPr>
                <w:rFonts w:ascii="Verdana" w:eastAsia="Verdana" w:hAnsi="Verdana" w:cs="Verdana"/>
              </w:rPr>
              <w:t>N°</w:t>
            </w:r>
            <w:proofErr w:type="spellEnd"/>
            <w:r>
              <w:rPr>
                <w:rFonts w:ascii="Verdana" w:eastAsia="Verdana" w:hAnsi="Verdana" w:cs="Verdana"/>
              </w:rPr>
              <w:t xml:space="preserve"> 10-95/97/101/107</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6E51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623B7708"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0BCE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11</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C5BA3"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E4550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Cali</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DEA92"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KR 23 </w:t>
            </w:r>
            <w:proofErr w:type="spellStart"/>
            <w:r>
              <w:rPr>
                <w:rFonts w:ascii="Verdana" w:eastAsia="Verdana" w:hAnsi="Verdana" w:cs="Verdana"/>
              </w:rPr>
              <w:t>N°</w:t>
            </w:r>
            <w:proofErr w:type="spellEnd"/>
            <w:r>
              <w:rPr>
                <w:rFonts w:ascii="Verdana" w:eastAsia="Verdana" w:hAnsi="Verdana" w:cs="Verdana"/>
              </w:rPr>
              <w:t xml:space="preserve"> 32-103</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3CA965"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1B9600AC"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526B1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12</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E3FF04"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BB213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Palmira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6BA09"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KR 19 N 32-29</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4BD0C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r w:rsidR="00851F76" w14:paraId="1E54E286"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482F3"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13</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0948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E8FE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Palmira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3365BC"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 xml:space="preserve">KR 35 </w:t>
            </w:r>
            <w:proofErr w:type="spellStart"/>
            <w:r>
              <w:rPr>
                <w:rFonts w:ascii="Verdana" w:eastAsia="Verdana" w:hAnsi="Verdana" w:cs="Verdana"/>
              </w:rPr>
              <w:t>N°</w:t>
            </w:r>
            <w:proofErr w:type="spellEnd"/>
            <w:r>
              <w:rPr>
                <w:rFonts w:ascii="Verdana" w:eastAsia="Verdana" w:hAnsi="Verdana" w:cs="Verdana"/>
              </w:rPr>
              <w:t xml:space="preserve"> 31-74</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D2CED0"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Bodega</w:t>
            </w:r>
          </w:p>
        </w:tc>
      </w:tr>
      <w:tr w:rsidR="00851F76" w14:paraId="3FDCDDDE"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2E3CE"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14</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A275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4BFE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Candelaria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1CAEB" w14:textId="77777777" w:rsidR="00851F76" w:rsidRPr="005B0247" w:rsidRDefault="00000000">
            <w:pPr>
              <w:spacing w:before="240" w:after="240" w:line="426" w:lineRule="auto"/>
              <w:jc w:val="both"/>
              <w:rPr>
                <w:rFonts w:ascii="Verdana" w:eastAsia="Verdana" w:hAnsi="Verdana" w:cs="Verdana"/>
                <w:lang w:val="pt-PT"/>
              </w:rPr>
            </w:pPr>
            <w:r w:rsidRPr="005B0247">
              <w:rPr>
                <w:rFonts w:ascii="Verdana" w:eastAsia="Verdana" w:hAnsi="Verdana" w:cs="Verdana"/>
                <w:lang w:val="pt-PT"/>
              </w:rPr>
              <w:t>KR 3B N° 4-87, Lote N° 16 Mzna 29,</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26B5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Lote</w:t>
            </w:r>
          </w:p>
        </w:tc>
      </w:tr>
      <w:tr w:rsidR="00851F76" w14:paraId="77D031B0" w14:textId="77777777">
        <w:trPr>
          <w:trHeight w:val="58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871C1"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lastRenderedPageBreak/>
              <w:t>15</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70C65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76C20A"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Candelaria</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ED4F8" w14:textId="77777777" w:rsidR="00851F76" w:rsidRPr="005B0247" w:rsidRDefault="00000000">
            <w:pPr>
              <w:spacing w:before="240" w:after="240" w:line="426" w:lineRule="auto"/>
              <w:jc w:val="both"/>
              <w:rPr>
                <w:rFonts w:ascii="Verdana" w:eastAsia="Verdana" w:hAnsi="Verdana" w:cs="Verdana"/>
                <w:lang w:val="pt-PT"/>
              </w:rPr>
            </w:pPr>
            <w:r w:rsidRPr="005B0247">
              <w:rPr>
                <w:rFonts w:ascii="Verdana" w:eastAsia="Verdana" w:hAnsi="Verdana" w:cs="Verdana"/>
                <w:lang w:val="pt-PT"/>
              </w:rPr>
              <w:t>KR 3A N° 4-68, Lote N° 2 Mzna 29,</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3D180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Lote</w:t>
            </w:r>
          </w:p>
        </w:tc>
      </w:tr>
      <w:tr w:rsidR="00851F76" w14:paraId="2A0ECF7B" w14:textId="77777777">
        <w:trPr>
          <w:trHeight w:val="315"/>
        </w:trPr>
        <w:tc>
          <w:tcPr>
            <w:tcW w:w="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0F2906"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16</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576DD"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Valle</w:t>
            </w:r>
          </w:p>
        </w:tc>
        <w:tc>
          <w:tcPr>
            <w:tcW w:w="17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DD227"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Cali</w:t>
            </w:r>
          </w:p>
        </w:tc>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040228" w14:textId="77777777" w:rsidR="00851F76" w:rsidRPr="005B0247" w:rsidRDefault="00000000">
            <w:pPr>
              <w:spacing w:before="240" w:after="240" w:line="426" w:lineRule="auto"/>
              <w:jc w:val="both"/>
              <w:rPr>
                <w:rFonts w:ascii="Verdana" w:eastAsia="Verdana" w:hAnsi="Verdana" w:cs="Verdana"/>
                <w:lang w:val="pt-PT"/>
              </w:rPr>
            </w:pPr>
            <w:r w:rsidRPr="005B0247">
              <w:rPr>
                <w:rFonts w:ascii="Verdana" w:eastAsia="Verdana" w:hAnsi="Verdana" w:cs="Verdana"/>
                <w:lang w:val="pt-PT"/>
              </w:rPr>
              <w:t>KR 40B Oeste N° 1A-22</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D35FCB" w14:textId="77777777" w:rsidR="00851F76" w:rsidRDefault="00000000">
            <w:pPr>
              <w:spacing w:before="240" w:after="240" w:line="426" w:lineRule="auto"/>
              <w:jc w:val="both"/>
              <w:rPr>
                <w:rFonts w:ascii="Verdana" w:eastAsia="Verdana" w:hAnsi="Verdana" w:cs="Verdana"/>
              </w:rPr>
            </w:pPr>
            <w:r>
              <w:rPr>
                <w:rFonts w:ascii="Verdana" w:eastAsia="Verdana" w:hAnsi="Verdana" w:cs="Verdana"/>
              </w:rPr>
              <w:t>Casa</w:t>
            </w:r>
          </w:p>
        </w:tc>
      </w:tr>
    </w:tbl>
    <w:p w14:paraId="153A6845" w14:textId="77777777" w:rsidR="00851F76" w:rsidRDefault="00851F76">
      <w:pPr>
        <w:spacing w:after="280" w:line="426" w:lineRule="auto"/>
        <w:jc w:val="both"/>
        <w:rPr>
          <w:rFonts w:ascii="Verdana" w:eastAsia="Verdana" w:hAnsi="Verdana" w:cs="Verdana"/>
        </w:rPr>
      </w:pPr>
    </w:p>
    <w:p w14:paraId="7CBED696" w14:textId="77777777" w:rsidR="00851F76" w:rsidRDefault="00000000">
      <w:pPr>
        <w:spacing w:after="280" w:line="426" w:lineRule="auto"/>
        <w:jc w:val="both"/>
        <w:rPr>
          <w:rFonts w:ascii="Verdana" w:eastAsia="Verdana" w:hAnsi="Verdana" w:cs="Verdana"/>
        </w:rPr>
      </w:pPr>
      <w:r>
        <w:rPr>
          <w:rFonts w:ascii="Verdana" w:eastAsia="Verdana" w:hAnsi="Verdana" w:cs="Verdana"/>
        </w:rPr>
        <w:t xml:space="preserve">Que el presente Plan de Enajenación Onerosa del ICBF será publicado en la página Web: </w:t>
      </w:r>
      <w:r>
        <w:rPr>
          <w:rFonts w:ascii="Verdana" w:eastAsia="Verdana" w:hAnsi="Verdana" w:cs="Verdana"/>
          <w:u w:val="single"/>
        </w:rPr>
        <w:t xml:space="preserve">www.icbf.gov.co </w:t>
      </w:r>
      <w:r>
        <w:rPr>
          <w:rFonts w:ascii="Verdana" w:eastAsia="Verdana" w:hAnsi="Verdana" w:cs="Verdana"/>
        </w:rPr>
        <w:t>y en un Diario de amplia circulación nacional.</w:t>
      </w:r>
    </w:p>
    <w:p w14:paraId="403B292F" w14:textId="77777777" w:rsidR="00851F76" w:rsidRDefault="00000000">
      <w:pPr>
        <w:spacing w:after="280" w:line="426" w:lineRule="auto"/>
        <w:jc w:val="both"/>
        <w:rPr>
          <w:rFonts w:ascii="Verdana" w:eastAsia="Verdana" w:hAnsi="Verdana" w:cs="Verdana"/>
        </w:rPr>
      </w:pPr>
      <w:r>
        <w:rPr>
          <w:rFonts w:ascii="Verdana" w:eastAsia="Verdana" w:hAnsi="Verdana" w:cs="Verdana"/>
        </w:rPr>
        <w:t>Que en mérito de lo expuesto</w:t>
      </w:r>
    </w:p>
    <w:p w14:paraId="38A7D11B" w14:textId="77777777" w:rsidR="00851F76"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190DDB44" w14:textId="77777777" w:rsidR="00851F76" w:rsidRDefault="00000000">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Actualizar el Plan de Enajenación Onerosa del ICBF contenido en la Resolución No. 5855 del 23 de diciembre de 2009, el cual queda integrado por setenta y seis (76) bienes inmuebles que se relacionan en el Anexo de la presente Resolución.</w:t>
      </w:r>
    </w:p>
    <w:p w14:paraId="43A18D1B" w14:textId="77777777" w:rsidR="00851F76"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Una vez se cuente con la actualización de los avalúos de los inmuebles incluidos en el Anexo en mención, podrán ser modificados dichos valores en el mismo.</w:t>
      </w:r>
    </w:p>
    <w:p w14:paraId="27AF10A3" w14:textId="77777777" w:rsidR="00851F76" w:rsidRDefault="00000000">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Remitir copia del presente Acto Administrativo a Central de Inversiones S.A., dentro de los diez (10) días siguientes a su publicación.</w:t>
      </w:r>
    </w:p>
    <w:p w14:paraId="021E102A" w14:textId="77777777" w:rsidR="00851F76" w:rsidRDefault="00000000">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publicación.</w:t>
      </w:r>
    </w:p>
    <w:p w14:paraId="565ED1A8" w14:textId="77777777" w:rsidR="00851F76" w:rsidRDefault="00000000">
      <w:pPr>
        <w:spacing w:after="280" w:line="426" w:lineRule="auto"/>
        <w:jc w:val="center"/>
        <w:rPr>
          <w:rFonts w:ascii="Verdana" w:eastAsia="Verdana" w:hAnsi="Verdana" w:cs="Verdana"/>
          <w:b/>
          <w:bCs/>
        </w:rPr>
      </w:pPr>
      <w:r>
        <w:rPr>
          <w:rFonts w:ascii="Verdana" w:eastAsia="Verdana" w:hAnsi="Verdana" w:cs="Verdana"/>
          <w:b/>
          <w:bCs/>
        </w:rPr>
        <w:t>PUBLÍQUESE Y CÚMPLASE</w:t>
      </w:r>
    </w:p>
    <w:p w14:paraId="0E9DEEEE" w14:textId="77777777" w:rsidR="00851F76" w:rsidRDefault="00000000">
      <w:pPr>
        <w:spacing w:after="280" w:line="426" w:lineRule="auto"/>
        <w:jc w:val="center"/>
        <w:rPr>
          <w:rFonts w:ascii="Verdana" w:eastAsia="Verdana" w:hAnsi="Verdana" w:cs="Verdana"/>
        </w:rPr>
      </w:pPr>
      <w:r>
        <w:rPr>
          <w:rFonts w:ascii="Verdana" w:eastAsia="Verdana" w:hAnsi="Verdana" w:cs="Verdana"/>
        </w:rPr>
        <w:t>Dada en Bogotá, D.C., a los 3 días de mayo de 2010</w:t>
      </w:r>
    </w:p>
    <w:p w14:paraId="5BE3E338" w14:textId="77777777" w:rsidR="00851F76"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ELVIRA FORERO HERNÁNDEZ</w:t>
      </w:r>
    </w:p>
    <w:p w14:paraId="5090D57A" w14:textId="77777777" w:rsidR="00851F76"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5F5A8601" w14:textId="77777777" w:rsidR="00851F76" w:rsidRDefault="00851F76">
      <w:pPr>
        <w:rPr>
          <w:rFonts w:ascii="Verdana" w:eastAsia="Verdana" w:hAnsi="Verdana" w:cs="Verdana"/>
        </w:rPr>
      </w:pPr>
    </w:p>
    <w:sectPr w:rsidR="00851F7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F0D1AEE-A80A-4C1F-92BF-5AFC124D0351}"/>
    <w:embedBold r:id="rId2" w:fontKey="{FC8F2232-5D8A-4293-A5A8-041C2C125175}"/>
    <w:embedItalic r:id="rId3" w:fontKey="{505CC1D4-7844-4ECA-9A26-23FF030B960B}"/>
  </w:font>
  <w:font w:name="Calibri">
    <w:panose1 w:val="020F0502020204030204"/>
    <w:charset w:val="00"/>
    <w:family w:val="swiss"/>
    <w:pitch w:val="variable"/>
    <w:sig w:usb0="E4002EFF" w:usb1="C200247B" w:usb2="00000009" w:usb3="00000000" w:csb0="000001FF" w:csb1="00000000"/>
    <w:embedRegular r:id="rId4" w:fontKey="{34A885EA-EFDD-43F1-9B4A-E6556B2929DB}"/>
  </w:font>
  <w:font w:name="Cambria">
    <w:panose1 w:val="02040503050406030204"/>
    <w:charset w:val="00"/>
    <w:family w:val="roman"/>
    <w:pitch w:val="variable"/>
    <w:sig w:usb0="E00006FF" w:usb1="420024FF" w:usb2="02000000" w:usb3="00000000" w:csb0="0000019F" w:csb1="00000000"/>
    <w:embedRegular r:id="rId5" w:fontKey="{0318EC5E-D4B4-44AC-BA47-994CB53941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F76"/>
    <w:rsid w:val="001F1CD1"/>
    <w:rsid w:val="00346D89"/>
    <w:rsid w:val="005B0247"/>
    <w:rsid w:val="00851F76"/>
    <w:rsid w:val="00CB15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EDA32"/>
  <w15:docId w15:val="{94D803C0-93D4-47E7-B4CE-660A3BF36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49D5DC-853C-463D-BCFA-05FEA433F188}"/>
</file>

<file path=customXml/itemProps2.xml><?xml version="1.0" encoding="utf-8"?>
<ds:datastoreItem xmlns:ds="http://schemas.openxmlformats.org/officeDocument/2006/customXml" ds:itemID="{92BE0593-068F-41EA-BB1D-3C6E40F74DF0}"/>
</file>

<file path=customXml/itemProps3.xml><?xml version="1.0" encoding="utf-8"?>
<ds:datastoreItem xmlns:ds="http://schemas.openxmlformats.org/officeDocument/2006/customXml" ds:itemID="{18D82F52-8B1A-45AB-B1C6-A4E39168A03E}"/>
</file>

<file path=docProps/app.xml><?xml version="1.0" encoding="utf-8"?>
<Properties xmlns="http://schemas.openxmlformats.org/officeDocument/2006/extended-properties" xmlns:vt="http://schemas.openxmlformats.org/officeDocument/2006/docPropsVTypes">
  <Template>Normal</Template>
  <TotalTime>1</TotalTime>
  <Pages>1</Pages>
  <Words>939</Words>
  <Characters>5165</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2026-01-29T20:45:00Z</dcterms:created>
  <dcterms:modified xsi:type="dcterms:W3CDTF">2026-04-15T15:57:00Z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