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9C76" w14:textId="51BA7FEE" w:rsidR="0081255F" w:rsidRDefault="00293BE0" w:rsidP="00293BE0">
      <w:pPr>
        <w:jc w:val="center"/>
        <w:rPr>
          <w:b/>
          <w:bCs/>
        </w:rPr>
      </w:pPr>
      <w:r>
        <w:rPr>
          <w:b/>
          <w:bCs/>
        </w:rPr>
        <w:t xml:space="preserve">RESOLUCIÓN 1768 DE 2025 </w:t>
      </w:r>
    </w:p>
    <w:p w14:paraId="0A7C5C59" w14:textId="021B7DDD" w:rsidR="00293BE0" w:rsidRPr="00A85783" w:rsidRDefault="00293BE0" w:rsidP="00293BE0">
      <w:pPr>
        <w:pStyle w:val="Sinespaciado"/>
        <w:rPr>
          <w:rFonts w:ascii="Verdana" w:hAnsi="Verdana"/>
          <w:sz w:val="20"/>
          <w:szCs w:val="20"/>
        </w:rPr>
      </w:pPr>
      <w:bookmarkStart w:id="0" w:name="_Hlk225198638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293BE0">
        <w:rPr>
          <w:rFonts w:ascii="Verdana" w:hAnsi="Verdana"/>
          <w:sz w:val="20"/>
          <w:szCs w:val="20"/>
        </w:rPr>
        <w:t xml:space="preserve">28 de abril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2025</w:t>
      </w:r>
    </w:p>
    <w:p w14:paraId="5FEF6F70" w14:textId="4230FDEE" w:rsidR="00293BE0" w:rsidRPr="00A85783" w:rsidRDefault="00293BE0" w:rsidP="00293BE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293BE0">
        <w:rPr>
          <w:rFonts w:ascii="Verdana" w:hAnsi="Verdana"/>
          <w:sz w:val="20"/>
          <w:szCs w:val="20"/>
        </w:rPr>
        <w:t xml:space="preserve">28 de abril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2025</w:t>
      </w:r>
    </w:p>
    <w:p w14:paraId="7F9302DC" w14:textId="5C2C480A" w:rsidR="00293BE0" w:rsidRPr="00A85783" w:rsidRDefault="00293BE0" w:rsidP="00293BE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Pr="00293BE0">
        <w:rPr>
          <w:rFonts w:ascii="Verdana" w:hAnsi="Verdana"/>
          <w:sz w:val="20"/>
          <w:szCs w:val="20"/>
        </w:rPr>
        <w:t xml:space="preserve">Derogada Por </w:t>
      </w:r>
      <w:r w:rsidR="00640DB7">
        <w:rPr>
          <w:rFonts w:ascii="Verdana" w:hAnsi="Verdana"/>
          <w:sz w:val="20"/>
          <w:szCs w:val="20"/>
        </w:rPr>
        <w:t>e</w:t>
      </w:r>
      <w:r w:rsidRPr="00293BE0">
        <w:rPr>
          <w:rFonts w:ascii="Verdana" w:hAnsi="Verdana"/>
          <w:sz w:val="20"/>
          <w:szCs w:val="20"/>
        </w:rPr>
        <w:t xml:space="preserve">l Artículo 9 </w:t>
      </w:r>
      <w:r w:rsidR="00640DB7">
        <w:rPr>
          <w:rFonts w:ascii="Verdana" w:hAnsi="Verdana"/>
          <w:sz w:val="20"/>
          <w:szCs w:val="20"/>
        </w:rPr>
        <w:t>de la</w:t>
      </w:r>
      <w:r w:rsidRPr="00293BE0">
        <w:rPr>
          <w:rFonts w:ascii="Verdana" w:hAnsi="Verdana"/>
          <w:sz w:val="20"/>
          <w:szCs w:val="20"/>
        </w:rPr>
        <w:t xml:space="preserve"> Resolución 7858 </w:t>
      </w:r>
      <w:r w:rsidR="00640DB7">
        <w:rPr>
          <w:rFonts w:ascii="Verdana" w:hAnsi="Verdana"/>
          <w:sz w:val="20"/>
          <w:szCs w:val="20"/>
        </w:rPr>
        <w:t xml:space="preserve">de </w:t>
      </w:r>
      <w:r w:rsidRPr="00293BE0">
        <w:rPr>
          <w:rFonts w:ascii="Verdana" w:hAnsi="Verdana"/>
          <w:sz w:val="20"/>
          <w:szCs w:val="20"/>
        </w:rPr>
        <w:t>2025</w:t>
      </w:r>
    </w:p>
    <w:p w14:paraId="45E1B6B2" w14:textId="77777777" w:rsidR="00293BE0" w:rsidRDefault="00293BE0" w:rsidP="00293BE0">
      <w:pPr>
        <w:pStyle w:val="Sinespaciado"/>
        <w:rPr>
          <w:rFonts w:ascii="Verdana" w:hAnsi="Verdana"/>
          <w:sz w:val="20"/>
          <w:szCs w:val="20"/>
        </w:rPr>
      </w:pPr>
    </w:p>
    <w:p w14:paraId="7F2A9F68" w14:textId="77777777" w:rsidR="00293BE0" w:rsidRPr="00A85783" w:rsidRDefault="00293BE0" w:rsidP="00293BE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21324355" w14:textId="77777777" w:rsidR="00293BE0" w:rsidRDefault="00293BE0" w:rsidP="00293BE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5A7A597A" w14:textId="77777777" w:rsidR="00640DB7" w:rsidRDefault="00640DB7" w:rsidP="00293BE0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6D66CB03" w14:textId="77777777" w:rsidR="00293BE0" w:rsidRDefault="00293BE0" w:rsidP="00293BE0">
      <w:pPr>
        <w:jc w:val="center"/>
        <w:rPr>
          <w:b/>
          <w:bCs/>
        </w:rPr>
      </w:pPr>
      <w:r>
        <w:rPr>
          <w:b/>
          <w:bCs/>
        </w:rPr>
        <w:t xml:space="preserve">RESOLUCIÓN 1768 DE 2025 </w:t>
      </w:r>
    </w:p>
    <w:p w14:paraId="6F703845" w14:textId="3B8446A1" w:rsidR="00293BE0" w:rsidRDefault="00293BE0" w:rsidP="00293BE0">
      <w:pPr>
        <w:jc w:val="center"/>
        <w:rPr>
          <w:b/>
          <w:bCs/>
        </w:rPr>
      </w:pPr>
      <w:r w:rsidRPr="00293BE0">
        <w:rPr>
          <w:b/>
          <w:bCs/>
        </w:rPr>
        <w:t>(2</w:t>
      </w:r>
      <w:r>
        <w:rPr>
          <w:b/>
          <w:bCs/>
        </w:rPr>
        <w:t>8</w:t>
      </w:r>
      <w:r w:rsidRPr="00293BE0">
        <w:rPr>
          <w:b/>
          <w:bCs/>
        </w:rPr>
        <w:t xml:space="preserve"> de abril)</w:t>
      </w:r>
    </w:p>
    <w:p w14:paraId="3D23FC76" w14:textId="3D9130B5" w:rsidR="00293BE0" w:rsidRPr="00293BE0" w:rsidRDefault="00293BE0" w:rsidP="00293BE0">
      <w:pPr>
        <w:jc w:val="center"/>
      </w:pPr>
      <w:r w:rsidRPr="00293BE0">
        <w:rPr>
          <w:i/>
          <w:iCs/>
        </w:rPr>
        <w:t>“Por medio de la cual se modifica el artículo 3° de la Resolución 0320 del 31 de enero 2025, por la cual se aprobó el Manual Técnico Fortalecimiento Familiar y Comunitario V1, sus guías operativas del servicio, se derogan las Resoluciones Nos. 1911 del 3 de mayo 2024 y 1950 del 9 de mayo 2024 y se dictan otras disposiciones”</w:t>
      </w:r>
    </w:p>
    <w:p w14:paraId="0CC98A72" w14:textId="77777777" w:rsidR="00293BE0" w:rsidRPr="00293BE0" w:rsidRDefault="00293BE0" w:rsidP="00293BE0">
      <w:pPr>
        <w:jc w:val="center"/>
        <w:rPr>
          <w:b/>
          <w:bCs/>
        </w:rPr>
      </w:pPr>
      <w:r w:rsidRPr="00293BE0">
        <w:rPr>
          <w:b/>
          <w:bCs/>
        </w:rPr>
        <w:t>LA DIRECTORA GENERAL DEL INSTITUTO COLOMBIANO DE BIENESTAR</w:t>
      </w:r>
    </w:p>
    <w:p w14:paraId="2AD0F562" w14:textId="77777777" w:rsidR="00293BE0" w:rsidRPr="00293BE0" w:rsidRDefault="00293BE0" w:rsidP="00293BE0">
      <w:pPr>
        <w:jc w:val="center"/>
        <w:rPr>
          <w:b/>
          <w:bCs/>
        </w:rPr>
      </w:pPr>
      <w:r w:rsidRPr="00293BE0">
        <w:rPr>
          <w:b/>
          <w:bCs/>
        </w:rPr>
        <w:t>FAMILIAR (ICBF) “CECILIA DE LA FUENTE DE LLERAS”</w:t>
      </w:r>
    </w:p>
    <w:p w14:paraId="4B82233B" w14:textId="6B26D667" w:rsidR="00293BE0" w:rsidRPr="00293BE0" w:rsidRDefault="00293BE0" w:rsidP="00293BE0">
      <w:pPr>
        <w:jc w:val="center"/>
      </w:pPr>
      <w:r w:rsidRPr="00293BE0">
        <w:t>En uso de las facultades legales y estatutarias, en especial las conferidas en el artículo 78 de la Ley 489 de 1998, el literal b) del artículo 28 de la Ley 7 de 1979, el literal a) del artículo 28 del Acuerdo 102 de 1979 aprobado mediante Decreto 334 de 1980 y,</w:t>
      </w:r>
    </w:p>
    <w:p w14:paraId="4BFC29CC" w14:textId="44710A70" w:rsidR="00293BE0" w:rsidRPr="00293BE0" w:rsidRDefault="00293BE0" w:rsidP="00293BE0">
      <w:pPr>
        <w:jc w:val="center"/>
        <w:rPr>
          <w:b/>
          <w:bCs/>
        </w:rPr>
      </w:pPr>
      <w:r>
        <w:rPr>
          <w:b/>
          <w:bCs/>
        </w:rPr>
        <w:t xml:space="preserve">CONSIDERANDO </w:t>
      </w:r>
    </w:p>
    <w:p w14:paraId="01758D1A" w14:textId="77777777" w:rsidR="00293BE0" w:rsidRPr="00293BE0" w:rsidRDefault="00293BE0" w:rsidP="00293BE0">
      <w:pPr>
        <w:jc w:val="both"/>
      </w:pPr>
      <w:r w:rsidRPr="00293BE0">
        <w:t>Que mediante la Ley 75 de 1968 se creó el Instituto Colombiano de Bienestar Familiar - ICBF “Cecilia de la Fuente de Lleras” como un establecimiento público descentralizado, con personería jurídica, autonomía administrativa y patrimonio propio y se definió como su objeto “propender y fortalecer la integración y el desarrollo armónico de la familia, proteger al menor de edad y garantizarle sus derechos”.</w:t>
      </w:r>
    </w:p>
    <w:p w14:paraId="15B2D632" w14:textId="77777777" w:rsidR="00293BE0" w:rsidRPr="00293BE0" w:rsidRDefault="00293BE0" w:rsidP="00293BE0">
      <w:pPr>
        <w:jc w:val="both"/>
      </w:pPr>
      <w:r w:rsidRPr="00293BE0">
        <w:t>Que dicha Ley fue reglamentada por el Decreto 2388 de 1979, compilado en el Decreto 1084 de 2015, y estableció las funciones de formular programas de bienestar familiar, ejecutar y evaluar programas de nutrición y alimentación y dictar programas tendientes al fortalecimiento de la familia y la protección al menor de edad.</w:t>
      </w:r>
    </w:p>
    <w:p w14:paraId="08CFF50A" w14:textId="77777777" w:rsidR="00293BE0" w:rsidRPr="00293BE0" w:rsidRDefault="00293BE0" w:rsidP="00293BE0">
      <w:pPr>
        <w:jc w:val="both"/>
      </w:pPr>
      <w:r w:rsidRPr="00293BE0">
        <w:t>Que mediante Resolución 0320 del 31 de enero 2025, se adoptó el Manual Técnico Fortalecimiento Familiar y Comunitario V1, al igual que la Guía Operativa del Servicio Somos Familia Somos Comunidad V1, la Guía Operativa del Servicio Tejiendo Interculturalidad V1 y la Guía Operativa del Servicio Presencia para la Convivencia y el Fortalecimiento de Vínculos Familiares y Comunitarios V1.</w:t>
      </w:r>
    </w:p>
    <w:p w14:paraId="2CF83A71" w14:textId="77777777" w:rsidR="00293BE0" w:rsidRPr="00293BE0" w:rsidRDefault="00293BE0" w:rsidP="00293BE0">
      <w:pPr>
        <w:jc w:val="both"/>
      </w:pPr>
      <w:r w:rsidRPr="00293BE0">
        <w:t xml:space="preserve">Que la precitada Resolución en su artículo 3° adoptó la </w:t>
      </w:r>
      <w:r w:rsidRPr="00293BE0">
        <w:rPr>
          <w:i/>
          <w:iCs/>
        </w:rPr>
        <w:t>“Guía Operativa del Servicio Tejiendo Interculturalidad V1”</w:t>
      </w:r>
      <w:r w:rsidRPr="00293BE0">
        <w:t>.</w:t>
      </w:r>
    </w:p>
    <w:p w14:paraId="49E6CCEA" w14:textId="77777777" w:rsidR="00293BE0" w:rsidRPr="00293BE0" w:rsidRDefault="00293BE0" w:rsidP="00293BE0">
      <w:pPr>
        <w:jc w:val="both"/>
      </w:pPr>
      <w:r w:rsidRPr="00293BE0">
        <w:lastRenderedPageBreak/>
        <w:t>Que en la Guía Operativa del Servicio Tejiendo Interculturalidad V1, en el acápite Componentes del Servicio – Estructura de Costos se indicó que los rubros financiables del gasto administrativo para la implementación de la Guía Operativa - Tejiendo Interculturalidad están calculados en el 8% de los aportes del ICBF al valor total del contrato.</w:t>
      </w:r>
    </w:p>
    <w:p w14:paraId="0A50C272" w14:textId="1686714B" w:rsidR="00293BE0" w:rsidRPr="00293BE0" w:rsidRDefault="00293BE0" w:rsidP="00293BE0">
      <w:pPr>
        <w:tabs>
          <w:tab w:val="num" w:pos="720"/>
        </w:tabs>
        <w:jc w:val="both"/>
      </w:pPr>
      <w:r w:rsidRPr="00293BE0">
        <w:t xml:space="preserve">Que en la Guía operativa del servicio Tejiendo Interculturalidad V1, en el acápite de la Fase I: Fase de </w:t>
      </w:r>
      <w:proofErr w:type="gramStart"/>
      <w:r w:rsidRPr="00293BE0">
        <w:t>pre alistamiento</w:t>
      </w:r>
      <w:proofErr w:type="gramEnd"/>
      <w:r w:rsidRPr="00293BE0">
        <w:t xml:space="preserve"> operativo, </w:t>
      </w:r>
      <w:proofErr w:type="spellStart"/>
      <w:r w:rsidRPr="00293BE0">
        <w:t>item</w:t>
      </w:r>
      <w:proofErr w:type="spellEnd"/>
      <w:r w:rsidRPr="00293BE0">
        <w:t xml:space="preserve"> f) Momento de valoración de viabilidad; se señaló que el Comité Técnico de Valoración estaría conformado por:</w:t>
      </w:r>
      <w:r>
        <w:t xml:space="preserve"> 1. </w:t>
      </w:r>
      <w:proofErr w:type="gramStart"/>
      <w:r w:rsidRPr="00293BE0">
        <w:t>Subdirector</w:t>
      </w:r>
      <w:proofErr w:type="gramEnd"/>
      <w:r w:rsidRPr="00293BE0">
        <w:t xml:space="preserve"> (a) de Gestión Técnica para la Atención a la Familia y Comunidades o su delegado(a) </w:t>
      </w:r>
      <w:r>
        <w:t xml:space="preserve">2. </w:t>
      </w:r>
      <w:r w:rsidRPr="00293BE0">
        <w:t>Subdirector (a) de Operación de la Atención a la Familia y Comunidades o su delegado(a).</w:t>
      </w:r>
      <w:r>
        <w:t xml:space="preserve"> 3. </w:t>
      </w:r>
      <w:r w:rsidRPr="00293BE0">
        <w:t xml:space="preserve">Coordinador de Asistencia Técnica de la Regional. Cuando no exista este cargo, la Dirección Regional del ICBF delegará un profesional. </w:t>
      </w:r>
      <w:r>
        <w:t xml:space="preserve">4. </w:t>
      </w:r>
      <w:r w:rsidRPr="00293BE0">
        <w:t xml:space="preserve">Enlace étnico de la Regional. En las regionales ICBF en donde no exista enlace étnico, este será reemplazado por un profesional delegado por la dirección regional. </w:t>
      </w:r>
      <w:r>
        <w:t xml:space="preserve">5. </w:t>
      </w:r>
      <w:r w:rsidRPr="00293BE0">
        <w:t xml:space="preserve">Un profesional de la Subdirección de Gestión Técnica para la Atención a la Familia y Comunidades </w:t>
      </w:r>
      <w:r>
        <w:t xml:space="preserve">6. </w:t>
      </w:r>
      <w:r w:rsidRPr="00293BE0">
        <w:t xml:space="preserve">Un profesional de la Subdirección de Operación de la Atención a la Familias y Comunidades. </w:t>
      </w:r>
    </w:p>
    <w:p w14:paraId="57404E34" w14:textId="52394071" w:rsidR="00293BE0" w:rsidRPr="00293BE0" w:rsidRDefault="00293BE0" w:rsidP="00293BE0">
      <w:pPr>
        <w:jc w:val="both"/>
      </w:pPr>
      <w:proofErr w:type="gramStart"/>
      <w:r w:rsidRPr="00293BE0">
        <w:t>Que</w:t>
      </w:r>
      <w:proofErr w:type="gramEnd"/>
      <w:r w:rsidRPr="00293BE0">
        <w:t xml:space="preserve"> en aras de garantizar la correcta ejecución del contrato y las necesidades de las comunidades en los territorios, se hace necesario modificar la Guía Operativa del Servicio Tejiendo Interculturalidad en el aparte Componentes del Servicio </w:t>
      </w:r>
      <w:r>
        <w:t>–</w:t>
      </w:r>
      <w:r w:rsidRPr="00293BE0">
        <w:t xml:space="preserve"> Estructura de Costos, ajustando el cálculo de los rubros financiables del gasto administrativo para la implementación de la Guía Operativa </w:t>
      </w:r>
      <w:r>
        <w:t>–</w:t>
      </w:r>
      <w:r w:rsidRPr="00293BE0">
        <w:t xml:space="preserve"> Tejiendo Interculturalidad en el 10% de los aportes del ICBF al valor total del contrato.</w:t>
      </w:r>
    </w:p>
    <w:p w14:paraId="590502F8" w14:textId="77777777" w:rsidR="00293BE0" w:rsidRPr="00293BE0" w:rsidRDefault="00293BE0" w:rsidP="00293BE0">
      <w:pPr>
        <w:jc w:val="both"/>
      </w:pPr>
      <w:r w:rsidRPr="00293BE0">
        <w:t xml:space="preserve">Que atendiendo a las competencias del </w:t>
      </w:r>
      <w:proofErr w:type="gramStart"/>
      <w:r w:rsidRPr="00293BE0">
        <w:t>Director</w:t>
      </w:r>
      <w:proofErr w:type="gramEnd"/>
      <w:r w:rsidRPr="00293BE0">
        <w:t xml:space="preserve">(a) de Familias y Comunidades establecidas en el Decreto 987 de 2012, en cuanto a la definición de los lineamientos y esquemas de operación de los servicios ofrecidos para la atención a las familias y comunidades; se hace necesario que el </w:t>
      </w:r>
      <w:proofErr w:type="gramStart"/>
      <w:r w:rsidRPr="00293BE0">
        <w:t>Director</w:t>
      </w:r>
      <w:proofErr w:type="gramEnd"/>
      <w:r w:rsidRPr="00293BE0">
        <w:t>(a) de Familias y Comunidades o su designado haga parte del Comité Técnico de Valoración de las propuestas presentadas, y por lo tanto sea incluido en el mismo. Lo anterior conlleva la necesaria adopción de la Guía Operativa del Servicio Tejiendo Interculturalidad en su versión 2 a través del presente acto administrativo.</w:t>
      </w:r>
    </w:p>
    <w:p w14:paraId="304FDB62" w14:textId="77777777" w:rsidR="00293BE0" w:rsidRPr="00293BE0" w:rsidRDefault="00293BE0" w:rsidP="00293BE0">
      <w:pPr>
        <w:jc w:val="both"/>
      </w:pPr>
      <w:r w:rsidRPr="00293BE0">
        <w:t xml:space="preserve">Que, con el fin de dar cumplimiento al numeral 9 del artículo 3 y el numeral 8 del artículo 8 de la ley 1437 de 2011, el artículo 2.1.2.1.14 del Decreto 1081 de 2015; y el artículo 2 de la Resolución 0353 del 2023 del ICBF, el 9 y 10 de abril se publicaron en la página web del Instituto los siguientes documentos: i) Guía Operativa Servicio Tejiendo Interculturalidad_V22 y </w:t>
      </w:r>
      <w:proofErr w:type="spellStart"/>
      <w:r w:rsidRPr="00293BE0">
        <w:t>ii</w:t>
      </w:r>
      <w:proofErr w:type="spellEnd"/>
      <w:r w:rsidRPr="00293BE0">
        <w:t>) Proyecto Resolución que modifica la resolución 0320 del 31 de enero de 2025, luego de lo cual no se recibieron observaciones de parte de la ciudadanía.</w:t>
      </w:r>
    </w:p>
    <w:p w14:paraId="579E2BCC" w14:textId="2D322038" w:rsidR="00293BE0" w:rsidRDefault="00293BE0" w:rsidP="00293BE0">
      <w:pPr>
        <w:jc w:val="both"/>
      </w:pPr>
      <w:r w:rsidRPr="00293BE0">
        <w:t>En mérito de lo expuesto,</w:t>
      </w:r>
    </w:p>
    <w:p w14:paraId="770ADA95" w14:textId="767088F3" w:rsidR="00293BE0" w:rsidRDefault="00293BE0" w:rsidP="00293BE0">
      <w:pPr>
        <w:jc w:val="both"/>
      </w:pPr>
    </w:p>
    <w:p w14:paraId="5642D82C" w14:textId="77777777" w:rsidR="00293BE0" w:rsidRPr="00293BE0" w:rsidRDefault="00293BE0" w:rsidP="00293BE0">
      <w:pPr>
        <w:jc w:val="both"/>
      </w:pPr>
    </w:p>
    <w:p w14:paraId="0AAB9EAF" w14:textId="64C73B96" w:rsidR="00293BE0" w:rsidRDefault="00293BE0" w:rsidP="00293BE0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RESUELVE </w:t>
      </w:r>
    </w:p>
    <w:p w14:paraId="5D1CD442" w14:textId="77777777" w:rsidR="00293BE0" w:rsidRPr="00293BE0" w:rsidRDefault="00293BE0" w:rsidP="00293BE0">
      <w:pPr>
        <w:jc w:val="both"/>
      </w:pPr>
      <w:r w:rsidRPr="00293BE0">
        <w:rPr>
          <w:b/>
          <w:bCs/>
        </w:rPr>
        <w:t>ARTÍCULO 1°.</w:t>
      </w:r>
      <w:r w:rsidRPr="00293BE0">
        <w:t xml:space="preserve"> </w:t>
      </w:r>
      <w:r w:rsidRPr="00640DB7">
        <w:rPr>
          <w:b/>
          <w:bCs/>
        </w:rPr>
        <w:t>MODIFICAR</w:t>
      </w:r>
      <w:r w:rsidRPr="00293BE0">
        <w:t xml:space="preserve"> el artículo 3° de la Resolución 0320 del 31 de enero 2025, en lo referente a la adopción de la Guía Operativa del Servicio Tejiendo Interculturalidad V1, el cual quedará así:</w:t>
      </w:r>
    </w:p>
    <w:p w14:paraId="3607D8F8" w14:textId="276B78F2" w:rsidR="00293BE0" w:rsidRPr="00293BE0" w:rsidRDefault="00293BE0" w:rsidP="00293BE0">
      <w:pPr>
        <w:jc w:val="both"/>
      </w:pPr>
      <w:r>
        <w:rPr>
          <w:b/>
          <w:bCs/>
        </w:rPr>
        <w:t>“</w:t>
      </w:r>
      <w:r w:rsidRPr="00293BE0">
        <w:rPr>
          <w:b/>
          <w:bCs/>
        </w:rPr>
        <w:t>ARTÍCULO 3°.</w:t>
      </w:r>
      <w:r w:rsidRPr="00293BE0">
        <w:t xml:space="preserve"> Adoptar la </w:t>
      </w:r>
      <w:r w:rsidRPr="00293BE0">
        <w:rPr>
          <w:i/>
          <w:iCs/>
        </w:rPr>
        <w:t>“Guía Operativa del Servicio Tejiendo Interculturalidad V2”</w:t>
      </w:r>
      <w:r w:rsidRPr="00293BE0">
        <w:t>.</w:t>
      </w:r>
      <w:r>
        <w:t>”</w:t>
      </w:r>
    </w:p>
    <w:p w14:paraId="661B78A2" w14:textId="2B65F5CD" w:rsidR="00293BE0" w:rsidRPr="00293BE0" w:rsidRDefault="00293BE0" w:rsidP="00293BE0">
      <w:pPr>
        <w:jc w:val="both"/>
      </w:pPr>
      <w:r w:rsidRPr="00293BE0">
        <w:rPr>
          <w:b/>
          <w:bCs/>
        </w:rPr>
        <w:t>ARTÍCULO 2°.</w:t>
      </w:r>
      <w:r w:rsidRPr="00293BE0">
        <w:t xml:space="preserve"> A través de la Subdirección de Mejoramiento Organizacional, PUBLÍQUESE la </w:t>
      </w:r>
      <w:r w:rsidRPr="00293BE0">
        <w:rPr>
          <w:i/>
          <w:iCs/>
        </w:rPr>
        <w:t>Guía Operativa del Servicio Tejiendo Interculturalidad V2</w:t>
      </w:r>
      <w:r w:rsidRPr="00293BE0">
        <w:t xml:space="preserve"> y la presente Resolución en la página web del ICBF http://www.icbf.gov.co.</w:t>
      </w:r>
    </w:p>
    <w:p w14:paraId="46EFD730" w14:textId="77777777" w:rsidR="00293BE0" w:rsidRPr="00293BE0" w:rsidRDefault="00293BE0" w:rsidP="00293BE0">
      <w:pPr>
        <w:jc w:val="both"/>
      </w:pPr>
      <w:r w:rsidRPr="00293BE0">
        <w:rPr>
          <w:b/>
          <w:bCs/>
        </w:rPr>
        <w:t>ARTÍCULO 3°.</w:t>
      </w:r>
      <w:r w:rsidRPr="00293BE0">
        <w:t xml:space="preserve"> A través de la Oficina Asesora de Comunicaciones, </w:t>
      </w:r>
      <w:r w:rsidRPr="00293BE0">
        <w:rPr>
          <w:b/>
          <w:bCs/>
        </w:rPr>
        <w:t>PUBLÍQUESE</w:t>
      </w:r>
      <w:r w:rsidRPr="00293BE0">
        <w:t xml:space="preserve"> la presente Resolución en el Diario Oficial, de conformidad con el artículo 65 del Código de Procedimiento Administrativo y de lo Contencioso Administrativo.</w:t>
      </w:r>
    </w:p>
    <w:p w14:paraId="7A1F1B55" w14:textId="10516490" w:rsidR="00293BE0" w:rsidRPr="00293BE0" w:rsidRDefault="00293BE0" w:rsidP="00293BE0">
      <w:pPr>
        <w:jc w:val="both"/>
      </w:pPr>
      <w:r w:rsidRPr="00293BE0">
        <w:rPr>
          <w:b/>
          <w:bCs/>
        </w:rPr>
        <w:t>ARTÍCULO 4°.</w:t>
      </w:r>
      <w:r w:rsidRPr="00293BE0">
        <w:t xml:space="preserve"> </w:t>
      </w:r>
      <w:r w:rsidRPr="00640DB7">
        <w:rPr>
          <w:b/>
          <w:bCs/>
        </w:rPr>
        <w:t>VIGENCIA.</w:t>
      </w:r>
      <w:r>
        <w:t xml:space="preserve"> </w:t>
      </w:r>
      <w:r w:rsidR="00640DB7">
        <w:t>[</w:t>
      </w:r>
      <w:r w:rsidRPr="00293BE0">
        <w:t>R</w:t>
      </w:r>
      <w:r>
        <w:t xml:space="preserve">esolución </w:t>
      </w:r>
      <w:r w:rsidRPr="00293BE0">
        <w:t>Derogada Por El Artículo 9 De La Resolución 7858 De 2025</w:t>
      </w:r>
      <w:r w:rsidR="00640DB7">
        <w:t>]</w:t>
      </w:r>
      <w:r w:rsidRPr="00293BE0">
        <w:t xml:space="preserve"> La presente Resolución rige a partir de su publicación en el diario oficial. Las demás disposiciones de la Resolución 0320 del 31 de enero 2025, se mantienen incólumes.</w:t>
      </w:r>
    </w:p>
    <w:p w14:paraId="16689659" w14:textId="77777777" w:rsidR="00293BE0" w:rsidRPr="00640DB7" w:rsidRDefault="00293BE0" w:rsidP="00293BE0">
      <w:pPr>
        <w:jc w:val="center"/>
        <w:rPr>
          <w:b/>
          <w:bCs/>
        </w:rPr>
      </w:pPr>
      <w:r w:rsidRPr="00640DB7">
        <w:rPr>
          <w:b/>
          <w:bCs/>
        </w:rPr>
        <w:t>PUBLÍQUESE, COMUNÍQUESE Y CÚMPLASE</w:t>
      </w:r>
    </w:p>
    <w:p w14:paraId="455CA195" w14:textId="5508FA53" w:rsidR="00293BE0" w:rsidRPr="00293BE0" w:rsidRDefault="00293BE0" w:rsidP="00293BE0">
      <w:pPr>
        <w:jc w:val="center"/>
      </w:pPr>
      <w:r w:rsidRPr="00293BE0">
        <w:t>Dada en Bogotá D.C.,</w:t>
      </w:r>
      <w:r>
        <w:t xml:space="preserve"> </w:t>
      </w:r>
      <w:proofErr w:type="gramStart"/>
      <w:r>
        <w:t>a los</w:t>
      </w:r>
      <w:r w:rsidRPr="00293BE0">
        <w:t xml:space="preserve"> 28 de abril de 2025</w:t>
      </w:r>
      <w:proofErr w:type="gramEnd"/>
    </w:p>
    <w:p w14:paraId="0DAFB563" w14:textId="77777777" w:rsidR="00293BE0" w:rsidRPr="00293BE0" w:rsidRDefault="00293BE0" w:rsidP="00293BE0">
      <w:pPr>
        <w:jc w:val="center"/>
      </w:pPr>
      <w:r w:rsidRPr="00640DB7">
        <w:rPr>
          <w:b/>
          <w:bCs/>
        </w:rPr>
        <w:t>ASTRID ELIANA CÁCERES CÁRDENAS</w:t>
      </w:r>
      <w:r w:rsidRPr="00293BE0">
        <w:br/>
      </w:r>
      <w:proofErr w:type="gramStart"/>
      <w:r w:rsidRPr="00293BE0">
        <w:t>Directora General</w:t>
      </w:r>
      <w:proofErr w:type="gramEnd"/>
    </w:p>
    <w:p w14:paraId="4A45CD5F" w14:textId="77777777" w:rsidR="00293BE0" w:rsidRPr="00293BE0" w:rsidRDefault="00293BE0" w:rsidP="00293BE0">
      <w:pPr>
        <w:jc w:val="both"/>
      </w:pPr>
    </w:p>
    <w:sectPr w:rsidR="00293BE0" w:rsidRPr="00293B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85F34"/>
    <w:multiLevelType w:val="multilevel"/>
    <w:tmpl w:val="53CA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40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27"/>
    <w:rsid w:val="001F1627"/>
    <w:rsid w:val="00293BE0"/>
    <w:rsid w:val="00640DB7"/>
    <w:rsid w:val="0081255F"/>
    <w:rsid w:val="009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1338"/>
  <w15:chartTrackingRefBased/>
  <w15:docId w15:val="{C6796ADC-56A2-4685-9D7F-821BD690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3BE0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293B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E3FE7-CB42-4C2B-A611-CA0445C89E75}"/>
</file>

<file path=customXml/itemProps2.xml><?xml version="1.0" encoding="utf-8"?>
<ds:datastoreItem xmlns:ds="http://schemas.openxmlformats.org/officeDocument/2006/customXml" ds:itemID="{E50BF53F-402B-44FD-A37B-1C2E8008D1C2}"/>
</file>

<file path=customXml/itemProps3.xml><?xml version="1.0" encoding="utf-8"?>
<ds:datastoreItem xmlns:ds="http://schemas.openxmlformats.org/officeDocument/2006/customXml" ds:itemID="{E133854A-562D-4C23-8766-47EB4234D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1031</Words>
  <Characters>5305</Characters>
  <Application>Microsoft Office Word</Application>
  <DocSecurity>0</DocSecurity>
  <Lines>104</Lines>
  <Paragraphs>38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2026-03-24T04:56:00Z</dcterms:created>
  <dcterms:modified xsi:type="dcterms:W3CDTF">2026-04-06T21:10:00Z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