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98B57" w14:textId="77777777" w:rsidR="00C60BF5" w:rsidRDefault="00000000">
      <w:pPr>
        <w:spacing w:after="160" w:line="240" w:lineRule="auto"/>
        <w:jc w:val="center"/>
        <w:rPr>
          <w:rFonts w:ascii="Verdana" w:eastAsia="Verdana" w:hAnsi="Verdana" w:cs="Verdana"/>
          <w:b/>
          <w:bCs/>
        </w:rPr>
      </w:pPr>
      <w:r>
        <w:rPr>
          <w:rFonts w:ascii="Verdana" w:eastAsia="Verdana" w:hAnsi="Verdana" w:cs="Verdana"/>
          <w:b/>
          <w:bCs/>
        </w:rPr>
        <w:t>RESOLUCIÓN 1740 DE 2010</w:t>
      </w:r>
    </w:p>
    <w:p w14:paraId="6A6371F4" w14:textId="77777777" w:rsidR="00C60BF5" w:rsidRDefault="00000000">
      <w:pPr>
        <w:spacing w:line="240" w:lineRule="auto"/>
        <w:rPr>
          <w:rFonts w:ascii="Verdana" w:eastAsia="Verdana" w:hAnsi="Verdana" w:cs="Verdana"/>
        </w:rPr>
      </w:pPr>
      <w:r>
        <w:rPr>
          <w:rFonts w:ascii="Verdana" w:eastAsia="Verdana" w:hAnsi="Verdana" w:cs="Verdana"/>
        </w:rPr>
        <w:t>Fecha de Expedición: 27 de abril de 2010</w:t>
      </w:r>
    </w:p>
    <w:p w14:paraId="04178678" w14:textId="77777777" w:rsidR="00C60BF5"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xml:space="preserve">: </w:t>
      </w:r>
      <w:r>
        <w:rPr>
          <w:rFonts w:ascii="Verdana" w:eastAsia="Verdana" w:hAnsi="Verdana" w:cs="Verdana"/>
          <w:highlight w:val="white"/>
        </w:rPr>
        <w:t xml:space="preserve"> 5 de mayo de 2010</w:t>
      </w:r>
    </w:p>
    <w:p w14:paraId="158E617E" w14:textId="77777777" w:rsidR="00C60BF5"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123EE595" w14:textId="77777777" w:rsidR="00C60BF5" w:rsidRDefault="00C60BF5">
      <w:pPr>
        <w:spacing w:line="240" w:lineRule="auto"/>
        <w:rPr>
          <w:rFonts w:ascii="Verdana" w:eastAsia="Verdana" w:hAnsi="Verdana" w:cs="Verdana"/>
        </w:rPr>
      </w:pPr>
    </w:p>
    <w:p w14:paraId="11FA518F" w14:textId="77777777" w:rsidR="00C60BF5" w:rsidRDefault="00000000">
      <w:pPr>
        <w:spacing w:line="240" w:lineRule="auto"/>
        <w:rPr>
          <w:rFonts w:ascii="Verdana" w:eastAsia="Verdana" w:hAnsi="Verdana" w:cs="Verdana"/>
          <w:highlight w:val="white"/>
        </w:rPr>
      </w:pPr>
      <w:r>
        <w:rPr>
          <w:rFonts w:ascii="Verdana" w:eastAsia="Verdana" w:hAnsi="Verdana" w:cs="Verdana"/>
        </w:rPr>
        <w:t>Fecha de publicación en Diario Oficial:</w:t>
      </w:r>
      <w:r>
        <w:rPr>
          <w:rFonts w:ascii="Verdana" w:eastAsia="Verdana" w:hAnsi="Verdana" w:cs="Verdana"/>
          <w:highlight w:val="white"/>
        </w:rPr>
        <w:t xml:space="preserve"> 5 de mayo de 2010</w:t>
      </w:r>
    </w:p>
    <w:p w14:paraId="4B1798EA" w14:textId="77777777" w:rsidR="00C60BF5"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47.700  </w:t>
      </w:r>
    </w:p>
    <w:p w14:paraId="63522B29" w14:textId="77777777" w:rsidR="00C60BF5" w:rsidRDefault="00C60BF5">
      <w:pPr>
        <w:spacing w:line="240" w:lineRule="auto"/>
        <w:rPr>
          <w:rFonts w:ascii="Verdana" w:eastAsia="Verdana" w:hAnsi="Verdana" w:cs="Verdana"/>
          <w:highlight w:val="white"/>
        </w:rPr>
      </w:pPr>
    </w:p>
    <w:p w14:paraId="624EC226" w14:textId="77777777" w:rsidR="00C60BF5" w:rsidRDefault="00000000">
      <w:pPr>
        <w:spacing w:after="160" w:line="240" w:lineRule="auto"/>
        <w:jc w:val="center"/>
        <w:rPr>
          <w:rFonts w:ascii="Verdana" w:eastAsia="Verdana" w:hAnsi="Verdana" w:cs="Verdana"/>
          <w:b/>
          <w:bCs/>
        </w:rPr>
      </w:pPr>
      <w:r>
        <w:rPr>
          <w:rFonts w:ascii="Verdana" w:eastAsia="Verdana" w:hAnsi="Verdana" w:cs="Verdana"/>
          <w:b/>
          <w:bCs/>
        </w:rPr>
        <w:t>RESOLUCIÓN 1740 2010</w:t>
      </w:r>
    </w:p>
    <w:p w14:paraId="027B081F" w14:textId="77777777" w:rsidR="00C60BF5" w:rsidRDefault="00000000">
      <w:pPr>
        <w:spacing w:after="160" w:line="240" w:lineRule="auto"/>
        <w:jc w:val="center"/>
        <w:rPr>
          <w:rFonts w:ascii="Verdana" w:eastAsia="Verdana" w:hAnsi="Verdana" w:cs="Verdana"/>
        </w:rPr>
      </w:pPr>
      <w:r>
        <w:rPr>
          <w:rFonts w:ascii="Verdana" w:eastAsia="Verdana" w:hAnsi="Verdana" w:cs="Verdana"/>
        </w:rPr>
        <w:t>(27 de abril)</w:t>
      </w:r>
    </w:p>
    <w:p w14:paraId="44F33858" w14:textId="77777777" w:rsidR="00C60BF5"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41C572D2" w14:textId="77777777" w:rsidR="00C60BF5" w:rsidRDefault="00000000">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Por la cual se regula la tasa compensatoria que deben pagar los padres de familia o personas responsables de </w:t>
      </w:r>
      <w:proofErr w:type="gramStart"/>
      <w:r>
        <w:rPr>
          <w:rFonts w:ascii="Verdana" w:eastAsia="Verdana" w:hAnsi="Verdana" w:cs="Verdana"/>
          <w:highlight w:val="white"/>
        </w:rPr>
        <w:t>los niños y niñas</w:t>
      </w:r>
      <w:proofErr w:type="gramEnd"/>
      <w:r>
        <w:rPr>
          <w:rFonts w:ascii="Verdana" w:eastAsia="Verdana" w:hAnsi="Verdana" w:cs="Verdana"/>
          <w:highlight w:val="white"/>
        </w:rPr>
        <w:t xml:space="preserve"> usuarios de los Hogares Infantiles.</w:t>
      </w:r>
    </w:p>
    <w:p w14:paraId="4ED2AD84" w14:textId="77777777" w:rsidR="00C60BF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35788E2" w14:textId="3F1B42A5" w:rsidR="00C60BF5"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legales y estatutarias, en especial las conferidas por el artículo </w:t>
      </w:r>
      <w:r w:rsidR="00C60BF5">
        <w:rPr>
          <w:rFonts w:ascii="Verdana" w:eastAsia="Verdana" w:hAnsi="Verdana" w:cs="Verdana"/>
          <w:highlight w:val="white"/>
        </w:rPr>
        <w:t>78</w:t>
      </w:r>
      <w:r>
        <w:rPr>
          <w:rFonts w:ascii="Verdana" w:eastAsia="Verdana" w:hAnsi="Verdana" w:cs="Verdana"/>
          <w:highlight w:val="white"/>
        </w:rPr>
        <w:t xml:space="preserve"> de la Ley 489 de 1998 y el parágrafo del artículo </w:t>
      </w:r>
      <w:r w:rsidR="00C60BF5">
        <w:rPr>
          <w:rFonts w:ascii="Verdana" w:eastAsia="Verdana" w:hAnsi="Verdana" w:cs="Verdana"/>
          <w:highlight w:val="white"/>
        </w:rPr>
        <w:t>2</w:t>
      </w:r>
      <w:r>
        <w:rPr>
          <w:rFonts w:ascii="Verdana" w:eastAsia="Verdana" w:hAnsi="Verdana" w:cs="Verdana"/>
          <w:highlight w:val="white"/>
        </w:rPr>
        <w:t>o del Decreto 1490 de 2008, y</w:t>
      </w:r>
    </w:p>
    <w:p w14:paraId="502AF71B" w14:textId="77777777" w:rsidR="00C60BF5"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1B5698B5" w14:textId="6DEDE2D2" w:rsidR="00C60BF5" w:rsidRDefault="00000000">
      <w:pPr>
        <w:spacing w:after="280" w:line="426" w:lineRule="auto"/>
        <w:jc w:val="both"/>
        <w:rPr>
          <w:rFonts w:ascii="Verdana" w:eastAsia="Verdana" w:hAnsi="Verdana" w:cs="Verdana"/>
        </w:rPr>
      </w:pPr>
      <w:r>
        <w:rPr>
          <w:rFonts w:ascii="Verdana" w:eastAsia="Verdana" w:hAnsi="Verdana" w:cs="Verdana"/>
        </w:rPr>
        <w:t xml:space="preserve">Que conforme a lo dispuesto en el artículo </w:t>
      </w:r>
      <w:r w:rsidR="00C60BF5">
        <w:rPr>
          <w:rFonts w:ascii="Verdana" w:eastAsia="Verdana" w:hAnsi="Verdana" w:cs="Verdana"/>
        </w:rPr>
        <w:t>44</w:t>
      </w:r>
      <w:r>
        <w:rPr>
          <w:rFonts w:ascii="Verdana" w:eastAsia="Verdana" w:hAnsi="Verdana" w:cs="Verdana"/>
        </w:rPr>
        <w:t xml:space="preserve"> de la Constitución Política, la familia, la sociedad y el Estado tienen la obligación de asistir y proteger al niño para garantizar su desarrollo armónico e integral y el ejercicio pleno de sus derechos, los cuales prevalecen sobre los derechos de los demás. Las tasas compensatorias concretan algunos de los apartes de la citada norma al prever la participación de los padres o personas responsables de </w:t>
      </w:r>
      <w:proofErr w:type="gramStart"/>
      <w:r>
        <w:rPr>
          <w:rFonts w:ascii="Verdana" w:eastAsia="Verdana" w:hAnsi="Verdana" w:cs="Verdana"/>
        </w:rPr>
        <w:t>los niños y niñas</w:t>
      </w:r>
      <w:proofErr w:type="gramEnd"/>
      <w:r>
        <w:rPr>
          <w:rFonts w:ascii="Verdana" w:eastAsia="Verdana" w:hAnsi="Verdana" w:cs="Verdana"/>
        </w:rPr>
        <w:t xml:space="preserve"> en la atención que se les presta a través de los Hogares Infantiles;</w:t>
      </w:r>
    </w:p>
    <w:p w14:paraId="642D1FAF" w14:textId="3EC7CEB6" w:rsidR="00C60BF5" w:rsidRDefault="00000000">
      <w:pPr>
        <w:spacing w:after="280" w:line="426" w:lineRule="auto"/>
        <w:jc w:val="both"/>
        <w:rPr>
          <w:rFonts w:ascii="Verdana" w:eastAsia="Verdana" w:hAnsi="Verdana" w:cs="Verdana"/>
        </w:rPr>
      </w:pPr>
      <w:r>
        <w:rPr>
          <w:rFonts w:ascii="Verdana" w:eastAsia="Verdana" w:hAnsi="Verdana" w:cs="Verdana"/>
        </w:rPr>
        <w:t xml:space="preserve">Que el Consejo Directivo del Instituto Colombiano de Bienestar Familiar Cecilia de la Fuente de Lleras, por medio del Acuerdo número </w:t>
      </w:r>
      <w:r w:rsidR="00C60BF5">
        <w:rPr>
          <w:rFonts w:ascii="Verdana" w:eastAsia="Verdana" w:hAnsi="Verdana" w:cs="Verdana"/>
        </w:rPr>
        <w:t>05</w:t>
      </w:r>
      <w:r>
        <w:rPr>
          <w:rFonts w:ascii="Verdana" w:eastAsia="Verdana" w:hAnsi="Verdana" w:cs="Verdana"/>
        </w:rPr>
        <w:t xml:space="preserve"> del 3 de abril de 2002, fijó la tasa compensatoria a cargo de los padres o personas responsables del cuidado de </w:t>
      </w:r>
      <w:proofErr w:type="gramStart"/>
      <w:r>
        <w:rPr>
          <w:rFonts w:ascii="Verdana" w:eastAsia="Verdana" w:hAnsi="Verdana" w:cs="Verdana"/>
        </w:rPr>
        <w:t>los niños y niñas</w:t>
      </w:r>
      <w:proofErr w:type="gramEnd"/>
      <w:r>
        <w:rPr>
          <w:rFonts w:ascii="Verdana" w:eastAsia="Verdana" w:hAnsi="Verdana" w:cs="Verdana"/>
        </w:rPr>
        <w:t xml:space="preserve"> usuarios del Programa Hogares Infantiles, tomando como base los ingresos familiares y el salario mínimo legal mensual vigente;</w:t>
      </w:r>
    </w:p>
    <w:p w14:paraId="322564CD" w14:textId="364A5637" w:rsidR="00C60BF5"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mediante el parágrafo del artículo </w:t>
      </w:r>
      <w:r w:rsidR="00C60BF5">
        <w:rPr>
          <w:rFonts w:ascii="Verdana" w:eastAsia="Verdana" w:hAnsi="Verdana" w:cs="Verdana"/>
        </w:rPr>
        <w:t>2</w:t>
      </w:r>
      <w:r>
        <w:rPr>
          <w:rFonts w:ascii="Verdana" w:eastAsia="Verdana" w:hAnsi="Verdana" w:cs="Verdana"/>
        </w:rPr>
        <w:t xml:space="preserve">o del Decreto número 1490 de 2008 se autorizó al </w:t>
      </w:r>
      <w:proofErr w:type="gramStart"/>
      <w:r>
        <w:rPr>
          <w:rFonts w:ascii="Verdana" w:eastAsia="Verdana" w:hAnsi="Verdana" w:cs="Verdana"/>
        </w:rPr>
        <w:t>Director General</w:t>
      </w:r>
      <w:proofErr w:type="gramEnd"/>
      <w:r>
        <w:rPr>
          <w:rFonts w:ascii="Verdana" w:eastAsia="Verdana" w:hAnsi="Verdana" w:cs="Verdana"/>
        </w:rPr>
        <w:t xml:space="preserve"> del ICBF a establecer las cuotas de participación que deben pagar los padres de familia en las modalidades de atención de la primera infancia y demás programas;</w:t>
      </w:r>
    </w:p>
    <w:p w14:paraId="5F98D959" w14:textId="77777777" w:rsidR="00C60BF5"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para responder a las actuales directrices del Gobierno Nacional en materia de focalización de la población vulnerable, se hace necesario establecer una escala progresiva y equitativa de tasas compensatorias que tenga en cuenta las diferencias de ingresos de las familias usuarias;</w:t>
      </w:r>
    </w:p>
    <w:p w14:paraId="05D7131D" w14:textId="77777777" w:rsidR="00C60BF5"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 conformidad con los considerandos anteriores, se hace necesario regular el aporte para la cofinanciación de la modalidad Hogares Infantiles por las familias usuarias mediante tasas compensatorias;</w:t>
      </w:r>
    </w:p>
    <w:p w14:paraId="2704E29A" w14:textId="77777777" w:rsidR="00C60BF5"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1760817" w14:textId="77777777" w:rsidR="00C60BF5"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2820FB2D"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 xml:space="preserve">ARTÍCULO 1o. TASAS COMPENSATORIAS. </w:t>
      </w:r>
      <w:r>
        <w:rPr>
          <w:rFonts w:ascii="Verdana" w:eastAsia="Verdana" w:hAnsi="Verdana" w:cs="Verdana"/>
        </w:rPr>
        <w:t xml:space="preserve">La tasa compensatoria que deben aportar los padres de familia o personas responsables del cuidado de los niños o niñas usuarios de los Hogares </w:t>
      </w:r>
      <w:proofErr w:type="gramStart"/>
      <w:r>
        <w:rPr>
          <w:rFonts w:ascii="Verdana" w:eastAsia="Verdana" w:hAnsi="Verdana" w:cs="Verdana"/>
        </w:rPr>
        <w:t>Infantiles,</w:t>
      </w:r>
      <w:proofErr w:type="gramEnd"/>
      <w:r>
        <w:rPr>
          <w:rFonts w:ascii="Verdana" w:eastAsia="Verdana" w:hAnsi="Verdana" w:cs="Verdana"/>
        </w:rPr>
        <w:t xml:space="preserve"> será la resultante de aplicar la siguiente tabla tomando como base los ingresos familiares y el salario mínimo legal mensual vigente: </w:t>
      </w:r>
    </w:p>
    <w:tbl>
      <w:tblPr>
        <w:tblStyle w:val="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4515"/>
        <w:gridCol w:w="3630"/>
      </w:tblGrid>
      <w:tr w:rsidR="00C60BF5" w14:paraId="79C8500A" w14:textId="77777777">
        <w:trPr>
          <w:trHeight w:val="540"/>
        </w:trPr>
        <w:tc>
          <w:tcPr>
            <w:tcW w:w="705" w:type="dxa"/>
            <w:tcBorders>
              <w:top w:val="nil"/>
              <w:left w:val="nil"/>
              <w:bottom w:val="nil"/>
              <w:right w:val="nil"/>
            </w:tcBorders>
            <w:tcMar>
              <w:top w:w="0" w:type="dxa"/>
              <w:left w:w="0" w:type="dxa"/>
              <w:bottom w:w="0" w:type="dxa"/>
              <w:right w:w="0" w:type="dxa"/>
            </w:tcMar>
          </w:tcPr>
          <w:p w14:paraId="1450B642" w14:textId="77777777" w:rsidR="00C60BF5" w:rsidRDefault="00000000">
            <w:pPr>
              <w:spacing w:before="240" w:after="240" w:line="426" w:lineRule="auto"/>
              <w:jc w:val="both"/>
              <w:rPr>
                <w:rFonts w:ascii="Verdana" w:eastAsia="Verdana" w:hAnsi="Verdana" w:cs="Verdana"/>
                <w:b/>
                <w:bCs/>
              </w:rPr>
            </w:pPr>
            <w:r>
              <w:rPr>
                <w:rFonts w:ascii="Verdana" w:eastAsia="Verdana" w:hAnsi="Verdana" w:cs="Verdana"/>
                <w:b/>
                <w:bCs/>
              </w:rPr>
              <w:t>Nivel</w:t>
            </w:r>
          </w:p>
        </w:tc>
        <w:tc>
          <w:tcPr>
            <w:tcW w:w="4515" w:type="dxa"/>
            <w:tcBorders>
              <w:top w:val="nil"/>
              <w:left w:val="nil"/>
              <w:bottom w:val="nil"/>
              <w:right w:val="nil"/>
            </w:tcBorders>
            <w:tcMar>
              <w:top w:w="0" w:type="dxa"/>
              <w:left w:w="0" w:type="dxa"/>
              <w:bottom w:w="0" w:type="dxa"/>
              <w:right w:w="0" w:type="dxa"/>
            </w:tcMar>
          </w:tcPr>
          <w:p w14:paraId="776CB6D6" w14:textId="77777777" w:rsidR="00C60BF5" w:rsidRDefault="00000000">
            <w:pPr>
              <w:spacing w:before="240" w:after="240" w:line="426" w:lineRule="auto"/>
              <w:jc w:val="both"/>
              <w:rPr>
                <w:rFonts w:ascii="Verdana" w:eastAsia="Verdana" w:hAnsi="Verdana" w:cs="Verdana"/>
                <w:b/>
                <w:bCs/>
              </w:rPr>
            </w:pPr>
            <w:r>
              <w:rPr>
                <w:rFonts w:ascii="Verdana" w:eastAsia="Verdana" w:hAnsi="Verdana" w:cs="Verdana"/>
                <w:b/>
                <w:bCs/>
              </w:rPr>
              <w:t>Ingresos familiares según escala salarial (SMMLV)</w:t>
            </w:r>
          </w:p>
        </w:tc>
        <w:tc>
          <w:tcPr>
            <w:tcW w:w="3630" w:type="dxa"/>
            <w:tcBorders>
              <w:top w:val="nil"/>
              <w:left w:val="nil"/>
              <w:bottom w:val="nil"/>
              <w:right w:val="nil"/>
            </w:tcBorders>
            <w:tcMar>
              <w:top w:w="0" w:type="dxa"/>
              <w:left w:w="0" w:type="dxa"/>
              <w:bottom w:w="0" w:type="dxa"/>
              <w:right w:w="0" w:type="dxa"/>
            </w:tcMar>
          </w:tcPr>
          <w:p w14:paraId="20AF226C" w14:textId="77777777" w:rsidR="00C60BF5" w:rsidRDefault="00000000">
            <w:pPr>
              <w:spacing w:before="240" w:after="240" w:line="426" w:lineRule="auto"/>
              <w:jc w:val="both"/>
              <w:rPr>
                <w:rFonts w:ascii="Verdana" w:eastAsia="Verdana" w:hAnsi="Verdana" w:cs="Verdana"/>
                <w:b/>
                <w:bCs/>
              </w:rPr>
            </w:pPr>
            <w:r>
              <w:rPr>
                <w:rFonts w:ascii="Verdana" w:eastAsia="Verdana" w:hAnsi="Verdana" w:cs="Verdana"/>
                <w:b/>
                <w:bCs/>
              </w:rPr>
              <w:t>Porcentaje de Tasa Compensatoria</w:t>
            </w:r>
          </w:p>
        </w:tc>
      </w:tr>
      <w:tr w:rsidR="00C60BF5" w14:paraId="4D14267C" w14:textId="77777777">
        <w:trPr>
          <w:trHeight w:val="540"/>
        </w:trPr>
        <w:tc>
          <w:tcPr>
            <w:tcW w:w="705" w:type="dxa"/>
            <w:tcBorders>
              <w:top w:val="nil"/>
              <w:left w:val="nil"/>
              <w:bottom w:val="nil"/>
              <w:right w:val="nil"/>
            </w:tcBorders>
            <w:tcMar>
              <w:top w:w="0" w:type="dxa"/>
              <w:left w:w="0" w:type="dxa"/>
              <w:bottom w:w="0" w:type="dxa"/>
              <w:right w:w="0" w:type="dxa"/>
            </w:tcMar>
          </w:tcPr>
          <w:p w14:paraId="14B3826D"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1</w:t>
            </w:r>
          </w:p>
        </w:tc>
        <w:tc>
          <w:tcPr>
            <w:tcW w:w="4515" w:type="dxa"/>
            <w:tcBorders>
              <w:top w:val="nil"/>
              <w:left w:val="nil"/>
              <w:bottom w:val="nil"/>
              <w:right w:val="nil"/>
            </w:tcBorders>
            <w:tcMar>
              <w:top w:w="0" w:type="dxa"/>
              <w:left w:w="0" w:type="dxa"/>
              <w:bottom w:w="0" w:type="dxa"/>
              <w:right w:w="0" w:type="dxa"/>
            </w:tcMar>
          </w:tcPr>
          <w:p w14:paraId="459F4D90"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Sin ingresos y hasta un salario mínimo legal vigente</w:t>
            </w:r>
          </w:p>
        </w:tc>
        <w:tc>
          <w:tcPr>
            <w:tcW w:w="3630" w:type="dxa"/>
            <w:tcBorders>
              <w:top w:val="nil"/>
              <w:left w:val="nil"/>
              <w:bottom w:val="nil"/>
              <w:right w:val="nil"/>
            </w:tcBorders>
            <w:tcMar>
              <w:top w:w="0" w:type="dxa"/>
              <w:left w:w="0" w:type="dxa"/>
              <w:bottom w:w="0" w:type="dxa"/>
              <w:right w:w="0" w:type="dxa"/>
            </w:tcMar>
          </w:tcPr>
          <w:p w14:paraId="0B6F6F79"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3,0% de 1 SMML.V</w:t>
            </w:r>
          </w:p>
        </w:tc>
      </w:tr>
      <w:tr w:rsidR="00C60BF5" w14:paraId="2B181ABA" w14:textId="77777777">
        <w:trPr>
          <w:trHeight w:val="270"/>
        </w:trPr>
        <w:tc>
          <w:tcPr>
            <w:tcW w:w="705" w:type="dxa"/>
            <w:tcBorders>
              <w:top w:val="nil"/>
              <w:left w:val="nil"/>
              <w:bottom w:val="nil"/>
              <w:right w:val="nil"/>
            </w:tcBorders>
            <w:tcMar>
              <w:top w:w="0" w:type="dxa"/>
              <w:left w:w="0" w:type="dxa"/>
              <w:bottom w:w="0" w:type="dxa"/>
              <w:right w:w="0" w:type="dxa"/>
            </w:tcMar>
          </w:tcPr>
          <w:p w14:paraId="19153F5C"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lastRenderedPageBreak/>
              <w:t>2</w:t>
            </w:r>
          </w:p>
        </w:tc>
        <w:tc>
          <w:tcPr>
            <w:tcW w:w="4515" w:type="dxa"/>
            <w:tcBorders>
              <w:top w:val="nil"/>
              <w:left w:val="nil"/>
              <w:bottom w:val="nil"/>
              <w:right w:val="nil"/>
            </w:tcBorders>
            <w:tcMar>
              <w:top w:w="0" w:type="dxa"/>
              <w:left w:w="0" w:type="dxa"/>
              <w:bottom w:w="0" w:type="dxa"/>
              <w:right w:w="0" w:type="dxa"/>
            </w:tcMar>
          </w:tcPr>
          <w:p w14:paraId="5F2C7DDE"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1 SMMLV y hasta 1,5 SMMLV</w:t>
            </w:r>
          </w:p>
        </w:tc>
        <w:tc>
          <w:tcPr>
            <w:tcW w:w="3630" w:type="dxa"/>
            <w:tcBorders>
              <w:top w:val="nil"/>
              <w:left w:val="nil"/>
              <w:bottom w:val="nil"/>
              <w:right w:val="nil"/>
            </w:tcBorders>
            <w:tcMar>
              <w:top w:w="0" w:type="dxa"/>
              <w:left w:w="0" w:type="dxa"/>
              <w:bottom w:w="0" w:type="dxa"/>
              <w:right w:w="0" w:type="dxa"/>
            </w:tcMar>
          </w:tcPr>
          <w:p w14:paraId="48E5987F"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3,5% de 1,5 SMMLV</w:t>
            </w:r>
          </w:p>
        </w:tc>
      </w:tr>
      <w:tr w:rsidR="00C60BF5" w14:paraId="6FFD837D" w14:textId="77777777">
        <w:trPr>
          <w:trHeight w:val="270"/>
        </w:trPr>
        <w:tc>
          <w:tcPr>
            <w:tcW w:w="705" w:type="dxa"/>
            <w:tcBorders>
              <w:top w:val="nil"/>
              <w:left w:val="nil"/>
              <w:bottom w:val="nil"/>
              <w:right w:val="nil"/>
            </w:tcBorders>
            <w:tcMar>
              <w:top w:w="0" w:type="dxa"/>
              <w:left w:w="0" w:type="dxa"/>
              <w:bottom w:w="0" w:type="dxa"/>
              <w:right w:w="0" w:type="dxa"/>
            </w:tcMar>
          </w:tcPr>
          <w:p w14:paraId="56C61C3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3</w:t>
            </w:r>
          </w:p>
        </w:tc>
        <w:tc>
          <w:tcPr>
            <w:tcW w:w="4515" w:type="dxa"/>
            <w:tcBorders>
              <w:top w:val="nil"/>
              <w:left w:val="nil"/>
              <w:bottom w:val="nil"/>
              <w:right w:val="nil"/>
            </w:tcBorders>
            <w:tcMar>
              <w:top w:w="0" w:type="dxa"/>
              <w:left w:w="0" w:type="dxa"/>
              <w:bottom w:w="0" w:type="dxa"/>
              <w:right w:w="0" w:type="dxa"/>
            </w:tcMar>
          </w:tcPr>
          <w:p w14:paraId="0934A71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1,5 SMMLV y hasta 2 SMMLV</w:t>
            </w:r>
          </w:p>
        </w:tc>
        <w:tc>
          <w:tcPr>
            <w:tcW w:w="3630" w:type="dxa"/>
            <w:tcBorders>
              <w:top w:val="nil"/>
              <w:left w:val="nil"/>
              <w:bottom w:val="nil"/>
              <w:right w:val="nil"/>
            </w:tcBorders>
            <w:tcMar>
              <w:top w:w="0" w:type="dxa"/>
              <w:left w:w="0" w:type="dxa"/>
              <w:bottom w:w="0" w:type="dxa"/>
              <w:right w:w="0" w:type="dxa"/>
            </w:tcMar>
          </w:tcPr>
          <w:p w14:paraId="43FA2F8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4,0% de 2 SMMLV</w:t>
            </w:r>
          </w:p>
        </w:tc>
      </w:tr>
      <w:tr w:rsidR="00C60BF5" w14:paraId="1FABE494" w14:textId="77777777">
        <w:trPr>
          <w:trHeight w:val="270"/>
        </w:trPr>
        <w:tc>
          <w:tcPr>
            <w:tcW w:w="705" w:type="dxa"/>
            <w:tcBorders>
              <w:top w:val="nil"/>
              <w:left w:val="nil"/>
              <w:bottom w:val="nil"/>
              <w:right w:val="nil"/>
            </w:tcBorders>
            <w:tcMar>
              <w:top w:w="0" w:type="dxa"/>
              <w:left w:w="0" w:type="dxa"/>
              <w:bottom w:w="0" w:type="dxa"/>
              <w:right w:w="0" w:type="dxa"/>
            </w:tcMar>
          </w:tcPr>
          <w:p w14:paraId="6BAA368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4</w:t>
            </w:r>
          </w:p>
        </w:tc>
        <w:tc>
          <w:tcPr>
            <w:tcW w:w="4515" w:type="dxa"/>
            <w:tcBorders>
              <w:top w:val="nil"/>
              <w:left w:val="nil"/>
              <w:bottom w:val="nil"/>
              <w:right w:val="nil"/>
            </w:tcBorders>
            <w:tcMar>
              <w:top w:w="0" w:type="dxa"/>
              <w:left w:w="0" w:type="dxa"/>
              <w:bottom w:w="0" w:type="dxa"/>
              <w:right w:w="0" w:type="dxa"/>
            </w:tcMar>
          </w:tcPr>
          <w:p w14:paraId="7BFA333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2 SMMLV y hasta 2,5 SMMIV</w:t>
            </w:r>
          </w:p>
        </w:tc>
        <w:tc>
          <w:tcPr>
            <w:tcW w:w="3630" w:type="dxa"/>
            <w:tcBorders>
              <w:top w:val="nil"/>
              <w:left w:val="nil"/>
              <w:bottom w:val="nil"/>
              <w:right w:val="nil"/>
            </w:tcBorders>
            <w:tcMar>
              <w:top w:w="0" w:type="dxa"/>
              <w:left w:w="0" w:type="dxa"/>
              <w:bottom w:w="0" w:type="dxa"/>
              <w:right w:w="0" w:type="dxa"/>
            </w:tcMar>
          </w:tcPr>
          <w:p w14:paraId="488B3638"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5,0% de 2.5%SMMLV</w:t>
            </w:r>
          </w:p>
        </w:tc>
      </w:tr>
      <w:tr w:rsidR="00C60BF5" w14:paraId="0CF83366" w14:textId="77777777">
        <w:trPr>
          <w:trHeight w:val="270"/>
        </w:trPr>
        <w:tc>
          <w:tcPr>
            <w:tcW w:w="705" w:type="dxa"/>
            <w:tcBorders>
              <w:top w:val="nil"/>
              <w:left w:val="nil"/>
              <w:bottom w:val="nil"/>
              <w:right w:val="nil"/>
            </w:tcBorders>
            <w:tcMar>
              <w:top w:w="0" w:type="dxa"/>
              <w:left w:w="0" w:type="dxa"/>
              <w:bottom w:w="0" w:type="dxa"/>
              <w:right w:w="0" w:type="dxa"/>
            </w:tcMar>
          </w:tcPr>
          <w:p w14:paraId="206CBA44"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5</w:t>
            </w:r>
          </w:p>
        </w:tc>
        <w:tc>
          <w:tcPr>
            <w:tcW w:w="4515" w:type="dxa"/>
            <w:tcBorders>
              <w:top w:val="nil"/>
              <w:left w:val="nil"/>
              <w:bottom w:val="nil"/>
              <w:right w:val="nil"/>
            </w:tcBorders>
            <w:tcMar>
              <w:top w:w="0" w:type="dxa"/>
              <w:left w:w="0" w:type="dxa"/>
              <w:bottom w:w="0" w:type="dxa"/>
              <w:right w:w="0" w:type="dxa"/>
            </w:tcMar>
          </w:tcPr>
          <w:p w14:paraId="06327489"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2,5 SMMLV y hasta 3 SMMLV</w:t>
            </w:r>
          </w:p>
        </w:tc>
        <w:tc>
          <w:tcPr>
            <w:tcW w:w="3630" w:type="dxa"/>
            <w:tcBorders>
              <w:top w:val="nil"/>
              <w:left w:val="nil"/>
              <w:bottom w:val="nil"/>
              <w:right w:val="nil"/>
            </w:tcBorders>
            <w:tcMar>
              <w:top w:w="0" w:type="dxa"/>
              <w:left w:w="0" w:type="dxa"/>
              <w:bottom w:w="0" w:type="dxa"/>
              <w:right w:w="0" w:type="dxa"/>
            </w:tcMar>
          </w:tcPr>
          <w:p w14:paraId="58AD573A"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6,0% de 3 SMMLV</w:t>
            </w:r>
          </w:p>
        </w:tc>
      </w:tr>
      <w:tr w:rsidR="00C60BF5" w14:paraId="40E36F57" w14:textId="77777777">
        <w:trPr>
          <w:trHeight w:val="270"/>
        </w:trPr>
        <w:tc>
          <w:tcPr>
            <w:tcW w:w="705" w:type="dxa"/>
            <w:tcBorders>
              <w:top w:val="nil"/>
              <w:left w:val="nil"/>
              <w:bottom w:val="nil"/>
              <w:right w:val="nil"/>
            </w:tcBorders>
            <w:tcMar>
              <w:top w:w="0" w:type="dxa"/>
              <w:left w:w="0" w:type="dxa"/>
              <w:bottom w:w="0" w:type="dxa"/>
              <w:right w:w="0" w:type="dxa"/>
            </w:tcMar>
          </w:tcPr>
          <w:p w14:paraId="28D8960A"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6</w:t>
            </w:r>
          </w:p>
        </w:tc>
        <w:tc>
          <w:tcPr>
            <w:tcW w:w="4515" w:type="dxa"/>
            <w:tcBorders>
              <w:top w:val="nil"/>
              <w:left w:val="nil"/>
              <w:bottom w:val="nil"/>
              <w:right w:val="nil"/>
            </w:tcBorders>
            <w:tcMar>
              <w:top w:w="0" w:type="dxa"/>
              <w:left w:w="0" w:type="dxa"/>
              <w:bottom w:w="0" w:type="dxa"/>
              <w:right w:w="0" w:type="dxa"/>
            </w:tcMar>
          </w:tcPr>
          <w:p w14:paraId="1800CA2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3 SMMLV y hasta 3,5 SMMLV</w:t>
            </w:r>
          </w:p>
        </w:tc>
        <w:tc>
          <w:tcPr>
            <w:tcW w:w="3630" w:type="dxa"/>
            <w:tcBorders>
              <w:top w:val="nil"/>
              <w:left w:val="nil"/>
              <w:bottom w:val="nil"/>
              <w:right w:val="nil"/>
            </w:tcBorders>
            <w:tcMar>
              <w:top w:w="0" w:type="dxa"/>
              <w:left w:w="0" w:type="dxa"/>
              <w:bottom w:w="0" w:type="dxa"/>
              <w:right w:w="0" w:type="dxa"/>
            </w:tcMar>
          </w:tcPr>
          <w:p w14:paraId="715765A5"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7,5% de 3.5 SMMLV</w:t>
            </w:r>
          </w:p>
        </w:tc>
      </w:tr>
      <w:tr w:rsidR="00C60BF5" w14:paraId="7FBBD796" w14:textId="77777777">
        <w:trPr>
          <w:trHeight w:val="270"/>
        </w:trPr>
        <w:tc>
          <w:tcPr>
            <w:tcW w:w="705" w:type="dxa"/>
            <w:tcBorders>
              <w:top w:val="nil"/>
              <w:left w:val="nil"/>
              <w:bottom w:val="nil"/>
              <w:right w:val="nil"/>
            </w:tcBorders>
            <w:tcMar>
              <w:top w:w="0" w:type="dxa"/>
              <w:left w:w="0" w:type="dxa"/>
              <w:bottom w:w="0" w:type="dxa"/>
              <w:right w:w="0" w:type="dxa"/>
            </w:tcMar>
          </w:tcPr>
          <w:p w14:paraId="703334F1"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7</w:t>
            </w:r>
          </w:p>
        </w:tc>
        <w:tc>
          <w:tcPr>
            <w:tcW w:w="4515" w:type="dxa"/>
            <w:tcBorders>
              <w:top w:val="nil"/>
              <w:left w:val="nil"/>
              <w:bottom w:val="nil"/>
              <w:right w:val="nil"/>
            </w:tcBorders>
            <w:tcMar>
              <w:top w:w="0" w:type="dxa"/>
              <w:left w:w="0" w:type="dxa"/>
              <w:bottom w:w="0" w:type="dxa"/>
              <w:right w:w="0" w:type="dxa"/>
            </w:tcMar>
          </w:tcPr>
          <w:p w14:paraId="778307AB"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3,5 SMMLV y hasta 4 SMMLV</w:t>
            </w:r>
          </w:p>
        </w:tc>
        <w:tc>
          <w:tcPr>
            <w:tcW w:w="3630" w:type="dxa"/>
            <w:tcBorders>
              <w:top w:val="nil"/>
              <w:left w:val="nil"/>
              <w:bottom w:val="nil"/>
              <w:right w:val="nil"/>
            </w:tcBorders>
            <w:tcMar>
              <w:top w:w="0" w:type="dxa"/>
              <w:left w:w="0" w:type="dxa"/>
              <w:bottom w:w="0" w:type="dxa"/>
              <w:right w:w="0" w:type="dxa"/>
            </w:tcMar>
          </w:tcPr>
          <w:p w14:paraId="78CA30B7"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9.0% de 4 SMMLV</w:t>
            </w:r>
          </w:p>
        </w:tc>
      </w:tr>
      <w:tr w:rsidR="00C60BF5" w14:paraId="02B76793" w14:textId="77777777">
        <w:trPr>
          <w:trHeight w:val="270"/>
        </w:trPr>
        <w:tc>
          <w:tcPr>
            <w:tcW w:w="705" w:type="dxa"/>
            <w:tcBorders>
              <w:top w:val="nil"/>
              <w:left w:val="nil"/>
              <w:bottom w:val="nil"/>
              <w:right w:val="nil"/>
            </w:tcBorders>
            <w:tcMar>
              <w:top w:w="0" w:type="dxa"/>
              <w:left w:w="0" w:type="dxa"/>
              <w:bottom w:w="0" w:type="dxa"/>
              <w:right w:w="0" w:type="dxa"/>
            </w:tcMar>
          </w:tcPr>
          <w:p w14:paraId="644A801D"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8</w:t>
            </w:r>
          </w:p>
        </w:tc>
        <w:tc>
          <w:tcPr>
            <w:tcW w:w="4515" w:type="dxa"/>
            <w:tcBorders>
              <w:top w:val="nil"/>
              <w:left w:val="nil"/>
              <w:bottom w:val="nil"/>
              <w:right w:val="nil"/>
            </w:tcBorders>
            <w:tcMar>
              <w:top w:w="0" w:type="dxa"/>
              <w:left w:w="0" w:type="dxa"/>
              <w:bottom w:w="0" w:type="dxa"/>
              <w:right w:w="0" w:type="dxa"/>
            </w:tcMar>
          </w:tcPr>
          <w:p w14:paraId="1921C4A9"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4 SMMLV y hasta 5 SMMLV</w:t>
            </w:r>
          </w:p>
        </w:tc>
        <w:tc>
          <w:tcPr>
            <w:tcW w:w="3630" w:type="dxa"/>
            <w:tcBorders>
              <w:top w:val="nil"/>
              <w:left w:val="nil"/>
              <w:bottom w:val="nil"/>
              <w:right w:val="nil"/>
            </w:tcBorders>
            <w:tcMar>
              <w:top w:w="0" w:type="dxa"/>
              <w:left w:w="0" w:type="dxa"/>
              <w:bottom w:w="0" w:type="dxa"/>
              <w:right w:w="0" w:type="dxa"/>
            </w:tcMar>
          </w:tcPr>
          <w:p w14:paraId="3F823EFE"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11,0 % de 5 SMMLV</w:t>
            </w:r>
          </w:p>
        </w:tc>
      </w:tr>
      <w:tr w:rsidR="00C60BF5" w14:paraId="0025119C" w14:textId="77777777">
        <w:trPr>
          <w:trHeight w:val="270"/>
        </w:trPr>
        <w:tc>
          <w:tcPr>
            <w:tcW w:w="705" w:type="dxa"/>
            <w:tcBorders>
              <w:top w:val="nil"/>
              <w:left w:val="nil"/>
              <w:bottom w:val="nil"/>
              <w:right w:val="nil"/>
            </w:tcBorders>
            <w:tcMar>
              <w:top w:w="0" w:type="dxa"/>
              <w:left w:w="0" w:type="dxa"/>
              <w:bottom w:w="0" w:type="dxa"/>
              <w:right w:w="0" w:type="dxa"/>
            </w:tcMar>
          </w:tcPr>
          <w:p w14:paraId="510D28F3"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9</w:t>
            </w:r>
          </w:p>
        </w:tc>
        <w:tc>
          <w:tcPr>
            <w:tcW w:w="4515" w:type="dxa"/>
            <w:tcBorders>
              <w:top w:val="nil"/>
              <w:left w:val="nil"/>
              <w:bottom w:val="nil"/>
              <w:right w:val="nil"/>
            </w:tcBorders>
            <w:tcMar>
              <w:top w:w="0" w:type="dxa"/>
              <w:left w:w="0" w:type="dxa"/>
              <w:bottom w:w="0" w:type="dxa"/>
              <w:right w:w="0" w:type="dxa"/>
            </w:tcMar>
          </w:tcPr>
          <w:p w14:paraId="00E8D51D"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Mayor a 5 SMMLV</w:t>
            </w:r>
          </w:p>
        </w:tc>
        <w:tc>
          <w:tcPr>
            <w:tcW w:w="3630" w:type="dxa"/>
            <w:tcBorders>
              <w:top w:val="nil"/>
              <w:left w:val="nil"/>
              <w:bottom w:val="nil"/>
              <w:right w:val="nil"/>
            </w:tcBorders>
            <w:tcMar>
              <w:top w:w="0" w:type="dxa"/>
              <w:left w:w="0" w:type="dxa"/>
              <w:bottom w:w="0" w:type="dxa"/>
              <w:right w:w="0" w:type="dxa"/>
            </w:tcMar>
          </w:tcPr>
          <w:p w14:paraId="7F44740D" w14:textId="77777777" w:rsidR="00C60BF5" w:rsidRDefault="00000000">
            <w:pPr>
              <w:spacing w:before="240" w:after="240" w:line="426" w:lineRule="auto"/>
              <w:jc w:val="both"/>
              <w:rPr>
                <w:rFonts w:ascii="Verdana" w:eastAsia="Verdana" w:hAnsi="Verdana" w:cs="Verdana"/>
              </w:rPr>
            </w:pPr>
            <w:r>
              <w:rPr>
                <w:rFonts w:ascii="Verdana" w:eastAsia="Verdana" w:hAnsi="Verdana" w:cs="Verdana"/>
              </w:rPr>
              <w:t>El 13% de 6 SMMLV</w:t>
            </w:r>
          </w:p>
        </w:tc>
      </w:tr>
    </w:tbl>
    <w:p w14:paraId="2921487E"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Los valores de las tasas compensatorias calculados con base en la tabla anterior deberán aproximarse a la centena más cercana por exceso o por defecto.</w:t>
      </w:r>
    </w:p>
    <w:p w14:paraId="7CE6D3CD"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Cuando la atención de </w:t>
      </w:r>
      <w:proofErr w:type="gramStart"/>
      <w:r>
        <w:rPr>
          <w:rFonts w:ascii="Verdana" w:eastAsia="Verdana" w:hAnsi="Verdana" w:cs="Verdana"/>
        </w:rPr>
        <w:t>los niños y niñas</w:t>
      </w:r>
      <w:proofErr w:type="gramEnd"/>
      <w:r>
        <w:rPr>
          <w:rFonts w:ascii="Verdana" w:eastAsia="Verdana" w:hAnsi="Verdana" w:cs="Verdana"/>
        </w:rPr>
        <w:t xml:space="preserve"> se brinde en media jornada, el valor mínimo de la tasa compensatoria será el 70% del valor establecido para la jornada completa.</w:t>
      </w:r>
    </w:p>
    <w:p w14:paraId="3E585962" w14:textId="02BB5987" w:rsidR="00C60BF5" w:rsidRDefault="00000000">
      <w:pPr>
        <w:spacing w:after="280" w:line="426" w:lineRule="auto"/>
        <w:jc w:val="both"/>
        <w:rPr>
          <w:rFonts w:ascii="Verdana" w:eastAsia="Verdana" w:hAnsi="Verdana" w:cs="Verdana"/>
        </w:rPr>
      </w:pPr>
      <w:r>
        <w:rPr>
          <w:rFonts w:ascii="Verdana" w:eastAsia="Verdana" w:hAnsi="Verdana" w:cs="Verdana"/>
          <w:b/>
          <w:bCs/>
        </w:rPr>
        <w:t>ARTÍCULO 2o. BENEFICIARIOS DE LOS HOGARES INFANTILES.</w:t>
      </w:r>
      <w:r>
        <w:rPr>
          <w:rFonts w:ascii="Verdana" w:eastAsia="Verdana" w:hAnsi="Verdana" w:cs="Verdana"/>
        </w:rPr>
        <w:t xml:space="preserve"> Los beneficiarios de los Hogares Infantiles serán </w:t>
      </w:r>
      <w:proofErr w:type="gramStart"/>
      <w:r>
        <w:rPr>
          <w:rFonts w:ascii="Verdana" w:eastAsia="Verdana" w:hAnsi="Verdana" w:cs="Verdana"/>
        </w:rPr>
        <w:t>niños y niñas</w:t>
      </w:r>
      <w:proofErr w:type="gramEnd"/>
      <w:r>
        <w:rPr>
          <w:rFonts w:ascii="Verdana" w:eastAsia="Verdana" w:hAnsi="Verdana" w:cs="Verdana"/>
        </w:rPr>
        <w:t xml:space="preserve"> entre 6 meses y menores de 5 </w:t>
      </w:r>
      <w:proofErr w:type="gramStart"/>
      <w:r>
        <w:rPr>
          <w:rFonts w:ascii="Verdana" w:eastAsia="Verdana" w:hAnsi="Verdana" w:cs="Verdana"/>
        </w:rPr>
        <w:t>años de edad</w:t>
      </w:r>
      <w:proofErr w:type="gramEnd"/>
      <w:r>
        <w:rPr>
          <w:rFonts w:ascii="Verdana" w:eastAsia="Verdana" w:hAnsi="Verdana" w:cs="Verdana"/>
        </w:rPr>
        <w:t xml:space="preserve"> (se tendrán en cuenta las excepciones contempladas en la Resolución número </w:t>
      </w:r>
      <w:r w:rsidR="00C60BF5">
        <w:rPr>
          <w:rFonts w:ascii="Verdana" w:eastAsia="Verdana" w:hAnsi="Verdana" w:cs="Verdana"/>
        </w:rPr>
        <w:t>1064</w:t>
      </w:r>
      <w:r>
        <w:rPr>
          <w:rFonts w:ascii="Verdana" w:eastAsia="Verdana" w:hAnsi="Verdana" w:cs="Verdana"/>
        </w:rPr>
        <w:t xml:space="preserve"> del 24 de mayo de 2007), desprotegidos temporalmente por la ausencia diaria de sus padres o acudientes por razones de </w:t>
      </w:r>
      <w:r>
        <w:rPr>
          <w:rFonts w:ascii="Verdana" w:eastAsia="Verdana" w:hAnsi="Verdana" w:cs="Verdana"/>
        </w:rPr>
        <w:lastRenderedPageBreak/>
        <w:t>trabajo, estudio y otras circunstancias especiales comprobadas y pertenecientes a sectores de población con vulnerabilidad económica, social o psicoafectiva.</w:t>
      </w:r>
    </w:p>
    <w:p w14:paraId="5E69CC75"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Tendrán atención prioritaria </w:t>
      </w:r>
      <w:proofErr w:type="gramStart"/>
      <w:r>
        <w:rPr>
          <w:rFonts w:ascii="Verdana" w:eastAsia="Verdana" w:hAnsi="Verdana" w:cs="Verdana"/>
        </w:rPr>
        <w:t>los niños y niñas</w:t>
      </w:r>
      <w:proofErr w:type="gramEnd"/>
      <w:r>
        <w:rPr>
          <w:rFonts w:ascii="Verdana" w:eastAsia="Verdana" w:hAnsi="Verdana" w:cs="Verdana"/>
        </w:rPr>
        <w:t xml:space="preserve"> bajo medida de restablecimiento de derechos del ICBF y </w:t>
      </w:r>
      <w:proofErr w:type="gramStart"/>
      <w:r>
        <w:rPr>
          <w:rFonts w:ascii="Verdana" w:eastAsia="Verdana" w:hAnsi="Verdana" w:cs="Verdana"/>
        </w:rPr>
        <w:t>los niños y niñas</w:t>
      </w:r>
      <w:proofErr w:type="gramEnd"/>
      <w:r>
        <w:rPr>
          <w:rFonts w:ascii="Verdana" w:eastAsia="Verdana" w:hAnsi="Verdana" w:cs="Verdana"/>
        </w:rPr>
        <w:t xml:space="preserve"> de familias en condición de desplazamiento.</w:t>
      </w:r>
    </w:p>
    <w:p w14:paraId="1BD585C3"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ARTÍCULO 3o. PRUEBA DE LOS INGRESOS FAMILIARES.</w:t>
      </w:r>
      <w:r>
        <w:rPr>
          <w:rFonts w:ascii="Verdana" w:eastAsia="Verdana" w:hAnsi="Verdana" w:cs="Verdana"/>
        </w:rPr>
        <w:t xml:space="preserve"> Los padres de familia o personas responsables del cuidado de los niños o niñas usuarios de los Hogares Infantiles deberán demostrar los ingresos familiares con cualquiera de los siguientes documentos:</w:t>
      </w:r>
    </w:p>
    <w:p w14:paraId="69795AD6" w14:textId="77777777" w:rsidR="00C60BF5" w:rsidRDefault="00000000">
      <w:pPr>
        <w:spacing w:after="280" w:line="426" w:lineRule="auto"/>
        <w:jc w:val="both"/>
        <w:rPr>
          <w:rFonts w:ascii="Verdana" w:eastAsia="Verdana" w:hAnsi="Verdana" w:cs="Verdana"/>
        </w:rPr>
      </w:pPr>
      <w:r>
        <w:rPr>
          <w:rFonts w:ascii="Verdana" w:eastAsia="Verdana" w:hAnsi="Verdana" w:cs="Verdana"/>
        </w:rPr>
        <w:t>1. Para empleados: certificación de ingresos expedida por el empleador o declaración de renta del año inmediatamente anterior.</w:t>
      </w:r>
    </w:p>
    <w:p w14:paraId="6F9EAB24" w14:textId="0ED42C5C" w:rsidR="00C60BF5" w:rsidRDefault="00000000">
      <w:pPr>
        <w:spacing w:after="280" w:line="426" w:lineRule="auto"/>
        <w:jc w:val="both"/>
        <w:rPr>
          <w:rFonts w:ascii="Verdana" w:eastAsia="Verdana" w:hAnsi="Verdana" w:cs="Verdana"/>
        </w:rPr>
      </w:pPr>
      <w:r>
        <w:rPr>
          <w:rFonts w:ascii="Verdana" w:eastAsia="Verdana" w:hAnsi="Verdana" w:cs="Verdana"/>
        </w:rPr>
        <w:t xml:space="preserve">2. Para independientes: copia de la autoliquidación del aporte para seguridad social en salud; si no contare con esta, certificación expedida por Contador Público de los ingresos o declaración juramentada en los términos del artículo </w:t>
      </w:r>
      <w:r w:rsidR="00C60BF5">
        <w:rPr>
          <w:rFonts w:ascii="Verdana" w:eastAsia="Verdana" w:hAnsi="Verdana" w:cs="Verdana"/>
        </w:rPr>
        <w:t>25</w:t>
      </w:r>
      <w:r>
        <w:rPr>
          <w:rFonts w:ascii="Verdana" w:eastAsia="Verdana" w:hAnsi="Verdana" w:cs="Verdana"/>
        </w:rPr>
        <w:t xml:space="preserve"> de la Ley 962 de 2005.</w:t>
      </w:r>
    </w:p>
    <w:p w14:paraId="35187765"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Cuando se comprobare que el padre, madre o persona responsable del cuidado del niño o la niña manifieste o presente constancia de ingresos inferiores a los percibidos realmente, además de las denuncias respectivas ante la autoridad competente, se le aplicará retroactivamente el cobro de la tasa compensatoria, sin que en ningún caso esto implique la exclusión del niño o niña del servicio.</w:t>
      </w:r>
    </w:p>
    <w:p w14:paraId="06A92627"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 xml:space="preserve">ARTÍCULO 4o. DESTINACIÓN DE LOS INGRESOS. </w:t>
      </w:r>
      <w:r>
        <w:rPr>
          <w:rFonts w:ascii="Verdana" w:eastAsia="Verdana" w:hAnsi="Verdana" w:cs="Verdana"/>
        </w:rPr>
        <w:t>Los ingresos provenientes de las tasas compensatorias forman parte del presupuesto del Hogar Infantil.</w:t>
      </w:r>
    </w:p>
    <w:p w14:paraId="22294C15"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ARTÍCULO 5o. PROHIBICIONES.</w:t>
      </w:r>
      <w:r>
        <w:rPr>
          <w:rFonts w:ascii="Verdana" w:eastAsia="Verdana" w:hAnsi="Verdana" w:cs="Verdana"/>
        </w:rPr>
        <w:t xml:space="preserve"> En ningún caso las Entidades Contratistas de los Hogares Infantiles podrán:</w:t>
      </w:r>
    </w:p>
    <w:p w14:paraId="25589806" w14:textId="77777777" w:rsidR="00C60BF5" w:rsidRDefault="00000000">
      <w:pPr>
        <w:spacing w:after="280" w:line="426" w:lineRule="auto"/>
        <w:jc w:val="both"/>
        <w:rPr>
          <w:rFonts w:ascii="Verdana" w:eastAsia="Verdana" w:hAnsi="Verdana" w:cs="Verdana"/>
        </w:rPr>
      </w:pPr>
      <w:r>
        <w:rPr>
          <w:rFonts w:ascii="Verdana" w:eastAsia="Verdana" w:hAnsi="Verdana" w:cs="Verdana"/>
        </w:rPr>
        <w:lastRenderedPageBreak/>
        <w:t>1. Cobrar tasas compensatorias superiores a las establecidas en la presente resolución.</w:t>
      </w:r>
    </w:p>
    <w:p w14:paraId="52CCE237" w14:textId="77777777" w:rsidR="00C60BF5" w:rsidRDefault="00000000">
      <w:pPr>
        <w:spacing w:after="280" w:line="426" w:lineRule="auto"/>
        <w:jc w:val="both"/>
        <w:rPr>
          <w:rFonts w:ascii="Verdana" w:eastAsia="Verdana" w:hAnsi="Verdana" w:cs="Verdana"/>
        </w:rPr>
      </w:pPr>
      <w:r>
        <w:rPr>
          <w:rFonts w:ascii="Verdana" w:eastAsia="Verdana" w:hAnsi="Verdana" w:cs="Verdana"/>
        </w:rPr>
        <w:t>2. Establecer tarifas únicas o diferentes a las establecidas en la presente resolución.</w:t>
      </w:r>
    </w:p>
    <w:p w14:paraId="190F2F20"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 xml:space="preserve">ARTÍCULO 6o. </w:t>
      </w:r>
      <w:r>
        <w:rPr>
          <w:rFonts w:ascii="Verdana" w:eastAsia="Verdana" w:hAnsi="Verdana" w:cs="Verdana"/>
        </w:rPr>
        <w:t>La presente resolución debe fijarse de manera permanente en la cartelera de cada Hogar Infantil, a la vista de los padres usuarios y del público en general.</w:t>
      </w:r>
    </w:p>
    <w:p w14:paraId="768F9B9D" w14:textId="77777777" w:rsidR="00C60BF5" w:rsidRDefault="00000000">
      <w:pPr>
        <w:spacing w:after="280" w:line="426" w:lineRule="auto"/>
        <w:jc w:val="both"/>
        <w:rPr>
          <w:rFonts w:ascii="Verdana" w:eastAsia="Verdana" w:hAnsi="Verdana" w:cs="Verdana"/>
        </w:rPr>
      </w:pPr>
      <w:r>
        <w:rPr>
          <w:rFonts w:ascii="Verdana" w:eastAsia="Verdana" w:hAnsi="Verdana" w:cs="Verdana"/>
          <w:b/>
          <w:bCs/>
        </w:rPr>
        <w:t>ARTÍCULO 7o.</w:t>
      </w:r>
      <w:r>
        <w:rPr>
          <w:rFonts w:ascii="Verdana" w:eastAsia="Verdana" w:hAnsi="Verdana" w:cs="Verdana"/>
        </w:rPr>
        <w:t xml:space="preserve"> La presente resolución rige a partir de la fecha de su publicación y deroga las disposiciones que le sean contrarias.</w:t>
      </w:r>
    </w:p>
    <w:p w14:paraId="7E51D0B0" w14:textId="77777777" w:rsidR="00C60BF5" w:rsidRDefault="00000000">
      <w:pPr>
        <w:spacing w:after="280" w:line="426" w:lineRule="auto"/>
        <w:jc w:val="center"/>
        <w:rPr>
          <w:rFonts w:ascii="Verdana" w:eastAsia="Verdana" w:hAnsi="Verdana" w:cs="Verdana"/>
          <w:b/>
          <w:bCs/>
        </w:rPr>
      </w:pPr>
      <w:r>
        <w:rPr>
          <w:rFonts w:ascii="Verdana" w:eastAsia="Verdana" w:hAnsi="Verdana" w:cs="Verdana"/>
          <w:b/>
          <w:bCs/>
        </w:rPr>
        <w:t>PUBLÍQUESE, COMUNÍQUESE Y CÚMPLASE</w:t>
      </w:r>
    </w:p>
    <w:p w14:paraId="23BFFD7B" w14:textId="77777777" w:rsidR="00C60BF5" w:rsidRDefault="00000000">
      <w:pPr>
        <w:spacing w:after="280" w:line="426" w:lineRule="auto"/>
        <w:jc w:val="center"/>
        <w:rPr>
          <w:rFonts w:ascii="Verdana" w:eastAsia="Verdana" w:hAnsi="Verdana" w:cs="Verdana"/>
        </w:rPr>
      </w:pPr>
      <w:r>
        <w:rPr>
          <w:rFonts w:ascii="Verdana" w:eastAsia="Verdana" w:hAnsi="Verdana" w:cs="Verdana"/>
        </w:rPr>
        <w:t>Dada en Bogotá, D. C., a los 27 días de abril de 2010.</w:t>
      </w:r>
    </w:p>
    <w:p w14:paraId="176C0FCF" w14:textId="77777777" w:rsidR="00C60BF5"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27A72D8D" w14:textId="77777777" w:rsidR="00C60BF5"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538B3A49" w14:textId="77777777" w:rsidR="00C60BF5" w:rsidRDefault="00C60BF5">
      <w:pPr>
        <w:spacing w:after="280" w:line="426" w:lineRule="auto"/>
        <w:jc w:val="center"/>
        <w:rPr>
          <w:rFonts w:ascii="Verdana" w:eastAsia="Verdana" w:hAnsi="Verdana" w:cs="Verdana"/>
        </w:rPr>
      </w:pPr>
    </w:p>
    <w:sectPr w:rsidR="00C60BF5">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20B8F" w14:textId="77777777" w:rsidR="00FF6828" w:rsidRDefault="00FF6828">
      <w:pPr>
        <w:spacing w:line="240" w:lineRule="auto"/>
      </w:pPr>
      <w:r>
        <w:separator/>
      </w:r>
    </w:p>
  </w:endnote>
  <w:endnote w:type="continuationSeparator" w:id="0">
    <w:p w14:paraId="055E4B02" w14:textId="77777777" w:rsidR="00FF6828" w:rsidRDefault="00FF68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8A4209E-9C2A-4B9F-B55D-CAC0CCB44B95}"/>
    <w:embedBold r:id="rId2" w:fontKey="{44C0F831-A127-4A50-A1A1-EE6C100D271F}"/>
  </w:font>
  <w:font w:name="Calibri">
    <w:panose1 w:val="020F0502020204030204"/>
    <w:charset w:val="00"/>
    <w:family w:val="swiss"/>
    <w:pitch w:val="variable"/>
    <w:sig w:usb0="E4002EFF" w:usb1="C200247B" w:usb2="00000009" w:usb3="00000000" w:csb0="000001FF" w:csb1="00000000"/>
    <w:embedRegular r:id="rId3" w:fontKey="{60E7B8B9-DD13-4E80-B900-3D3E5EF478F6}"/>
  </w:font>
  <w:font w:name="Cambria">
    <w:panose1 w:val="02040503050406030204"/>
    <w:charset w:val="00"/>
    <w:family w:val="roman"/>
    <w:pitch w:val="variable"/>
    <w:sig w:usb0="E00006FF" w:usb1="420024FF" w:usb2="02000000" w:usb3="00000000" w:csb0="0000019F" w:csb1="00000000"/>
    <w:embedRegular r:id="rId4" w:fontKey="{2FD3E170-7F3C-43A2-8BDB-67F262A114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D28A8" w14:textId="77777777" w:rsidR="00FF6828" w:rsidRDefault="00FF6828">
      <w:pPr>
        <w:spacing w:line="240" w:lineRule="auto"/>
      </w:pPr>
      <w:r>
        <w:separator/>
      </w:r>
    </w:p>
  </w:footnote>
  <w:footnote w:type="continuationSeparator" w:id="0">
    <w:p w14:paraId="6973700E" w14:textId="77777777" w:rsidR="00FF6828" w:rsidRDefault="00FF68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3EAC" w14:textId="77777777" w:rsidR="00C60BF5" w:rsidRDefault="00C60BF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F5"/>
    <w:rsid w:val="00262DD3"/>
    <w:rsid w:val="00344A62"/>
    <w:rsid w:val="005B5023"/>
    <w:rsid w:val="0082220B"/>
    <w:rsid w:val="00845C1C"/>
    <w:rsid w:val="00C60BF5"/>
    <w:rsid w:val="00FF68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064D"/>
  <w15:docId w15:val="{79F8C00B-3621-49FF-AF5D-2AEA08E6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1C516A-4DC1-4C66-9BB0-42DA1E03D601}"/>
</file>

<file path=customXml/itemProps2.xml><?xml version="1.0" encoding="utf-8"?>
<ds:datastoreItem xmlns:ds="http://schemas.openxmlformats.org/officeDocument/2006/customXml" ds:itemID="{08FD05EE-8561-45F8-B3AE-B204CA0F0D21}"/>
</file>

<file path=customXml/itemProps3.xml><?xml version="1.0" encoding="utf-8"?>
<ds:datastoreItem xmlns:ds="http://schemas.openxmlformats.org/officeDocument/2006/customXml" ds:itemID="{4B2BB045-19A5-4DBC-8D65-AE7C6910A88C}"/>
</file>

<file path=docProps/app.xml><?xml version="1.0" encoding="utf-8"?>
<Properties xmlns="http://schemas.openxmlformats.org/officeDocument/2006/extended-properties" xmlns:vt="http://schemas.openxmlformats.org/officeDocument/2006/docPropsVTypes">
  <Template>Normal</Template>
  <TotalTime>0</TotalTime>
  <Pages>1</Pages>
  <Words>974</Words>
  <Characters>5363</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2026-01-29T20:08:00Z</dcterms:created>
  <dcterms:modified xsi:type="dcterms:W3CDTF">2026-04-15T15:56:00Z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