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18B0" w14:textId="4BC62122" w:rsidR="0004472B" w:rsidRPr="0004472B" w:rsidRDefault="0004472B" w:rsidP="0004472B">
      <w:pPr>
        <w:jc w:val="center"/>
        <w:rPr>
          <w:rFonts w:ascii="Verdana" w:hAnsi="Verdana"/>
          <w:b/>
          <w:bCs/>
          <w:sz w:val="22"/>
          <w:szCs w:val="22"/>
        </w:rPr>
      </w:pPr>
      <w:r w:rsidRPr="0004472B">
        <w:rPr>
          <w:rFonts w:ascii="Verdana" w:hAnsi="Verdana"/>
          <w:b/>
          <w:bCs/>
          <w:sz w:val="22"/>
          <w:szCs w:val="22"/>
        </w:rPr>
        <w:t>RESOLUCIÓN 1738 DE 2007</w:t>
      </w:r>
    </w:p>
    <w:p w14:paraId="5B25A08A" w14:textId="77777777" w:rsidR="001331CB" w:rsidRPr="001331CB" w:rsidRDefault="001331CB" w:rsidP="001331CB">
      <w:pPr>
        <w:pStyle w:val="Sinespaciado"/>
        <w:rPr>
          <w:rFonts w:ascii="Verdana" w:hAnsi="Verdana"/>
          <w:sz w:val="20"/>
          <w:szCs w:val="20"/>
        </w:rPr>
      </w:pPr>
      <w:r w:rsidRPr="001331CB">
        <w:rPr>
          <w:rFonts w:ascii="Verdana" w:hAnsi="Verdana"/>
          <w:sz w:val="20"/>
          <w:szCs w:val="20"/>
        </w:rPr>
        <w:t>Fecha de Expedición: 1 de agosto de 2007</w:t>
      </w:r>
    </w:p>
    <w:p w14:paraId="4D8CA6D9" w14:textId="77777777" w:rsidR="001331CB" w:rsidRPr="001331CB" w:rsidRDefault="001331CB" w:rsidP="001331CB">
      <w:pPr>
        <w:pStyle w:val="Sinespaciado"/>
        <w:rPr>
          <w:rFonts w:ascii="Verdana" w:hAnsi="Verdana"/>
          <w:sz w:val="20"/>
          <w:szCs w:val="20"/>
        </w:rPr>
      </w:pPr>
      <w:r w:rsidRPr="001331CB">
        <w:rPr>
          <w:rFonts w:ascii="Verdana" w:hAnsi="Verdana"/>
          <w:sz w:val="20"/>
          <w:szCs w:val="20"/>
        </w:rPr>
        <w:t>Fecha de entrada en vigencia: 1 de agosto de 2007</w:t>
      </w:r>
    </w:p>
    <w:p w14:paraId="77F20172" w14:textId="77777777" w:rsidR="001331CB" w:rsidRDefault="001331CB" w:rsidP="001331CB">
      <w:pPr>
        <w:pStyle w:val="Sinespaciado"/>
        <w:rPr>
          <w:rFonts w:ascii="Verdana" w:hAnsi="Verdana"/>
          <w:sz w:val="20"/>
          <w:szCs w:val="20"/>
        </w:rPr>
      </w:pPr>
      <w:r w:rsidRPr="001331CB">
        <w:rPr>
          <w:rFonts w:ascii="Verdana" w:hAnsi="Verdana"/>
          <w:sz w:val="20"/>
          <w:szCs w:val="20"/>
        </w:rPr>
        <w:t>Estado de la vigencia: derogada por el artículo 1 de la Resolución 9461 de 2017</w:t>
      </w:r>
      <w:r w:rsidRPr="001331CB">
        <w:rPr>
          <w:rFonts w:ascii="Verdana" w:hAnsi="Verdana"/>
          <w:sz w:val="20"/>
          <w:szCs w:val="20"/>
        </w:rPr>
        <w:tab/>
      </w:r>
    </w:p>
    <w:p w14:paraId="012F7D53" w14:textId="77777777" w:rsidR="001331CB" w:rsidRDefault="001331CB" w:rsidP="001331CB">
      <w:pPr>
        <w:pStyle w:val="Sinespaciado"/>
        <w:rPr>
          <w:rFonts w:ascii="Verdana" w:hAnsi="Verdana"/>
          <w:sz w:val="20"/>
          <w:szCs w:val="20"/>
        </w:rPr>
      </w:pPr>
    </w:p>
    <w:p w14:paraId="27E9AF12" w14:textId="1A2E66EE" w:rsidR="001331CB" w:rsidRPr="001331CB" w:rsidRDefault="001331CB" w:rsidP="001331CB">
      <w:pPr>
        <w:pStyle w:val="Sinespaciado"/>
        <w:rPr>
          <w:rFonts w:ascii="Verdana" w:hAnsi="Verdana"/>
          <w:sz w:val="20"/>
          <w:szCs w:val="20"/>
        </w:rPr>
      </w:pPr>
      <w:r w:rsidRPr="001331CB">
        <w:rPr>
          <w:rFonts w:ascii="Verdana" w:hAnsi="Verdana"/>
          <w:sz w:val="20"/>
          <w:szCs w:val="20"/>
        </w:rPr>
        <w:t>Fecha de publicación en Diario Oficial: N/A</w:t>
      </w:r>
    </w:p>
    <w:p w14:paraId="3E3C7D75" w14:textId="4AEE1004" w:rsidR="0088588F" w:rsidRPr="001331CB" w:rsidRDefault="001331CB" w:rsidP="001331CB">
      <w:pPr>
        <w:pStyle w:val="Sinespaciado"/>
        <w:rPr>
          <w:rFonts w:ascii="Verdana" w:hAnsi="Verdana"/>
          <w:sz w:val="20"/>
          <w:szCs w:val="20"/>
        </w:rPr>
      </w:pPr>
      <w:r w:rsidRPr="001331CB">
        <w:rPr>
          <w:rFonts w:ascii="Verdana" w:hAnsi="Verdana"/>
          <w:sz w:val="20"/>
          <w:szCs w:val="20"/>
        </w:rPr>
        <w:t>Número del Diario Oficial: N/A</w:t>
      </w:r>
    </w:p>
    <w:p w14:paraId="09D80D36" w14:textId="70640355" w:rsidR="0004472B" w:rsidRPr="0004472B" w:rsidRDefault="0004472B" w:rsidP="0004472B">
      <w:pPr>
        <w:jc w:val="center"/>
        <w:rPr>
          <w:rFonts w:ascii="Verdana" w:hAnsi="Verdana"/>
          <w:b/>
          <w:bCs/>
          <w:sz w:val="22"/>
          <w:szCs w:val="22"/>
        </w:rPr>
      </w:pPr>
      <w:r w:rsidRPr="0004472B">
        <w:rPr>
          <w:rFonts w:ascii="Verdana" w:hAnsi="Verdana"/>
          <w:b/>
          <w:bCs/>
          <w:sz w:val="22"/>
          <w:szCs w:val="22"/>
        </w:rPr>
        <w:t>RESOLUCIÓN 1738 DE 2007</w:t>
      </w:r>
    </w:p>
    <w:p w14:paraId="00093BF2" w14:textId="7A8196BA" w:rsidR="0004472B" w:rsidRPr="0004472B" w:rsidRDefault="0004472B" w:rsidP="0004472B">
      <w:pPr>
        <w:jc w:val="center"/>
        <w:rPr>
          <w:rFonts w:ascii="Verdana" w:hAnsi="Verdana"/>
          <w:b/>
          <w:bCs/>
          <w:sz w:val="22"/>
          <w:szCs w:val="22"/>
        </w:rPr>
      </w:pPr>
      <w:r w:rsidRPr="0004472B">
        <w:rPr>
          <w:rFonts w:ascii="Verdana" w:hAnsi="Verdana"/>
          <w:b/>
          <w:bCs/>
          <w:sz w:val="22"/>
          <w:szCs w:val="22"/>
        </w:rPr>
        <w:t>(1 de agosto)</w:t>
      </w:r>
    </w:p>
    <w:p w14:paraId="40123278" w14:textId="770AB5CF" w:rsidR="0004472B" w:rsidRPr="0004472B" w:rsidRDefault="0004472B" w:rsidP="0004472B">
      <w:pPr>
        <w:jc w:val="center"/>
        <w:rPr>
          <w:rFonts w:ascii="Verdana" w:hAnsi="Verdana"/>
          <w:b/>
          <w:bCs/>
          <w:sz w:val="22"/>
          <w:szCs w:val="22"/>
        </w:rPr>
      </w:pPr>
      <w:r w:rsidRPr="0004472B">
        <w:rPr>
          <w:rFonts w:ascii="Verdana" w:hAnsi="Verdana"/>
          <w:b/>
          <w:bCs/>
          <w:sz w:val="22"/>
          <w:szCs w:val="22"/>
        </w:rPr>
        <w:t>INSTITUTO COLOMBIANO DE BIENESTAR FAMILIAR – ICBF</w:t>
      </w:r>
    </w:p>
    <w:p w14:paraId="11EEB059" w14:textId="258ED3A2" w:rsidR="0004472B" w:rsidRPr="0004472B" w:rsidRDefault="0004472B" w:rsidP="0004472B">
      <w:pPr>
        <w:jc w:val="center"/>
        <w:rPr>
          <w:rFonts w:ascii="Verdana" w:hAnsi="Verdana"/>
          <w:sz w:val="22"/>
          <w:szCs w:val="22"/>
        </w:rPr>
      </w:pPr>
      <w:r w:rsidRPr="0004472B">
        <w:rPr>
          <w:rFonts w:ascii="Verdana" w:hAnsi="Verdana"/>
          <w:sz w:val="22"/>
          <w:szCs w:val="22"/>
        </w:rPr>
        <w:t>“Por la cual se reglamenta el Comité de Inversiones y Manejo de Portafolio del ICBF”</w:t>
      </w:r>
    </w:p>
    <w:p w14:paraId="102B9D00" w14:textId="0C8AD511" w:rsidR="0004472B" w:rsidRPr="0004472B" w:rsidRDefault="0004472B" w:rsidP="0004472B">
      <w:pPr>
        <w:jc w:val="center"/>
        <w:rPr>
          <w:rFonts w:ascii="Verdana" w:hAnsi="Verdana"/>
          <w:b/>
          <w:bCs/>
          <w:sz w:val="22"/>
          <w:szCs w:val="22"/>
        </w:rPr>
      </w:pPr>
      <w:r w:rsidRPr="0004472B">
        <w:rPr>
          <w:rFonts w:ascii="Verdana" w:hAnsi="Verdana"/>
          <w:b/>
          <w:bCs/>
          <w:sz w:val="22"/>
          <w:szCs w:val="22"/>
        </w:rPr>
        <w:t>LA DIRECTORA GENERAL DEL INSTITUTO COLOMBIANO DE BIENESTAR FAMILIAR</w:t>
      </w:r>
    </w:p>
    <w:p w14:paraId="58F6EBAE" w14:textId="37F0B1AC" w:rsidR="0004472B" w:rsidRPr="0004472B" w:rsidRDefault="0004472B" w:rsidP="0004472B">
      <w:pPr>
        <w:jc w:val="center"/>
        <w:rPr>
          <w:rFonts w:ascii="Verdana" w:hAnsi="Verdana"/>
          <w:sz w:val="22"/>
          <w:szCs w:val="22"/>
        </w:rPr>
      </w:pPr>
      <w:r w:rsidRPr="0004472B">
        <w:rPr>
          <w:rFonts w:ascii="Verdana" w:hAnsi="Verdana"/>
          <w:sz w:val="22"/>
          <w:szCs w:val="22"/>
        </w:rPr>
        <w:t>En uso de sus facultades legales y estatutarias, en especial de las conferidas por el Artículo 2 del Decreto 3264 de diciembre 30 de 2002, en concordancia con el Artículo 76 de la Ley 489 de 1998, con el literal d) del Artículo 26 de la Ley 7 de 1979, y</w:t>
      </w:r>
    </w:p>
    <w:p w14:paraId="3DE030CE" w14:textId="7FF7D9FA" w:rsidR="0004472B" w:rsidRPr="0004472B" w:rsidRDefault="0004472B" w:rsidP="0004472B">
      <w:pPr>
        <w:jc w:val="center"/>
        <w:rPr>
          <w:rFonts w:ascii="Verdana" w:hAnsi="Verdana"/>
          <w:b/>
          <w:bCs/>
          <w:sz w:val="22"/>
          <w:szCs w:val="22"/>
        </w:rPr>
      </w:pPr>
      <w:r w:rsidRPr="0004472B">
        <w:rPr>
          <w:rFonts w:ascii="Verdana" w:hAnsi="Verdana"/>
          <w:b/>
          <w:bCs/>
          <w:sz w:val="22"/>
          <w:szCs w:val="22"/>
        </w:rPr>
        <w:t>CONSIDERANDO:</w:t>
      </w:r>
    </w:p>
    <w:p w14:paraId="200C5857" w14:textId="77777777" w:rsidR="0004472B" w:rsidRDefault="0004472B" w:rsidP="0004472B">
      <w:pPr>
        <w:pStyle w:val="Prrafodelista"/>
        <w:numPr>
          <w:ilvl w:val="0"/>
          <w:numId w:val="1"/>
        </w:numPr>
        <w:rPr>
          <w:rFonts w:ascii="Verdana" w:hAnsi="Verdana"/>
          <w:sz w:val="22"/>
          <w:szCs w:val="22"/>
        </w:rPr>
      </w:pPr>
      <w:r w:rsidRPr="0004472B">
        <w:rPr>
          <w:rFonts w:ascii="Verdana" w:hAnsi="Verdana"/>
          <w:sz w:val="22"/>
          <w:szCs w:val="22"/>
        </w:rPr>
        <w:t>Que es fundamental la constitución de un comité que efectué el análisis de los resultados financieros, obtenidos en un periodo determinado, por medio de un diagnostico permanente que permita proyectar las acciones y resultados financieros y recomendar a la Dirección General las políticas de mejoramiento para la Administración Financiera de los recursos, así como la conveniencia de la compra y venta de Títulos de Tesorería TES Clase B, tanto para el manejo de inversión forzosa, rotación de portafolio o inversión voluntaria de acuerdo a las normas vigentes para el efecto, en especial del decreto 1013 de 1995.</w:t>
      </w:r>
    </w:p>
    <w:p w14:paraId="46FD381A" w14:textId="0FFE0B83" w:rsidR="0004472B" w:rsidRPr="0004472B" w:rsidRDefault="0004472B" w:rsidP="0004472B">
      <w:pPr>
        <w:pStyle w:val="Prrafodelista"/>
        <w:numPr>
          <w:ilvl w:val="0"/>
          <w:numId w:val="1"/>
        </w:numPr>
        <w:rPr>
          <w:rFonts w:ascii="Verdana" w:hAnsi="Verdana"/>
          <w:sz w:val="22"/>
          <w:szCs w:val="22"/>
        </w:rPr>
      </w:pPr>
      <w:r w:rsidRPr="0004472B">
        <w:rPr>
          <w:rFonts w:ascii="Verdana" w:hAnsi="Verdana"/>
          <w:sz w:val="22"/>
          <w:szCs w:val="22"/>
        </w:rPr>
        <w:t>Que en merito de lo expuesto,</w:t>
      </w:r>
    </w:p>
    <w:p w14:paraId="63963E5A" w14:textId="77777777" w:rsidR="0004472B" w:rsidRPr="0004472B" w:rsidRDefault="0004472B" w:rsidP="0004472B">
      <w:pPr>
        <w:jc w:val="center"/>
        <w:rPr>
          <w:rFonts w:ascii="Verdana" w:hAnsi="Verdana"/>
          <w:b/>
          <w:bCs/>
          <w:sz w:val="22"/>
          <w:szCs w:val="22"/>
        </w:rPr>
      </w:pPr>
      <w:r w:rsidRPr="0004472B">
        <w:rPr>
          <w:rFonts w:ascii="Verdana" w:hAnsi="Verdana"/>
          <w:b/>
          <w:bCs/>
          <w:sz w:val="22"/>
          <w:szCs w:val="22"/>
        </w:rPr>
        <w:t>RESUELVE:</w:t>
      </w:r>
    </w:p>
    <w:p w14:paraId="40B3C612" w14:textId="15E789DC" w:rsidR="0004472B" w:rsidRPr="0004472B" w:rsidRDefault="0004472B" w:rsidP="0004472B">
      <w:pPr>
        <w:rPr>
          <w:rFonts w:ascii="Verdana" w:hAnsi="Verdana"/>
          <w:sz w:val="22"/>
          <w:szCs w:val="22"/>
        </w:rPr>
      </w:pPr>
      <w:r w:rsidRPr="0004472B">
        <w:rPr>
          <w:rFonts w:ascii="Verdana" w:hAnsi="Verdana"/>
          <w:b/>
          <w:bCs/>
          <w:sz w:val="22"/>
          <w:szCs w:val="22"/>
        </w:rPr>
        <w:t>ARTÍCULO 1o.</w:t>
      </w:r>
      <w:r w:rsidRPr="0004472B">
        <w:rPr>
          <w:rFonts w:ascii="Verdana" w:hAnsi="Verdana"/>
          <w:sz w:val="22"/>
          <w:szCs w:val="22"/>
        </w:rPr>
        <w:t xml:space="preserve"> Crear el Comité de Inversiones y Manejo del Portafolio del Instituto, de conformidad con lo establecido en el considerando de la presente resolución.</w:t>
      </w:r>
    </w:p>
    <w:p w14:paraId="22C1B45B" w14:textId="6EA072F2" w:rsidR="0004472B" w:rsidRPr="0004472B" w:rsidRDefault="0004472B" w:rsidP="0004472B">
      <w:pPr>
        <w:rPr>
          <w:rFonts w:ascii="Verdana" w:hAnsi="Verdana"/>
          <w:sz w:val="22"/>
          <w:szCs w:val="22"/>
        </w:rPr>
      </w:pPr>
      <w:r w:rsidRPr="0004472B">
        <w:rPr>
          <w:rFonts w:ascii="Verdana" w:hAnsi="Verdana"/>
          <w:b/>
          <w:bCs/>
          <w:sz w:val="22"/>
          <w:szCs w:val="22"/>
        </w:rPr>
        <w:t>ARTÍCULO 2o.</w:t>
      </w:r>
      <w:r w:rsidRPr="0004472B">
        <w:rPr>
          <w:rFonts w:ascii="Verdana" w:hAnsi="Verdana"/>
          <w:sz w:val="22"/>
          <w:szCs w:val="22"/>
        </w:rPr>
        <w:t xml:space="preserve"> El Comité de Inversiones y manejo del Portafolio estará conformado por los siguientes Servidores Públicos:</w:t>
      </w:r>
    </w:p>
    <w:p w14:paraId="7C30CBFE" w14:textId="77777777" w:rsidR="0004472B" w:rsidRPr="0004472B" w:rsidRDefault="0004472B" w:rsidP="0004472B">
      <w:pPr>
        <w:rPr>
          <w:rFonts w:ascii="Verdana" w:hAnsi="Verdana"/>
          <w:sz w:val="22"/>
          <w:szCs w:val="22"/>
        </w:rPr>
      </w:pPr>
    </w:p>
    <w:p w14:paraId="0AD4C43B" w14:textId="6CFBCECE" w:rsidR="0004472B" w:rsidRPr="0004472B" w:rsidRDefault="0004472B" w:rsidP="0004472B">
      <w:pPr>
        <w:rPr>
          <w:rFonts w:ascii="Verdana" w:hAnsi="Verdana"/>
          <w:sz w:val="22"/>
          <w:szCs w:val="22"/>
        </w:rPr>
      </w:pPr>
      <w:r w:rsidRPr="0004472B">
        <w:rPr>
          <w:rFonts w:ascii="Verdana" w:hAnsi="Verdana"/>
          <w:sz w:val="22"/>
          <w:szCs w:val="22"/>
        </w:rPr>
        <w:t>Secretaria (o) General quien presidirá el Comité.</w:t>
      </w:r>
    </w:p>
    <w:p w14:paraId="74DC525A" w14:textId="53981131" w:rsidR="0004472B" w:rsidRPr="0004472B" w:rsidRDefault="0004472B" w:rsidP="0004472B">
      <w:pPr>
        <w:rPr>
          <w:rFonts w:ascii="Verdana" w:hAnsi="Verdana"/>
          <w:sz w:val="22"/>
          <w:szCs w:val="22"/>
        </w:rPr>
      </w:pPr>
      <w:r w:rsidRPr="0004472B">
        <w:rPr>
          <w:rFonts w:ascii="Verdana" w:hAnsi="Verdana"/>
          <w:sz w:val="22"/>
          <w:szCs w:val="22"/>
        </w:rPr>
        <w:t>Director (a) de Planeación.</w:t>
      </w:r>
    </w:p>
    <w:p w14:paraId="43502C60" w14:textId="77777777" w:rsidR="0004472B" w:rsidRPr="0004472B" w:rsidRDefault="0004472B" w:rsidP="0004472B">
      <w:pPr>
        <w:rPr>
          <w:rFonts w:ascii="Verdana" w:hAnsi="Verdana"/>
          <w:sz w:val="22"/>
          <w:szCs w:val="22"/>
        </w:rPr>
      </w:pPr>
      <w:r w:rsidRPr="0004472B">
        <w:rPr>
          <w:rFonts w:ascii="Verdana" w:hAnsi="Verdana"/>
          <w:sz w:val="22"/>
          <w:szCs w:val="22"/>
        </w:rPr>
        <w:t>Director (a) Financiera.</w:t>
      </w:r>
    </w:p>
    <w:p w14:paraId="7473D033" w14:textId="316A0939" w:rsidR="0004472B" w:rsidRPr="0004472B" w:rsidRDefault="0004472B" w:rsidP="0004472B">
      <w:pPr>
        <w:rPr>
          <w:rFonts w:ascii="Verdana" w:hAnsi="Verdana"/>
          <w:sz w:val="22"/>
          <w:szCs w:val="22"/>
        </w:rPr>
      </w:pPr>
      <w:r w:rsidRPr="0004472B">
        <w:rPr>
          <w:rFonts w:ascii="Verdana" w:hAnsi="Verdana"/>
          <w:sz w:val="22"/>
          <w:szCs w:val="22"/>
        </w:rPr>
        <w:lastRenderedPageBreak/>
        <w:t>Jefe Oficina Jurídica.</w:t>
      </w:r>
    </w:p>
    <w:p w14:paraId="224AD293" w14:textId="3748308F" w:rsidR="0004472B" w:rsidRPr="0004472B" w:rsidRDefault="0004472B" w:rsidP="0004472B">
      <w:pPr>
        <w:rPr>
          <w:rFonts w:ascii="Verdana" w:hAnsi="Verdana"/>
          <w:sz w:val="22"/>
          <w:szCs w:val="22"/>
        </w:rPr>
      </w:pPr>
      <w:r w:rsidRPr="0004472B">
        <w:rPr>
          <w:rFonts w:ascii="Verdana" w:hAnsi="Verdana"/>
          <w:sz w:val="22"/>
          <w:szCs w:val="22"/>
        </w:rPr>
        <w:t>Coordinador (a) Grupo de Presupuesto del Nivel Nacional.</w:t>
      </w:r>
    </w:p>
    <w:p w14:paraId="7A5B6D6D" w14:textId="02E67340" w:rsidR="0004472B" w:rsidRPr="0004472B" w:rsidRDefault="0004472B" w:rsidP="0004472B">
      <w:pPr>
        <w:rPr>
          <w:rFonts w:ascii="Verdana" w:hAnsi="Verdana"/>
          <w:sz w:val="22"/>
          <w:szCs w:val="22"/>
        </w:rPr>
      </w:pPr>
      <w:r w:rsidRPr="0004472B">
        <w:rPr>
          <w:rFonts w:ascii="Verdana" w:hAnsi="Verdana"/>
          <w:sz w:val="22"/>
          <w:szCs w:val="22"/>
        </w:rPr>
        <w:t>Coordinador (a) Grupo de Tesorería, quien realizará las veces de Secretario del Comité.</w:t>
      </w:r>
    </w:p>
    <w:p w14:paraId="2081F3F9" w14:textId="77777777" w:rsidR="0004472B" w:rsidRPr="0004472B" w:rsidRDefault="0004472B" w:rsidP="0004472B">
      <w:pPr>
        <w:rPr>
          <w:rFonts w:ascii="Verdana" w:hAnsi="Verdana"/>
          <w:sz w:val="22"/>
          <w:szCs w:val="22"/>
        </w:rPr>
      </w:pPr>
      <w:r w:rsidRPr="0004472B">
        <w:rPr>
          <w:rFonts w:ascii="Verdana" w:hAnsi="Verdana"/>
          <w:b/>
          <w:bCs/>
          <w:sz w:val="22"/>
          <w:szCs w:val="22"/>
        </w:rPr>
        <w:t>PARÁGRAFO:</w:t>
      </w:r>
      <w:r w:rsidRPr="0004472B">
        <w:rPr>
          <w:rFonts w:ascii="Verdana" w:hAnsi="Verdana"/>
          <w:sz w:val="22"/>
          <w:szCs w:val="22"/>
        </w:rPr>
        <w:t xml:space="preserve"> Según el tema de estudio, el Comité invitara al servidor público o a las personas que considere conveniente.</w:t>
      </w:r>
    </w:p>
    <w:p w14:paraId="32F6CB86" w14:textId="1C6691D5" w:rsidR="0004472B" w:rsidRPr="0004472B" w:rsidRDefault="0004472B" w:rsidP="0004472B">
      <w:pPr>
        <w:rPr>
          <w:rFonts w:ascii="Verdana" w:hAnsi="Verdana"/>
          <w:sz w:val="22"/>
          <w:szCs w:val="22"/>
        </w:rPr>
      </w:pPr>
      <w:r w:rsidRPr="00053FFA">
        <w:rPr>
          <w:rFonts w:ascii="Verdana" w:hAnsi="Verdana"/>
          <w:b/>
          <w:bCs/>
          <w:sz w:val="22"/>
          <w:szCs w:val="22"/>
        </w:rPr>
        <w:t>ARTÍCULO 3o.</w:t>
      </w:r>
      <w:r w:rsidRPr="0004472B">
        <w:rPr>
          <w:rFonts w:ascii="Verdana" w:hAnsi="Verdana"/>
          <w:sz w:val="22"/>
          <w:szCs w:val="22"/>
        </w:rPr>
        <w:t xml:space="preserve"> El Inversiones y manejo del Portafolio tendrá las siguientes funciones:</w:t>
      </w:r>
    </w:p>
    <w:p w14:paraId="40EA9D56" w14:textId="77777777" w:rsidR="0004472B" w:rsidRPr="0004472B" w:rsidRDefault="0004472B" w:rsidP="0004472B">
      <w:pPr>
        <w:rPr>
          <w:rFonts w:ascii="Verdana" w:hAnsi="Verdana"/>
          <w:sz w:val="22"/>
          <w:szCs w:val="22"/>
        </w:rPr>
      </w:pPr>
      <w:r w:rsidRPr="0004472B">
        <w:rPr>
          <w:rFonts w:ascii="Verdana" w:hAnsi="Verdana"/>
          <w:sz w:val="22"/>
          <w:szCs w:val="22"/>
        </w:rPr>
        <w:t>Estudiar las alternativas para la colocación de los excedentes de efectivo del ICBF, en inversiones que garanticen seguridad y alta rentabilidad, de conformidad con las normas vigentes sobre la materia.</w:t>
      </w:r>
    </w:p>
    <w:p w14:paraId="1403A2EB" w14:textId="29453577" w:rsidR="0004472B" w:rsidRPr="0004472B" w:rsidRDefault="0004472B" w:rsidP="0004472B">
      <w:pPr>
        <w:rPr>
          <w:rFonts w:ascii="Verdana" w:hAnsi="Verdana"/>
          <w:sz w:val="22"/>
          <w:szCs w:val="22"/>
        </w:rPr>
      </w:pPr>
      <w:r w:rsidRPr="0004472B">
        <w:rPr>
          <w:rFonts w:ascii="Verdana" w:hAnsi="Verdana"/>
          <w:sz w:val="22"/>
          <w:szCs w:val="22"/>
        </w:rPr>
        <w:t>Analizar las condiciones del mercado en el momento de realizar la compra o venta de TES.</w:t>
      </w:r>
    </w:p>
    <w:p w14:paraId="5F26C393" w14:textId="1A8CEA00" w:rsidR="0004472B" w:rsidRPr="0004472B" w:rsidRDefault="0004472B" w:rsidP="0004472B">
      <w:pPr>
        <w:rPr>
          <w:rFonts w:ascii="Verdana" w:hAnsi="Verdana"/>
          <w:sz w:val="22"/>
          <w:szCs w:val="22"/>
        </w:rPr>
      </w:pPr>
      <w:r w:rsidRPr="0004472B">
        <w:rPr>
          <w:rFonts w:ascii="Verdana" w:hAnsi="Verdana"/>
          <w:sz w:val="22"/>
          <w:szCs w:val="22"/>
        </w:rPr>
        <w:t>Analizar la conveniencia o no de acuerdo a las condiciones de mercado para la rotación de portafolio.</w:t>
      </w:r>
    </w:p>
    <w:p w14:paraId="7850E8DE" w14:textId="25F5676E" w:rsidR="0004472B" w:rsidRPr="0004472B" w:rsidRDefault="0004472B" w:rsidP="0004472B">
      <w:pPr>
        <w:rPr>
          <w:rFonts w:ascii="Verdana" w:hAnsi="Verdana"/>
          <w:sz w:val="22"/>
          <w:szCs w:val="22"/>
        </w:rPr>
      </w:pPr>
      <w:r w:rsidRPr="00053FFA">
        <w:rPr>
          <w:rFonts w:ascii="Verdana" w:hAnsi="Verdana"/>
          <w:b/>
          <w:bCs/>
          <w:sz w:val="22"/>
          <w:szCs w:val="22"/>
        </w:rPr>
        <w:t>ARTÍCULO 4o.</w:t>
      </w:r>
      <w:r w:rsidRPr="0004472B">
        <w:rPr>
          <w:rFonts w:ascii="Verdana" w:hAnsi="Verdana"/>
          <w:sz w:val="22"/>
          <w:szCs w:val="22"/>
        </w:rPr>
        <w:t xml:space="preserve"> El Comité de Inversiones y manejo del Portafolio se reunirá ordinariamente cada mes y de manera extraordinaria cuando sea citado por su Presidente.</w:t>
      </w:r>
    </w:p>
    <w:p w14:paraId="23E818AF" w14:textId="6AE6968F" w:rsidR="0004472B" w:rsidRPr="0004472B" w:rsidRDefault="0004472B" w:rsidP="0004472B">
      <w:pPr>
        <w:rPr>
          <w:rFonts w:ascii="Verdana" w:hAnsi="Verdana"/>
          <w:sz w:val="22"/>
          <w:szCs w:val="22"/>
        </w:rPr>
      </w:pPr>
      <w:r w:rsidRPr="00053FFA">
        <w:rPr>
          <w:rFonts w:ascii="Verdana" w:hAnsi="Verdana"/>
          <w:b/>
          <w:bCs/>
          <w:sz w:val="22"/>
          <w:szCs w:val="22"/>
        </w:rPr>
        <w:t>PARÁGRAFO</w:t>
      </w:r>
      <w:r w:rsidR="00053FFA" w:rsidRPr="00053FFA">
        <w:rPr>
          <w:rFonts w:ascii="Verdana" w:hAnsi="Verdana"/>
          <w:b/>
          <w:bCs/>
          <w:sz w:val="22"/>
          <w:szCs w:val="22"/>
        </w:rPr>
        <w:t>.</w:t>
      </w:r>
      <w:r w:rsidR="00053FFA">
        <w:rPr>
          <w:rFonts w:ascii="Verdana" w:hAnsi="Verdana"/>
          <w:sz w:val="22"/>
          <w:szCs w:val="22"/>
        </w:rPr>
        <w:t xml:space="preserve"> </w:t>
      </w:r>
      <w:r w:rsidRPr="0004472B">
        <w:rPr>
          <w:rFonts w:ascii="Verdana" w:hAnsi="Verdana"/>
          <w:sz w:val="22"/>
          <w:szCs w:val="22"/>
        </w:rPr>
        <w:t>De las reuniones del Comité de Gestión Financiera se levanta un acta que deberá ser suscrita por el Presidente y el Secretario del Comité y aprobada por el Comité en cada sesión.</w:t>
      </w:r>
    </w:p>
    <w:p w14:paraId="74E3019D" w14:textId="3A48785A" w:rsidR="0004472B" w:rsidRPr="0004472B" w:rsidRDefault="0004472B" w:rsidP="0004472B">
      <w:pPr>
        <w:rPr>
          <w:rFonts w:ascii="Verdana" w:hAnsi="Verdana"/>
          <w:sz w:val="22"/>
          <w:szCs w:val="22"/>
        </w:rPr>
      </w:pPr>
      <w:r w:rsidRPr="00053FFA">
        <w:rPr>
          <w:rFonts w:ascii="Verdana" w:hAnsi="Verdana"/>
          <w:b/>
          <w:bCs/>
          <w:sz w:val="22"/>
          <w:szCs w:val="22"/>
        </w:rPr>
        <w:t>ARTÍCULO 5o.</w:t>
      </w:r>
      <w:r w:rsidRPr="0004472B">
        <w:rPr>
          <w:rFonts w:ascii="Verdana" w:hAnsi="Verdana"/>
          <w:sz w:val="22"/>
          <w:szCs w:val="22"/>
        </w:rPr>
        <w:t xml:space="preserve"> </w:t>
      </w:r>
      <w:r>
        <w:rPr>
          <w:rFonts w:ascii="Verdana" w:hAnsi="Verdana"/>
          <w:sz w:val="22"/>
          <w:szCs w:val="22"/>
        </w:rPr>
        <w:t>[</w:t>
      </w:r>
      <w:r w:rsidRPr="0004472B">
        <w:rPr>
          <w:rFonts w:ascii="Verdana" w:hAnsi="Verdana"/>
          <w:sz w:val="22"/>
          <w:szCs w:val="22"/>
        </w:rPr>
        <w:t>Resolución derogada por el artículo 1 de la Resolución 9461 de 2017</w:t>
      </w:r>
      <w:r>
        <w:rPr>
          <w:rFonts w:ascii="Verdana" w:hAnsi="Verdana"/>
          <w:sz w:val="22"/>
          <w:szCs w:val="22"/>
        </w:rPr>
        <w:t>]</w:t>
      </w:r>
      <w:r w:rsidRPr="0004472B">
        <w:rPr>
          <w:rFonts w:ascii="Verdana" w:hAnsi="Verdana"/>
          <w:sz w:val="22"/>
          <w:szCs w:val="22"/>
        </w:rPr>
        <w:t xml:space="preserve"> La presente Resolución rige a partir de su expedición y deroga todas las normas que le sean contrarias, en especial las Resoluciones No. 2222 de 1998, 1300 de 2001, 2576 de 2002 y 369 de 2003.</w:t>
      </w:r>
    </w:p>
    <w:p w14:paraId="5AD3FB29" w14:textId="7CD0F9DA" w:rsidR="0004472B" w:rsidRPr="00053FFA" w:rsidRDefault="0004472B" w:rsidP="00053FFA">
      <w:pPr>
        <w:jc w:val="center"/>
        <w:rPr>
          <w:rFonts w:ascii="Verdana" w:hAnsi="Verdana"/>
          <w:b/>
          <w:bCs/>
          <w:sz w:val="22"/>
          <w:szCs w:val="22"/>
        </w:rPr>
      </w:pPr>
      <w:r w:rsidRPr="00053FFA">
        <w:rPr>
          <w:rFonts w:ascii="Verdana" w:hAnsi="Verdana"/>
          <w:b/>
          <w:bCs/>
          <w:sz w:val="22"/>
          <w:szCs w:val="22"/>
        </w:rPr>
        <w:t>COMUNÍQUESE Y CÚMPLASE</w:t>
      </w:r>
      <w:r w:rsidR="00053FFA" w:rsidRPr="00053FFA">
        <w:rPr>
          <w:rFonts w:ascii="Verdana" w:hAnsi="Verdana"/>
          <w:b/>
          <w:bCs/>
          <w:sz w:val="22"/>
          <w:szCs w:val="22"/>
        </w:rPr>
        <w:t>,</w:t>
      </w:r>
    </w:p>
    <w:p w14:paraId="583D5A12" w14:textId="5C9A48EC" w:rsidR="0004472B" w:rsidRPr="0004472B" w:rsidRDefault="0004472B" w:rsidP="00053FFA">
      <w:pPr>
        <w:jc w:val="center"/>
        <w:rPr>
          <w:rFonts w:ascii="Verdana" w:hAnsi="Verdana"/>
          <w:sz w:val="22"/>
          <w:szCs w:val="22"/>
        </w:rPr>
      </w:pPr>
      <w:r w:rsidRPr="0004472B">
        <w:rPr>
          <w:rFonts w:ascii="Verdana" w:hAnsi="Verdana"/>
          <w:sz w:val="22"/>
          <w:szCs w:val="22"/>
        </w:rPr>
        <w:t>Dada en Bogotá D. C., a</w:t>
      </w:r>
      <w:r w:rsidR="00053FFA">
        <w:rPr>
          <w:rFonts w:ascii="Verdana" w:hAnsi="Verdana"/>
          <w:sz w:val="22"/>
          <w:szCs w:val="22"/>
        </w:rPr>
        <w:t>l 1 días del mes de agosto de 2</w:t>
      </w:r>
      <w:r w:rsidRPr="0004472B">
        <w:rPr>
          <w:rFonts w:ascii="Verdana" w:hAnsi="Verdana"/>
          <w:sz w:val="22"/>
          <w:szCs w:val="22"/>
        </w:rPr>
        <w:t>007.</w:t>
      </w:r>
    </w:p>
    <w:p w14:paraId="44B5541B" w14:textId="77777777" w:rsidR="0004472B" w:rsidRPr="00053FFA" w:rsidRDefault="0004472B" w:rsidP="00053FFA">
      <w:pPr>
        <w:jc w:val="center"/>
        <w:rPr>
          <w:rFonts w:ascii="Verdana" w:hAnsi="Verdana"/>
          <w:b/>
          <w:bCs/>
          <w:sz w:val="22"/>
          <w:szCs w:val="22"/>
        </w:rPr>
      </w:pPr>
      <w:r w:rsidRPr="00053FFA">
        <w:rPr>
          <w:rFonts w:ascii="Verdana" w:hAnsi="Verdana"/>
          <w:b/>
          <w:bCs/>
          <w:sz w:val="22"/>
          <w:szCs w:val="22"/>
        </w:rPr>
        <w:t>ELVIRA FORERO HERNANDEZ</w:t>
      </w:r>
    </w:p>
    <w:p w14:paraId="72531853" w14:textId="7A65C1B0" w:rsidR="0004472B" w:rsidRPr="0004472B" w:rsidRDefault="00053FFA" w:rsidP="00053FFA">
      <w:pPr>
        <w:jc w:val="center"/>
        <w:rPr>
          <w:rFonts w:ascii="Verdana" w:hAnsi="Verdana"/>
          <w:sz w:val="22"/>
          <w:szCs w:val="22"/>
        </w:rPr>
      </w:pPr>
      <w:r w:rsidRPr="0004472B">
        <w:rPr>
          <w:rFonts w:ascii="Verdana" w:hAnsi="Verdana"/>
          <w:sz w:val="22"/>
          <w:szCs w:val="22"/>
        </w:rPr>
        <w:t>DIRECTORA GENERAL</w:t>
      </w:r>
    </w:p>
    <w:p w14:paraId="6A99C34D" w14:textId="77777777" w:rsidR="0004472B" w:rsidRPr="0004472B" w:rsidRDefault="0004472B" w:rsidP="0004472B">
      <w:pPr>
        <w:rPr>
          <w:rFonts w:ascii="Verdana" w:hAnsi="Verdana"/>
          <w:sz w:val="22"/>
          <w:szCs w:val="22"/>
        </w:rPr>
      </w:pPr>
    </w:p>
    <w:sectPr w:rsidR="0004472B" w:rsidRPr="000447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659E5"/>
    <w:multiLevelType w:val="hybridMultilevel"/>
    <w:tmpl w:val="4FA279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3798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3A"/>
    <w:rsid w:val="00015D2A"/>
    <w:rsid w:val="0004472B"/>
    <w:rsid w:val="00053FFA"/>
    <w:rsid w:val="001331CB"/>
    <w:rsid w:val="00490B89"/>
    <w:rsid w:val="00530824"/>
    <w:rsid w:val="00550F5C"/>
    <w:rsid w:val="006D46F6"/>
    <w:rsid w:val="0088588F"/>
    <w:rsid w:val="009158F4"/>
    <w:rsid w:val="00A53D3A"/>
    <w:rsid w:val="00A82AC8"/>
    <w:rsid w:val="00FE53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6F45"/>
  <w15:chartTrackingRefBased/>
  <w15:docId w15:val="{8A41463F-8E0F-4400-8D9E-768175C4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3D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3D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53D3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53D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53D3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53D3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53D3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3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3D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3D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53D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53D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53D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53D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53D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53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D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D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53D3A"/>
    <w:pPr>
      <w:spacing w:before="160"/>
      <w:jc w:val="center"/>
    </w:pPr>
    <w:rPr>
      <w:i/>
      <w:iCs/>
      <w:color w:val="404040" w:themeColor="text1" w:themeTint="BF"/>
    </w:rPr>
  </w:style>
  <w:style w:type="character" w:customStyle="1" w:styleId="CitaCar">
    <w:name w:val="Cita Car"/>
    <w:basedOn w:val="Fuentedeprrafopredeter"/>
    <w:link w:val="Cita"/>
    <w:uiPriority w:val="29"/>
    <w:rsid w:val="00A53D3A"/>
    <w:rPr>
      <w:i/>
      <w:iCs/>
      <w:color w:val="404040" w:themeColor="text1" w:themeTint="BF"/>
    </w:rPr>
  </w:style>
  <w:style w:type="paragraph" w:styleId="Prrafodelista">
    <w:name w:val="List Paragraph"/>
    <w:basedOn w:val="Normal"/>
    <w:uiPriority w:val="34"/>
    <w:qFormat/>
    <w:rsid w:val="00A53D3A"/>
    <w:pPr>
      <w:ind w:left="720"/>
      <w:contextualSpacing/>
    </w:pPr>
  </w:style>
  <w:style w:type="character" w:styleId="nfasisintenso">
    <w:name w:val="Intense Emphasis"/>
    <w:basedOn w:val="Fuentedeprrafopredeter"/>
    <w:uiPriority w:val="21"/>
    <w:qFormat/>
    <w:rsid w:val="00A53D3A"/>
    <w:rPr>
      <w:i/>
      <w:iCs/>
      <w:color w:val="0F4761" w:themeColor="accent1" w:themeShade="BF"/>
    </w:rPr>
  </w:style>
  <w:style w:type="paragraph" w:styleId="Citadestacada">
    <w:name w:val="Intense Quote"/>
    <w:basedOn w:val="Normal"/>
    <w:next w:val="Normal"/>
    <w:link w:val="CitadestacadaCar"/>
    <w:uiPriority w:val="30"/>
    <w:qFormat/>
    <w:rsid w:val="00A5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3D3A"/>
    <w:rPr>
      <w:i/>
      <w:iCs/>
      <w:color w:val="0F4761" w:themeColor="accent1" w:themeShade="BF"/>
    </w:rPr>
  </w:style>
  <w:style w:type="character" w:styleId="Referenciaintensa">
    <w:name w:val="Intense Reference"/>
    <w:basedOn w:val="Fuentedeprrafopredeter"/>
    <w:uiPriority w:val="32"/>
    <w:qFormat/>
    <w:rsid w:val="00A53D3A"/>
    <w:rPr>
      <w:b/>
      <w:bCs/>
      <w:smallCaps/>
      <w:color w:val="0F4761" w:themeColor="accent1" w:themeShade="BF"/>
      <w:spacing w:val="5"/>
    </w:rPr>
  </w:style>
  <w:style w:type="table" w:styleId="Tablaconcuadrcula">
    <w:name w:val="Table Grid"/>
    <w:basedOn w:val="Tablanormal"/>
    <w:uiPriority w:val="39"/>
    <w:rsid w:val="009158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331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021D8-F020-4659-BFC6-7AEAD933006C}"/>
</file>

<file path=customXml/itemProps2.xml><?xml version="1.0" encoding="utf-8"?>
<ds:datastoreItem xmlns:ds="http://schemas.openxmlformats.org/officeDocument/2006/customXml" ds:itemID="{B1FB75F8-7CE3-4913-8171-DE0516535EB0}"/>
</file>

<file path=customXml/itemProps3.xml><?xml version="1.0" encoding="utf-8"?>
<ds:datastoreItem xmlns:ds="http://schemas.openxmlformats.org/officeDocument/2006/customXml" ds:itemID="{83526ADC-D4F3-4E71-BDF9-5FA1C39DCCA1}"/>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2829</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2025-12-03T20:23:00Z</dcterms:created>
  <dcterms:modified xsi:type="dcterms:W3CDTF">2026-01-22T19:32:00Z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