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9467" w14:textId="66A2CB02" w:rsidR="006479C8" w:rsidRPr="006479C8" w:rsidRDefault="006479C8" w:rsidP="006479C8">
      <w:pPr>
        <w:jc w:val="center"/>
        <w:rPr>
          <w:rFonts w:ascii="Verdana" w:hAnsi="Verdana"/>
          <w:b/>
          <w:bCs/>
          <w:sz w:val="22"/>
          <w:szCs w:val="22"/>
        </w:rPr>
      </w:pPr>
      <w:r w:rsidRPr="008C422E">
        <w:rPr>
          <w:rFonts w:ascii="Verdana" w:hAnsi="Verdana"/>
          <w:b/>
          <w:bCs/>
          <w:sz w:val="22"/>
          <w:szCs w:val="22"/>
        </w:rPr>
        <w:t>RESOLUCIÓN 16 DE 2012</w:t>
      </w:r>
    </w:p>
    <w:p w14:paraId="6B230CDE" w14:textId="77777777" w:rsidR="007D3A4F" w:rsidRPr="007D3A4F" w:rsidRDefault="007D3A4F" w:rsidP="007D3A4F">
      <w:pPr>
        <w:pStyle w:val="Sinespaciado"/>
        <w:rPr>
          <w:sz w:val="20"/>
          <w:szCs w:val="20"/>
        </w:rPr>
      </w:pPr>
      <w:r w:rsidRPr="007D3A4F">
        <w:rPr>
          <w:sz w:val="20"/>
          <w:szCs w:val="20"/>
        </w:rPr>
        <w:t>Fecha de Expedición: 2 de enero de 2012</w:t>
      </w:r>
    </w:p>
    <w:p w14:paraId="3AB19D68" w14:textId="77777777" w:rsidR="007D3A4F" w:rsidRPr="007D3A4F" w:rsidRDefault="007D3A4F" w:rsidP="007D3A4F">
      <w:pPr>
        <w:pStyle w:val="Sinespaciado"/>
        <w:rPr>
          <w:sz w:val="20"/>
          <w:szCs w:val="20"/>
        </w:rPr>
      </w:pPr>
      <w:r w:rsidRPr="007D3A4F">
        <w:rPr>
          <w:sz w:val="20"/>
          <w:szCs w:val="20"/>
        </w:rPr>
        <w:t xml:space="preserve">Fecha de </w:t>
      </w:r>
      <w:proofErr w:type="gramStart"/>
      <w:r w:rsidRPr="007D3A4F">
        <w:rPr>
          <w:sz w:val="20"/>
          <w:szCs w:val="20"/>
        </w:rPr>
        <w:t>entrada en vigencia</w:t>
      </w:r>
      <w:proofErr w:type="gramEnd"/>
      <w:r w:rsidRPr="007D3A4F">
        <w:rPr>
          <w:sz w:val="20"/>
          <w:szCs w:val="20"/>
        </w:rPr>
        <w:t>: 2 de enero de 2012</w:t>
      </w:r>
    </w:p>
    <w:p w14:paraId="6307055C" w14:textId="77777777" w:rsidR="007D3A4F" w:rsidRPr="007D3A4F" w:rsidRDefault="007D3A4F" w:rsidP="007D3A4F">
      <w:pPr>
        <w:pStyle w:val="Sinespaciado"/>
        <w:rPr>
          <w:sz w:val="20"/>
          <w:szCs w:val="20"/>
        </w:rPr>
      </w:pPr>
      <w:r w:rsidRPr="007D3A4F">
        <w:rPr>
          <w:sz w:val="20"/>
          <w:szCs w:val="20"/>
        </w:rPr>
        <w:t xml:space="preserve">Estado de la vigencia: Vigente </w:t>
      </w:r>
      <w:r w:rsidRPr="007D3A4F">
        <w:rPr>
          <w:sz w:val="20"/>
          <w:szCs w:val="20"/>
        </w:rPr>
        <w:tab/>
      </w:r>
    </w:p>
    <w:p w14:paraId="1257FDF2" w14:textId="77777777" w:rsidR="007D3A4F" w:rsidRPr="007D3A4F" w:rsidRDefault="007D3A4F" w:rsidP="007D3A4F">
      <w:pPr>
        <w:pStyle w:val="Sinespaciado"/>
        <w:rPr>
          <w:sz w:val="20"/>
          <w:szCs w:val="20"/>
        </w:rPr>
      </w:pPr>
    </w:p>
    <w:p w14:paraId="4AF062E4" w14:textId="1F657576" w:rsidR="007D3A4F" w:rsidRPr="007D3A4F" w:rsidRDefault="007D3A4F" w:rsidP="007D3A4F">
      <w:pPr>
        <w:pStyle w:val="Sinespaciado"/>
        <w:rPr>
          <w:sz w:val="20"/>
          <w:szCs w:val="20"/>
        </w:rPr>
      </w:pPr>
      <w:r w:rsidRPr="007D3A4F">
        <w:rPr>
          <w:sz w:val="20"/>
          <w:szCs w:val="20"/>
        </w:rPr>
        <w:t>Fecha de publicación en Diario Oficial: N/A</w:t>
      </w:r>
    </w:p>
    <w:p w14:paraId="209DBBA3" w14:textId="030EA2F1" w:rsidR="0088588F" w:rsidRPr="007D3A4F" w:rsidRDefault="007D3A4F" w:rsidP="007D3A4F">
      <w:pPr>
        <w:pStyle w:val="Sinespaciado"/>
        <w:rPr>
          <w:sz w:val="20"/>
          <w:szCs w:val="20"/>
        </w:rPr>
      </w:pPr>
      <w:r w:rsidRPr="007D3A4F">
        <w:rPr>
          <w:sz w:val="20"/>
          <w:szCs w:val="20"/>
        </w:rPr>
        <w:t>Número del Diario Oficial: N/A</w:t>
      </w:r>
    </w:p>
    <w:p w14:paraId="4DB5F3E8" w14:textId="77777777" w:rsidR="007D3A4F" w:rsidRPr="008C422E" w:rsidRDefault="007D3A4F" w:rsidP="007D3A4F">
      <w:pPr>
        <w:pStyle w:val="Sinespaciado"/>
      </w:pPr>
    </w:p>
    <w:p w14:paraId="1BD1EE40" w14:textId="2C34DAF5" w:rsidR="003C1C7E" w:rsidRPr="008C422E" w:rsidRDefault="003C1C7E" w:rsidP="008C422E">
      <w:pPr>
        <w:jc w:val="center"/>
        <w:rPr>
          <w:rFonts w:ascii="Verdana" w:hAnsi="Verdana"/>
          <w:b/>
          <w:bCs/>
          <w:sz w:val="22"/>
          <w:szCs w:val="22"/>
        </w:rPr>
      </w:pPr>
      <w:r w:rsidRPr="008C422E">
        <w:rPr>
          <w:rFonts w:ascii="Verdana" w:hAnsi="Verdana"/>
          <w:b/>
          <w:bCs/>
          <w:sz w:val="22"/>
          <w:szCs w:val="22"/>
        </w:rPr>
        <w:t>RESOLUCIÓN 16 DE 2012</w:t>
      </w:r>
    </w:p>
    <w:p w14:paraId="1AE748BF" w14:textId="3A09DF38" w:rsidR="003C1C7E" w:rsidRPr="008C422E" w:rsidRDefault="003C1C7E" w:rsidP="008C422E">
      <w:pPr>
        <w:jc w:val="center"/>
        <w:rPr>
          <w:rFonts w:ascii="Verdana" w:hAnsi="Verdana"/>
          <w:b/>
          <w:bCs/>
          <w:sz w:val="22"/>
          <w:szCs w:val="22"/>
        </w:rPr>
      </w:pPr>
      <w:r w:rsidRPr="008C422E">
        <w:rPr>
          <w:rFonts w:ascii="Verdana" w:hAnsi="Verdana"/>
          <w:b/>
          <w:bCs/>
          <w:sz w:val="22"/>
          <w:szCs w:val="22"/>
        </w:rPr>
        <w:t>(</w:t>
      </w:r>
      <w:r w:rsidR="008C422E" w:rsidRPr="008C422E">
        <w:rPr>
          <w:rFonts w:ascii="Verdana" w:hAnsi="Verdana"/>
          <w:b/>
          <w:bCs/>
          <w:sz w:val="22"/>
          <w:szCs w:val="22"/>
        </w:rPr>
        <w:t xml:space="preserve">2 de </w:t>
      </w:r>
      <w:r w:rsidRPr="008C422E">
        <w:rPr>
          <w:rFonts w:ascii="Verdana" w:hAnsi="Verdana"/>
          <w:b/>
          <w:bCs/>
          <w:sz w:val="22"/>
          <w:szCs w:val="22"/>
        </w:rPr>
        <w:t>enero)</w:t>
      </w:r>
    </w:p>
    <w:p w14:paraId="36639C32" w14:textId="12F5CE69" w:rsidR="003C1C7E" w:rsidRPr="008C422E" w:rsidRDefault="003C1C7E" w:rsidP="008C422E">
      <w:pPr>
        <w:jc w:val="center"/>
        <w:rPr>
          <w:rFonts w:ascii="Verdana" w:hAnsi="Verdana"/>
          <w:b/>
          <w:bCs/>
          <w:sz w:val="22"/>
          <w:szCs w:val="22"/>
        </w:rPr>
      </w:pPr>
      <w:r w:rsidRPr="008C422E">
        <w:rPr>
          <w:rFonts w:ascii="Verdana" w:hAnsi="Verdana"/>
          <w:b/>
          <w:bCs/>
          <w:sz w:val="22"/>
          <w:szCs w:val="22"/>
        </w:rPr>
        <w:t>INSTITUTO COLOMBIANO DE BIENESTAR FAMILIAR</w:t>
      </w:r>
    </w:p>
    <w:p w14:paraId="16B4C521" w14:textId="3D19B7E2" w:rsidR="003C1C7E" w:rsidRPr="008C422E" w:rsidRDefault="003C1C7E" w:rsidP="008C422E">
      <w:pPr>
        <w:jc w:val="center"/>
        <w:rPr>
          <w:rFonts w:ascii="Verdana" w:hAnsi="Verdana"/>
          <w:sz w:val="22"/>
          <w:szCs w:val="22"/>
        </w:rPr>
      </w:pPr>
      <w:r w:rsidRPr="008C422E">
        <w:rPr>
          <w:rFonts w:ascii="Verdana" w:hAnsi="Verdana"/>
          <w:sz w:val="22"/>
          <w:szCs w:val="22"/>
        </w:rPr>
        <w:t>“Por medio de la cual se autoriza el reconocimiento de horas extras y compensatorios para la vigencia fiscal 2012”</w:t>
      </w:r>
    </w:p>
    <w:p w14:paraId="52685048" w14:textId="07519AD6" w:rsidR="003C1C7E" w:rsidRPr="008C422E" w:rsidRDefault="003C1C7E" w:rsidP="008C422E">
      <w:pPr>
        <w:jc w:val="center"/>
        <w:rPr>
          <w:rFonts w:ascii="Verdana" w:hAnsi="Verdana"/>
          <w:b/>
          <w:bCs/>
          <w:sz w:val="22"/>
          <w:szCs w:val="22"/>
        </w:rPr>
      </w:pPr>
      <w:r w:rsidRPr="008C422E">
        <w:rPr>
          <w:rFonts w:ascii="Verdana" w:hAnsi="Verdana"/>
          <w:b/>
          <w:bCs/>
          <w:sz w:val="22"/>
          <w:szCs w:val="22"/>
        </w:rPr>
        <w:t>EL DIRECTOR GENERAL DEL INSTITUTO COLOMBIANO DE BIENESTAR FAMILIAR CECILIA DE LA FUENTE DE LLERAS</w:t>
      </w:r>
    </w:p>
    <w:p w14:paraId="5E7BB214" w14:textId="04464B79" w:rsidR="003C1C7E" w:rsidRPr="008C422E" w:rsidRDefault="003C1C7E" w:rsidP="008C422E">
      <w:pPr>
        <w:jc w:val="center"/>
        <w:rPr>
          <w:rFonts w:ascii="Verdana" w:hAnsi="Verdana"/>
          <w:sz w:val="22"/>
          <w:szCs w:val="22"/>
        </w:rPr>
      </w:pPr>
      <w:r w:rsidRPr="008C422E">
        <w:rPr>
          <w:rFonts w:ascii="Verdana" w:hAnsi="Verdana"/>
          <w:sz w:val="22"/>
          <w:szCs w:val="22"/>
        </w:rPr>
        <w:t>En uso de sus facultades legales y estatutarias, en especial las conferidas por el artículo 78 de la Ley 489 de 1998, y</w:t>
      </w:r>
    </w:p>
    <w:p w14:paraId="1DA7C569" w14:textId="6DBD28B2" w:rsidR="003C1C7E" w:rsidRPr="006479C8" w:rsidRDefault="003C1C7E" w:rsidP="006479C8">
      <w:pPr>
        <w:jc w:val="center"/>
        <w:rPr>
          <w:rFonts w:ascii="Verdana" w:hAnsi="Verdana"/>
          <w:b/>
          <w:bCs/>
          <w:sz w:val="22"/>
          <w:szCs w:val="22"/>
        </w:rPr>
      </w:pPr>
      <w:r w:rsidRPr="008C422E">
        <w:rPr>
          <w:rFonts w:ascii="Verdana" w:hAnsi="Verdana"/>
          <w:b/>
          <w:bCs/>
          <w:sz w:val="22"/>
          <w:szCs w:val="22"/>
        </w:rPr>
        <w:t>CONSIDERANDO</w:t>
      </w:r>
      <w:r w:rsidR="008C422E" w:rsidRPr="008C422E">
        <w:rPr>
          <w:rFonts w:ascii="Verdana" w:hAnsi="Verdana"/>
          <w:b/>
          <w:bCs/>
          <w:sz w:val="22"/>
          <w:szCs w:val="22"/>
        </w:rPr>
        <w:t>:</w:t>
      </w:r>
    </w:p>
    <w:p w14:paraId="4C76ECEF" w14:textId="0B5321F2" w:rsidR="003C1C7E" w:rsidRPr="006479C8" w:rsidRDefault="003C1C7E" w:rsidP="006479C8">
      <w:pPr>
        <w:pStyle w:val="Prrafodelista"/>
        <w:numPr>
          <w:ilvl w:val="0"/>
          <w:numId w:val="1"/>
        </w:numPr>
        <w:rPr>
          <w:rFonts w:ascii="Verdana" w:hAnsi="Verdana"/>
          <w:sz w:val="22"/>
          <w:szCs w:val="22"/>
        </w:rPr>
      </w:pPr>
      <w:r w:rsidRPr="006479C8">
        <w:rPr>
          <w:rFonts w:ascii="Verdana" w:hAnsi="Verdana"/>
          <w:sz w:val="22"/>
          <w:szCs w:val="22"/>
        </w:rPr>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podrá autorizar el pago de horas extras o el reconocimiento de descanso compensatorio con sujeción a las normas legales.</w:t>
      </w:r>
    </w:p>
    <w:p w14:paraId="1FED4AF3" w14:textId="722206E3" w:rsidR="003C1C7E" w:rsidRPr="006479C8" w:rsidRDefault="003C1C7E" w:rsidP="006479C8">
      <w:pPr>
        <w:pStyle w:val="Prrafodelista"/>
        <w:numPr>
          <w:ilvl w:val="0"/>
          <w:numId w:val="1"/>
        </w:numPr>
        <w:rPr>
          <w:rFonts w:ascii="Verdana" w:hAnsi="Verdana"/>
          <w:sz w:val="22"/>
          <w:szCs w:val="22"/>
        </w:rPr>
      </w:pPr>
      <w:r w:rsidRPr="006479C8">
        <w:rPr>
          <w:rFonts w:ascii="Verdana" w:hAnsi="Verdana"/>
          <w:sz w:val="22"/>
          <w:szCs w:val="22"/>
        </w:rPr>
        <w:t>Que la autorización para laborar en horas extras podrá otorgarse siempre que exista disponibilidad presupuestal para el efecto.</w:t>
      </w:r>
    </w:p>
    <w:p w14:paraId="3D0123A1" w14:textId="477C4894" w:rsidR="003C1C7E" w:rsidRPr="006479C8" w:rsidRDefault="003C1C7E" w:rsidP="006479C8">
      <w:pPr>
        <w:pStyle w:val="Prrafodelista"/>
        <w:numPr>
          <w:ilvl w:val="0"/>
          <w:numId w:val="1"/>
        </w:numPr>
        <w:rPr>
          <w:rFonts w:ascii="Verdana" w:hAnsi="Verdana"/>
          <w:sz w:val="22"/>
          <w:szCs w:val="22"/>
        </w:rPr>
      </w:pPr>
      <w:r w:rsidRPr="006479C8">
        <w:rPr>
          <w:rFonts w:ascii="Verdana" w:hAnsi="Verdana"/>
          <w:sz w:val="22"/>
          <w:szCs w:val="22"/>
        </w:rPr>
        <w:t>Que teniendo en cuenta las necesidades del servicio que se generan en la Sede de Dirección General y en las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1031 del 4 de abril de 2011.</w:t>
      </w:r>
    </w:p>
    <w:p w14:paraId="50651DE8" w14:textId="78E91DC8" w:rsidR="003C1C7E" w:rsidRPr="006479C8" w:rsidRDefault="003C1C7E" w:rsidP="006479C8">
      <w:pPr>
        <w:pStyle w:val="Prrafodelista"/>
        <w:numPr>
          <w:ilvl w:val="0"/>
          <w:numId w:val="1"/>
        </w:numPr>
        <w:rPr>
          <w:rFonts w:ascii="Verdana" w:hAnsi="Verdana"/>
          <w:sz w:val="22"/>
          <w:szCs w:val="22"/>
        </w:rPr>
      </w:pPr>
      <w:r w:rsidRPr="006479C8">
        <w:rPr>
          <w:rFonts w:ascii="Verdana" w:hAnsi="Verdana"/>
          <w:sz w:val="22"/>
          <w:szCs w:val="22"/>
        </w:rPr>
        <w:t>Que la Coordinadora del Grupo de Presupuesto de la Dirección Financiera, mediante certificación de fecha dos (2) de enero de 2012, expresa que. “(...) Que mediante Ley No. 1485 del 14 de diciembre de 2011, se decretó el presupuesto de rentas y recursos de capital y la Ley de Apropiaciones de la vigencia fiscal del 1o de enero al 31 de diciembre de 2012, dentro del cual se incluye el presupuesto del ICBF. (...)</w:t>
      </w:r>
    </w:p>
    <w:p w14:paraId="7964767A" w14:textId="3CE3E765" w:rsidR="003C1C7E" w:rsidRPr="006479C8" w:rsidRDefault="003C1C7E" w:rsidP="006479C8">
      <w:pPr>
        <w:pStyle w:val="Prrafodelista"/>
        <w:numPr>
          <w:ilvl w:val="0"/>
          <w:numId w:val="1"/>
        </w:numPr>
        <w:rPr>
          <w:rFonts w:ascii="Verdana" w:hAnsi="Verdana"/>
          <w:sz w:val="22"/>
          <w:szCs w:val="22"/>
        </w:rPr>
      </w:pPr>
      <w:r w:rsidRPr="006479C8">
        <w:rPr>
          <w:rFonts w:ascii="Verdana" w:hAnsi="Verdana"/>
          <w:sz w:val="22"/>
          <w:szCs w:val="22"/>
        </w:rPr>
        <w:t xml:space="preserve">Que en el Decreto 4970 del 30 de diciembre de 2011, en la cuenta de Gastos de Personal se incluyó una partida en el objeto del Gasto - Horas Extras, Días Festivos e Indemnización por Vacaciones de $1.699.000.000,oo M/L., dentro de los cuales para el rubro de Horas </w:t>
      </w:r>
      <w:r w:rsidRPr="006479C8">
        <w:rPr>
          <w:rFonts w:ascii="Verdana" w:hAnsi="Verdana"/>
          <w:sz w:val="22"/>
          <w:szCs w:val="22"/>
        </w:rPr>
        <w:lastRenderedPageBreak/>
        <w:t>Extras se destinaron $650.436.000, distribuidos en el Nivel Nacional y las Regionales” lo cual permite que las horas extras que se generan conforme a lo dispuesto en la presente Resolución, se haga a cargo del citado presupuesto de la presente vigencia fiscal.</w:t>
      </w:r>
    </w:p>
    <w:p w14:paraId="1E917B6A" w14:textId="7817074F" w:rsidR="003C1C7E" w:rsidRPr="006479C8" w:rsidRDefault="003C1C7E" w:rsidP="008C422E">
      <w:pPr>
        <w:pStyle w:val="Prrafodelista"/>
        <w:numPr>
          <w:ilvl w:val="0"/>
          <w:numId w:val="1"/>
        </w:numPr>
        <w:rPr>
          <w:rFonts w:ascii="Verdana" w:hAnsi="Verdana"/>
          <w:sz w:val="22"/>
          <w:szCs w:val="22"/>
        </w:rPr>
      </w:pPr>
      <w:proofErr w:type="gramStart"/>
      <w:r w:rsidRPr="006479C8">
        <w:rPr>
          <w:rFonts w:ascii="Verdana" w:hAnsi="Verdana"/>
          <w:sz w:val="22"/>
          <w:szCs w:val="22"/>
        </w:rPr>
        <w:t>Que</w:t>
      </w:r>
      <w:proofErr w:type="gramEnd"/>
      <w:r w:rsidRPr="006479C8">
        <w:rPr>
          <w:rFonts w:ascii="Verdana" w:hAnsi="Verdana"/>
          <w:sz w:val="22"/>
          <w:szCs w:val="22"/>
        </w:rPr>
        <w:t xml:space="preserve"> en mérito de lo expuesto,</w:t>
      </w:r>
    </w:p>
    <w:p w14:paraId="5F902B28" w14:textId="63AAA4E3" w:rsidR="003C1C7E" w:rsidRPr="006479C8" w:rsidRDefault="003C1C7E" w:rsidP="006479C8">
      <w:pPr>
        <w:jc w:val="center"/>
        <w:rPr>
          <w:rFonts w:ascii="Verdana" w:hAnsi="Verdana"/>
          <w:b/>
          <w:bCs/>
          <w:sz w:val="22"/>
          <w:szCs w:val="22"/>
        </w:rPr>
      </w:pPr>
      <w:r w:rsidRPr="006479C8">
        <w:rPr>
          <w:rFonts w:ascii="Verdana" w:hAnsi="Verdana"/>
          <w:b/>
          <w:bCs/>
          <w:sz w:val="22"/>
          <w:szCs w:val="22"/>
        </w:rPr>
        <w:t>RESUELVE</w:t>
      </w:r>
      <w:r w:rsidR="006479C8" w:rsidRPr="006479C8">
        <w:rPr>
          <w:rFonts w:ascii="Verdana" w:hAnsi="Verdana"/>
          <w:b/>
          <w:bCs/>
          <w:sz w:val="22"/>
          <w:szCs w:val="22"/>
        </w:rPr>
        <w:t>:</w:t>
      </w:r>
    </w:p>
    <w:p w14:paraId="38D48E60" w14:textId="27B4232D" w:rsidR="003C1C7E" w:rsidRPr="008C422E" w:rsidRDefault="003C1C7E" w:rsidP="008C422E">
      <w:pPr>
        <w:rPr>
          <w:rFonts w:ascii="Verdana" w:hAnsi="Verdana"/>
          <w:sz w:val="22"/>
          <w:szCs w:val="22"/>
        </w:rPr>
      </w:pPr>
      <w:r w:rsidRPr="006479C8">
        <w:rPr>
          <w:rFonts w:ascii="Verdana" w:hAnsi="Verdana"/>
          <w:b/>
          <w:bCs/>
          <w:sz w:val="22"/>
          <w:szCs w:val="22"/>
        </w:rPr>
        <w:t xml:space="preserve">ARTÍCULO </w:t>
      </w:r>
      <w:r w:rsidR="006479C8" w:rsidRPr="006479C8">
        <w:rPr>
          <w:rFonts w:ascii="Verdana" w:hAnsi="Verdana"/>
          <w:b/>
          <w:bCs/>
          <w:sz w:val="22"/>
          <w:szCs w:val="22"/>
        </w:rPr>
        <w:t>1o</w:t>
      </w:r>
      <w:r w:rsidRPr="006479C8">
        <w:rPr>
          <w:rFonts w:ascii="Verdana" w:hAnsi="Verdana"/>
          <w:b/>
          <w:bCs/>
          <w:sz w:val="22"/>
          <w:szCs w:val="22"/>
        </w:rPr>
        <w:t>.</w:t>
      </w:r>
      <w:r w:rsidRPr="008C422E">
        <w:rPr>
          <w:rFonts w:ascii="Verdana" w:hAnsi="Verdana"/>
          <w:sz w:val="22"/>
          <w:szCs w:val="22"/>
        </w:rPr>
        <w:t xml:space="preserve"> A partir de la fecha de expedición de la presente Resolución y hasta el 31 de diciembre de 2012, autorizar el reconocimiento y pago de horas extras a los servidores públicos que se relacionan a continuación.</w:t>
      </w:r>
    </w:p>
    <w:p w14:paraId="0B82FBE9" w14:textId="77777777" w:rsidR="006479C8" w:rsidRDefault="003C1C7E" w:rsidP="008C422E">
      <w:pPr>
        <w:pStyle w:val="Prrafodelista"/>
        <w:numPr>
          <w:ilvl w:val="0"/>
          <w:numId w:val="2"/>
        </w:numPr>
        <w:rPr>
          <w:rFonts w:ascii="Verdana" w:hAnsi="Verdana"/>
          <w:sz w:val="22"/>
          <w:szCs w:val="22"/>
        </w:rPr>
      </w:pPr>
      <w:r w:rsidRPr="006479C8">
        <w:rPr>
          <w:rFonts w:ascii="Verdana" w:hAnsi="Verdana"/>
          <w:sz w:val="22"/>
          <w:szCs w:val="22"/>
        </w:rPr>
        <w:t>A los servidores públicos que desempeñen funciones de Conductor Mecánico, en la Sede Nacional y Regionales hasta un tope máximo de ochenta (80) horas al mes.</w:t>
      </w:r>
    </w:p>
    <w:p w14:paraId="7813429C" w14:textId="72D90ADF" w:rsidR="003C1C7E" w:rsidRPr="006479C8" w:rsidRDefault="003C1C7E" w:rsidP="008C422E">
      <w:pPr>
        <w:pStyle w:val="Prrafodelista"/>
        <w:numPr>
          <w:ilvl w:val="0"/>
          <w:numId w:val="2"/>
        </w:numPr>
        <w:rPr>
          <w:rFonts w:ascii="Verdana" w:hAnsi="Verdana"/>
          <w:sz w:val="22"/>
          <w:szCs w:val="22"/>
        </w:rPr>
      </w:pPr>
      <w:r w:rsidRPr="006479C8">
        <w:rPr>
          <w:rFonts w:ascii="Verdana" w:hAnsi="Verdana"/>
          <w:sz w:val="22"/>
          <w:szCs w:val="22"/>
        </w:rPr>
        <w:t>A los servidores públicos que pertenezcan al nivel Técnico hasta el grado 09 y al nivel Asistencial hasta el grado 19, hasta un tope máximo de cincuenta (50) horas al mes.</w:t>
      </w:r>
    </w:p>
    <w:p w14:paraId="01D2B88A" w14:textId="48782267" w:rsidR="003C1C7E" w:rsidRPr="008C422E" w:rsidRDefault="003C1C7E" w:rsidP="008C422E">
      <w:pPr>
        <w:rPr>
          <w:rFonts w:ascii="Verdana" w:hAnsi="Verdana"/>
          <w:sz w:val="22"/>
          <w:szCs w:val="22"/>
        </w:rPr>
      </w:pPr>
      <w:r w:rsidRPr="006479C8">
        <w:rPr>
          <w:rFonts w:ascii="Verdana" w:hAnsi="Verdana"/>
          <w:b/>
          <w:bCs/>
          <w:sz w:val="22"/>
          <w:szCs w:val="22"/>
        </w:rPr>
        <w:t xml:space="preserve">ARTÍCULO </w:t>
      </w:r>
      <w:r w:rsidR="006479C8" w:rsidRPr="006479C8">
        <w:rPr>
          <w:rFonts w:ascii="Verdana" w:hAnsi="Verdana"/>
          <w:b/>
          <w:bCs/>
          <w:sz w:val="22"/>
          <w:szCs w:val="22"/>
        </w:rPr>
        <w:t>2o</w:t>
      </w:r>
      <w:r w:rsidRPr="006479C8">
        <w:rPr>
          <w:rFonts w:ascii="Verdana" w:hAnsi="Verdana"/>
          <w:b/>
          <w:bCs/>
          <w:sz w:val="22"/>
          <w:szCs w:val="22"/>
        </w:rPr>
        <w:t>.</w:t>
      </w:r>
      <w:r w:rsidRPr="008C422E">
        <w:rPr>
          <w:rFonts w:ascii="Verdana" w:hAnsi="Verdana"/>
          <w:sz w:val="22"/>
          <w:szCs w:val="22"/>
        </w:rPr>
        <w:t xml:space="preserve"> Ordenar la compensación en tiempo de las horas extras que superen los topes establecidos en el artículo anterior.</w:t>
      </w:r>
    </w:p>
    <w:p w14:paraId="2D69B093" w14:textId="5E2A9F02" w:rsidR="003C1C7E" w:rsidRPr="008C422E" w:rsidRDefault="003C1C7E" w:rsidP="008C422E">
      <w:pPr>
        <w:rPr>
          <w:rFonts w:ascii="Verdana" w:hAnsi="Verdana"/>
          <w:sz w:val="22"/>
          <w:szCs w:val="22"/>
        </w:rPr>
      </w:pPr>
      <w:r w:rsidRPr="006479C8">
        <w:rPr>
          <w:rFonts w:ascii="Verdana" w:hAnsi="Verdana"/>
          <w:b/>
          <w:bCs/>
          <w:sz w:val="22"/>
          <w:szCs w:val="22"/>
        </w:rPr>
        <w:t xml:space="preserve">ARTÍCULO </w:t>
      </w:r>
      <w:r w:rsidR="006479C8" w:rsidRPr="006479C8">
        <w:rPr>
          <w:rFonts w:ascii="Verdana" w:hAnsi="Verdana"/>
          <w:b/>
          <w:bCs/>
          <w:sz w:val="22"/>
          <w:szCs w:val="22"/>
        </w:rPr>
        <w:t>3o</w:t>
      </w:r>
      <w:r w:rsidRPr="006479C8">
        <w:rPr>
          <w:rFonts w:ascii="Verdana" w:hAnsi="Verdana"/>
          <w:b/>
          <w:bCs/>
          <w:sz w:val="22"/>
          <w:szCs w:val="22"/>
        </w:rPr>
        <w:t>.</w:t>
      </w:r>
      <w:r w:rsidRPr="008C422E">
        <w:rPr>
          <w:rFonts w:ascii="Verdana" w:hAnsi="Verdana"/>
          <w:sz w:val="22"/>
          <w:szCs w:val="22"/>
        </w:rPr>
        <w:t xml:space="preserve"> Las horas extras de que trata el artículo primero, deberán ser autorizadas previamente y por escrito a través de la Dirección de Gestión Humana de la Sede de la Dirección General y por el Grupo Administrativo, Administrativo y Financiero o de los Grupos de Gestión de Recursos de las Regionales según el caso, previa solicitud del jefe inmediato y sólo cuando por razones especiales del servicio se requiera laborar en horas distintas a la jornada ordinaria.</w:t>
      </w:r>
    </w:p>
    <w:p w14:paraId="28B58020" w14:textId="79BAEC0A" w:rsidR="003C1C7E" w:rsidRPr="008C422E" w:rsidRDefault="003C1C7E" w:rsidP="008C422E">
      <w:pPr>
        <w:rPr>
          <w:rFonts w:ascii="Verdana" w:hAnsi="Verdana"/>
          <w:sz w:val="22"/>
          <w:szCs w:val="22"/>
        </w:rPr>
      </w:pPr>
      <w:r w:rsidRPr="006479C8">
        <w:rPr>
          <w:rFonts w:ascii="Verdana" w:hAnsi="Verdana"/>
          <w:b/>
          <w:bCs/>
          <w:sz w:val="22"/>
          <w:szCs w:val="22"/>
        </w:rPr>
        <w:t>ARTÍCULO</w:t>
      </w:r>
      <w:r w:rsidR="006479C8" w:rsidRPr="006479C8">
        <w:rPr>
          <w:rFonts w:ascii="Verdana" w:hAnsi="Verdana"/>
          <w:b/>
          <w:bCs/>
          <w:sz w:val="22"/>
          <w:szCs w:val="22"/>
        </w:rPr>
        <w:t xml:space="preserve"> 4o</w:t>
      </w:r>
      <w:r w:rsidRPr="006479C8">
        <w:rPr>
          <w:rFonts w:ascii="Verdana" w:hAnsi="Verdana"/>
          <w:b/>
          <w:bCs/>
          <w:sz w:val="22"/>
          <w:szCs w:val="22"/>
        </w:rPr>
        <w:t>.</w:t>
      </w:r>
      <w:r w:rsidRPr="008C422E">
        <w:rPr>
          <w:rFonts w:ascii="Verdana" w:hAnsi="Verdana"/>
          <w:sz w:val="22"/>
          <w:szCs w:val="22"/>
        </w:rPr>
        <w:t xml:space="preserve"> El reconocimiento y pago de horas extras, así como el reconocimiento de compensatorios que se generen en los términos del presente acto administrativo, se hará mediante Resolución motivada expedida por el respectivo </w:t>
      </w:r>
      <w:proofErr w:type="gramStart"/>
      <w:r w:rsidRPr="008C422E">
        <w:rPr>
          <w:rFonts w:ascii="Verdana" w:hAnsi="Verdana"/>
          <w:sz w:val="22"/>
          <w:szCs w:val="22"/>
        </w:rPr>
        <w:t>Director Regional</w:t>
      </w:r>
      <w:proofErr w:type="gramEnd"/>
      <w:r w:rsidRPr="008C422E">
        <w:rPr>
          <w:rFonts w:ascii="Verdana" w:hAnsi="Verdana"/>
          <w:sz w:val="22"/>
          <w:szCs w:val="22"/>
        </w:rPr>
        <w:t xml:space="preserve"> o por la Dirección de Gestión Humana para los servidores públicos asignados a la Sede de la Dirección General.</w:t>
      </w:r>
    </w:p>
    <w:p w14:paraId="00770EDE" w14:textId="1F8C295C" w:rsidR="003C1C7E" w:rsidRPr="008C422E" w:rsidRDefault="003C1C7E" w:rsidP="008C422E">
      <w:pPr>
        <w:rPr>
          <w:rFonts w:ascii="Verdana" w:hAnsi="Verdana"/>
          <w:sz w:val="22"/>
          <w:szCs w:val="22"/>
        </w:rPr>
      </w:pPr>
      <w:r w:rsidRPr="006479C8">
        <w:rPr>
          <w:rFonts w:ascii="Verdana" w:hAnsi="Verdana"/>
          <w:b/>
          <w:bCs/>
          <w:sz w:val="22"/>
          <w:szCs w:val="22"/>
        </w:rPr>
        <w:t xml:space="preserve">ARTÍCULO </w:t>
      </w:r>
      <w:r w:rsidR="006479C8" w:rsidRPr="006479C8">
        <w:rPr>
          <w:rFonts w:ascii="Verdana" w:hAnsi="Verdana"/>
          <w:b/>
          <w:bCs/>
          <w:sz w:val="22"/>
          <w:szCs w:val="22"/>
        </w:rPr>
        <w:t>5o</w:t>
      </w:r>
      <w:r w:rsidRPr="006479C8">
        <w:rPr>
          <w:rFonts w:ascii="Verdana" w:hAnsi="Verdana"/>
          <w:b/>
          <w:bCs/>
          <w:sz w:val="22"/>
          <w:szCs w:val="22"/>
        </w:rPr>
        <w:t>.</w:t>
      </w:r>
      <w:r w:rsidRPr="008C422E">
        <w:rPr>
          <w:rFonts w:ascii="Verdana" w:hAnsi="Verdana"/>
          <w:sz w:val="22"/>
          <w:szCs w:val="22"/>
        </w:rPr>
        <w:t xml:space="preserve"> Los gastos que se ocasionen en desarrollo de lo dispuesto en la presente </w:t>
      </w:r>
      <w:proofErr w:type="gramStart"/>
      <w:r w:rsidRPr="008C422E">
        <w:rPr>
          <w:rFonts w:ascii="Verdana" w:hAnsi="Verdana"/>
          <w:sz w:val="22"/>
          <w:szCs w:val="22"/>
        </w:rPr>
        <w:t>Resolución,</w:t>
      </w:r>
      <w:proofErr w:type="gramEnd"/>
      <w:r w:rsidRPr="008C422E">
        <w:rPr>
          <w:rFonts w:ascii="Verdana" w:hAnsi="Verdana"/>
          <w:sz w:val="22"/>
          <w:szCs w:val="22"/>
        </w:rPr>
        <w:t xml:space="preserve"> se harán con cargo al rubro de “Horas Extras del presupuesto asignado a la Sede de la Dirección General y Regionales de la Vigencia Fiscal de 2012, conforme a lo señalado en la parte motiva.</w:t>
      </w:r>
    </w:p>
    <w:p w14:paraId="5A2A24AA" w14:textId="57150834" w:rsidR="003C1C7E" w:rsidRPr="008C422E" w:rsidRDefault="003C1C7E" w:rsidP="008C422E">
      <w:pPr>
        <w:rPr>
          <w:rFonts w:ascii="Verdana" w:hAnsi="Verdana"/>
          <w:sz w:val="22"/>
          <w:szCs w:val="22"/>
        </w:rPr>
      </w:pPr>
      <w:r w:rsidRPr="006479C8">
        <w:rPr>
          <w:rFonts w:ascii="Verdana" w:hAnsi="Verdana"/>
          <w:b/>
          <w:bCs/>
          <w:sz w:val="22"/>
          <w:szCs w:val="22"/>
        </w:rPr>
        <w:t xml:space="preserve">ARTÍCULO </w:t>
      </w:r>
      <w:r w:rsidR="006479C8" w:rsidRPr="006479C8">
        <w:rPr>
          <w:rFonts w:ascii="Verdana" w:hAnsi="Verdana"/>
          <w:b/>
          <w:bCs/>
          <w:sz w:val="22"/>
          <w:szCs w:val="22"/>
        </w:rPr>
        <w:t>6o</w:t>
      </w:r>
      <w:r w:rsidRPr="006479C8">
        <w:rPr>
          <w:rFonts w:ascii="Verdana" w:hAnsi="Verdana"/>
          <w:b/>
          <w:bCs/>
          <w:sz w:val="22"/>
          <w:szCs w:val="22"/>
        </w:rPr>
        <w:t>.</w:t>
      </w:r>
      <w:r w:rsidRPr="008C422E">
        <w:rPr>
          <w:rFonts w:ascii="Verdana" w:hAnsi="Verdana"/>
          <w:sz w:val="22"/>
          <w:szCs w:val="22"/>
        </w:rPr>
        <w:t xml:space="preserve"> La presente Resolución rige a partir de la fecha de su expedición y deroga todas las disposiciones que le sean contrarias.</w:t>
      </w:r>
    </w:p>
    <w:p w14:paraId="6B685D16" w14:textId="6DB55AB6" w:rsidR="003C1C7E" w:rsidRPr="006479C8" w:rsidRDefault="003C1C7E" w:rsidP="006479C8">
      <w:pPr>
        <w:jc w:val="center"/>
        <w:rPr>
          <w:rFonts w:ascii="Verdana" w:hAnsi="Verdana"/>
          <w:b/>
          <w:bCs/>
          <w:sz w:val="22"/>
          <w:szCs w:val="22"/>
        </w:rPr>
      </w:pPr>
      <w:r w:rsidRPr="006479C8">
        <w:rPr>
          <w:rFonts w:ascii="Verdana" w:hAnsi="Verdana"/>
          <w:b/>
          <w:bCs/>
          <w:sz w:val="22"/>
          <w:szCs w:val="22"/>
        </w:rPr>
        <w:t>COMUNÍQUESE Y CÚMPLASE</w:t>
      </w:r>
      <w:r w:rsidR="006479C8" w:rsidRPr="006479C8">
        <w:rPr>
          <w:rFonts w:ascii="Verdana" w:hAnsi="Verdana"/>
          <w:b/>
          <w:bCs/>
          <w:sz w:val="22"/>
          <w:szCs w:val="22"/>
        </w:rPr>
        <w:t>,</w:t>
      </w:r>
    </w:p>
    <w:p w14:paraId="30234C78" w14:textId="736099D7" w:rsidR="003C1C7E" w:rsidRPr="008C422E" w:rsidRDefault="003C1C7E" w:rsidP="006479C8">
      <w:pPr>
        <w:jc w:val="center"/>
        <w:rPr>
          <w:rFonts w:ascii="Verdana" w:hAnsi="Verdana"/>
          <w:sz w:val="22"/>
          <w:szCs w:val="22"/>
        </w:rPr>
      </w:pPr>
      <w:r w:rsidRPr="008C422E">
        <w:rPr>
          <w:rFonts w:ascii="Verdana" w:hAnsi="Verdana"/>
          <w:sz w:val="22"/>
          <w:szCs w:val="22"/>
        </w:rPr>
        <w:t xml:space="preserve">Dada en Bogotá, D.C., a </w:t>
      </w:r>
      <w:r w:rsidR="006479C8" w:rsidRPr="008C422E">
        <w:rPr>
          <w:rFonts w:ascii="Verdana" w:hAnsi="Verdana"/>
          <w:sz w:val="22"/>
          <w:szCs w:val="22"/>
        </w:rPr>
        <w:t>los 2</w:t>
      </w:r>
      <w:r w:rsidR="006479C8">
        <w:rPr>
          <w:rFonts w:ascii="Verdana" w:hAnsi="Verdana"/>
          <w:sz w:val="22"/>
          <w:szCs w:val="22"/>
        </w:rPr>
        <w:t xml:space="preserve"> días de enero de </w:t>
      </w:r>
      <w:r w:rsidRPr="008C422E">
        <w:rPr>
          <w:rFonts w:ascii="Verdana" w:hAnsi="Verdana"/>
          <w:sz w:val="22"/>
          <w:szCs w:val="22"/>
        </w:rPr>
        <w:t>2012</w:t>
      </w:r>
    </w:p>
    <w:p w14:paraId="1856FA46" w14:textId="5BD7C120" w:rsidR="003C1C7E" w:rsidRPr="006479C8" w:rsidRDefault="003C1C7E" w:rsidP="006479C8">
      <w:pPr>
        <w:jc w:val="center"/>
        <w:rPr>
          <w:rFonts w:ascii="Verdana" w:hAnsi="Verdana"/>
          <w:b/>
          <w:bCs/>
          <w:sz w:val="22"/>
          <w:szCs w:val="22"/>
        </w:rPr>
      </w:pPr>
      <w:r w:rsidRPr="006479C8">
        <w:rPr>
          <w:rFonts w:ascii="Verdana" w:hAnsi="Verdana"/>
          <w:b/>
          <w:bCs/>
          <w:sz w:val="22"/>
          <w:szCs w:val="22"/>
        </w:rPr>
        <w:t>DIEGO ANDRÉS MOLANO APONTE</w:t>
      </w:r>
    </w:p>
    <w:p w14:paraId="3FCEF0B8" w14:textId="733F8888" w:rsidR="003C1C7E" w:rsidRPr="008C422E" w:rsidRDefault="006479C8" w:rsidP="006479C8">
      <w:pPr>
        <w:jc w:val="center"/>
        <w:rPr>
          <w:rFonts w:ascii="Verdana" w:hAnsi="Verdana"/>
          <w:sz w:val="22"/>
          <w:szCs w:val="22"/>
        </w:rPr>
      </w:pPr>
      <w:r w:rsidRPr="008C422E">
        <w:rPr>
          <w:rFonts w:ascii="Verdana" w:hAnsi="Verdana"/>
          <w:sz w:val="22"/>
          <w:szCs w:val="22"/>
        </w:rPr>
        <w:t>DIRECTOR GENERAL</w:t>
      </w:r>
    </w:p>
    <w:sectPr w:rsidR="003C1C7E" w:rsidRPr="008C42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3432"/>
    <w:multiLevelType w:val="hybridMultilevel"/>
    <w:tmpl w:val="549EBA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042940"/>
    <w:multiLevelType w:val="hybridMultilevel"/>
    <w:tmpl w:val="1354D14A"/>
    <w:lvl w:ilvl="0" w:tplc="E6F252C4">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38027337">
    <w:abstractNumId w:val="0"/>
  </w:num>
  <w:num w:numId="2" w16cid:durableId="33843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BA"/>
    <w:rsid w:val="00015D2A"/>
    <w:rsid w:val="000F4FC7"/>
    <w:rsid w:val="00330FBA"/>
    <w:rsid w:val="00383FBD"/>
    <w:rsid w:val="003C1C7E"/>
    <w:rsid w:val="00490B89"/>
    <w:rsid w:val="00550F5C"/>
    <w:rsid w:val="006479C8"/>
    <w:rsid w:val="006E3E65"/>
    <w:rsid w:val="007D3A4F"/>
    <w:rsid w:val="0088588F"/>
    <w:rsid w:val="008C422E"/>
    <w:rsid w:val="008E3A7E"/>
    <w:rsid w:val="009F49F4"/>
    <w:rsid w:val="00D148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046F"/>
  <w15:chartTrackingRefBased/>
  <w15:docId w15:val="{D596BA0C-C18B-4647-9031-BCA5456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7E"/>
  </w:style>
  <w:style w:type="paragraph" w:styleId="Ttulo1">
    <w:name w:val="heading 1"/>
    <w:basedOn w:val="Normal"/>
    <w:next w:val="Normal"/>
    <w:link w:val="Ttulo1Car"/>
    <w:uiPriority w:val="9"/>
    <w:qFormat/>
    <w:rsid w:val="00330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0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0F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0F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30FB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30F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30FB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30FB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30FB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0F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0F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0FB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0FB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30FB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30FB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30FB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30FB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30FB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30F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0F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0F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0FB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30FBA"/>
    <w:pPr>
      <w:spacing w:before="160"/>
      <w:jc w:val="center"/>
    </w:pPr>
    <w:rPr>
      <w:i/>
      <w:iCs/>
      <w:color w:val="404040" w:themeColor="text1" w:themeTint="BF"/>
    </w:rPr>
  </w:style>
  <w:style w:type="character" w:customStyle="1" w:styleId="CitaCar">
    <w:name w:val="Cita Car"/>
    <w:basedOn w:val="Fuentedeprrafopredeter"/>
    <w:link w:val="Cita"/>
    <w:uiPriority w:val="29"/>
    <w:rsid w:val="00330FBA"/>
    <w:rPr>
      <w:i/>
      <w:iCs/>
      <w:color w:val="404040" w:themeColor="text1" w:themeTint="BF"/>
    </w:rPr>
  </w:style>
  <w:style w:type="paragraph" w:styleId="Prrafodelista">
    <w:name w:val="List Paragraph"/>
    <w:basedOn w:val="Normal"/>
    <w:uiPriority w:val="34"/>
    <w:qFormat/>
    <w:rsid w:val="00330FBA"/>
    <w:pPr>
      <w:ind w:left="720"/>
      <w:contextualSpacing/>
    </w:pPr>
  </w:style>
  <w:style w:type="character" w:styleId="nfasisintenso">
    <w:name w:val="Intense Emphasis"/>
    <w:basedOn w:val="Fuentedeprrafopredeter"/>
    <w:uiPriority w:val="21"/>
    <w:qFormat/>
    <w:rsid w:val="00330FBA"/>
    <w:rPr>
      <w:i/>
      <w:iCs/>
      <w:color w:val="0F4761" w:themeColor="accent1" w:themeShade="BF"/>
    </w:rPr>
  </w:style>
  <w:style w:type="paragraph" w:styleId="Citadestacada">
    <w:name w:val="Intense Quote"/>
    <w:basedOn w:val="Normal"/>
    <w:next w:val="Normal"/>
    <w:link w:val="CitadestacadaCar"/>
    <w:uiPriority w:val="30"/>
    <w:qFormat/>
    <w:rsid w:val="00330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0FBA"/>
    <w:rPr>
      <w:i/>
      <w:iCs/>
      <w:color w:val="0F4761" w:themeColor="accent1" w:themeShade="BF"/>
    </w:rPr>
  </w:style>
  <w:style w:type="character" w:styleId="Referenciaintensa">
    <w:name w:val="Intense Reference"/>
    <w:basedOn w:val="Fuentedeprrafopredeter"/>
    <w:uiPriority w:val="32"/>
    <w:qFormat/>
    <w:rsid w:val="00330FBA"/>
    <w:rPr>
      <w:b/>
      <w:bCs/>
      <w:smallCaps/>
      <w:color w:val="0F4761" w:themeColor="accent1" w:themeShade="BF"/>
      <w:spacing w:val="5"/>
    </w:rPr>
  </w:style>
  <w:style w:type="table" w:styleId="Tablaconcuadrcula">
    <w:name w:val="Table Grid"/>
    <w:basedOn w:val="Tablanormal"/>
    <w:uiPriority w:val="39"/>
    <w:rsid w:val="008E3A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3A4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ED47D-CDCC-4D38-9137-FCD68D204550}"/>
</file>

<file path=customXml/itemProps2.xml><?xml version="1.0" encoding="utf-8"?>
<ds:datastoreItem xmlns:ds="http://schemas.openxmlformats.org/officeDocument/2006/customXml" ds:itemID="{8D4FAA24-F87B-4C61-9AAE-CEF3FCCE59D6}"/>
</file>

<file path=customXml/itemProps3.xml><?xml version="1.0" encoding="utf-8"?>
<ds:datastoreItem xmlns:ds="http://schemas.openxmlformats.org/officeDocument/2006/customXml" ds:itemID="{264BB90B-8E73-4F1D-BEA6-1110EC927C06}"/>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4017</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2025-12-24T16:12:00Z</dcterms:created>
  <dcterms:modified xsi:type="dcterms:W3CDTF">2026-01-24T16:36:00Z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