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F1BF5" w:rsidRDefault="00000000">
      <w:pPr>
        <w:spacing w:after="160" w:line="240" w:lineRule="auto"/>
        <w:jc w:val="center"/>
        <w:rPr>
          <w:rFonts w:ascii="Verdana" w:eastAsia="Verdana" w:hAnsi="Verdana" w:cs="Verdana"/>
          <w:b/>
          <w:bCs/>
        </w:rPr>
      </w:pPr>
      <w:r>
        <w:rPr>
          <w:rFonts w:ascii="Verdana" w:eastAsia="Verdana" w:hAnsi="Verdana" w:cs="Verdana"/>
          <w:b/>
          <w:bCs/>
        </w:rPr>
        <w:t>RESOLUCIÓN 1583 DE 2010</w:t>
      </w:r>
    </w:p>
    <w:p w14:paraId="00000002" w14:textId="77777777" w:rsidR="004F1BF5" w:rsidRPr="00455CD8" w:rsidRDefault="00000000">
      <w:pPr>
        <w:spacing w:line="240" w:lineRule="auto"/>
        <w:rPr>
          <w:rFonts w:ascii="Verdana" w:eastAsia="Verdana" w:hAnsi="Verdana" w:cs="Verdana"/>
          <w:sz w:val="20"/>
          <w:szCs w:val="20"/>
        </w:rPr>
      </w:pPr>
      <w:r w:rsidRPr="00455CD8">
        <w:rPr>
          <w:rFonts w:ascii="Verdana" w:eastAsia="Verdana" w:hAnsi="Verdana" w:cs="Verdana"/>
          <w:sz w:val="20"/>
          <w:szCs w:val="20"/>
        </w:rPr>
        <w:t>Fecha de Expedición: 15 de abril de 2010</w:t>
      </w:r>
    </w:p>
    <w:p w14:paraId="00000003" w14:textId="77777777" w:rsidR="004F1BF5" w:rsidRPr="00455CD8" w:rsidRDefault="00000000">
      <w:pPr>
        <w:spacing w:line="240" w:lineRule="auto"/>
        <w:rPr>
          <w:rFonts w:ascii="Verdana" w:eastAsia="Verdana" w:hAnsi="Verdana" w:cs="Verdana"/>
          <w:sz w:val="20"/>
          <w:szCs w:val="20"/>
        </w:rPr>
      </w:pPr>
      <w:r w:rsidRPr="00455CD8">
        <w:rPr>
          <w:rFonts w:ascii="Verdana" w:eastAsia="Verdana" w:hAnsi="Verdana" w:cs="Verdana"/>
          <w:sz w:val="20"/>
          <w:szCs w:val="20"/>
        </w:rPr>
        <w:t xml:space="preserve">Fecha de </w:t>
      </w:r>
      <w:proofErr w:type="gramStart"/>
      <w:r w:rsidRPr="00455CD8">
        <w:rPr>
          <w:rFonts w:ascii="Verdana" w:eastAsia="Verdana" w:hAnsi="Verdana" w:cs="Verdana"/>
          <w:sz w:val="20"/>
          <w:szCs w:val="20"/>
        </w:rPr>
        <w:t>entrada en vigencia</w:t>
      </w:r>
      <w:proofErr w:type="gramEnd"/>
      <w:r w:rsidRPr="00455CD8">
        <w:rPr>
          <w:rFonts w:ascii="Verdana" w:eastAsia="Verdana" w:hAnsi="Verdana" w:cs="Verdana"/>
          <w:sz w:val="20"/>
          <w:szCs w:val="20"/>
        </w:rPr>
        <w:t>:  26 de abril de 2010</w:t>
      </w:r>
    </w:p>
    <w:p w14:paraId="00000004" w14:textId="2B90B058" w:rsidR="004F1BF5" w:rsidRPr="00455CD8" w:rsidRDefault="00000000">
      <w:pPr>
        <w:spacing w:line="240" w:lineRule="auto"/>
        <w:rPr>
          <w:rFonts w:ascii="Verdana" w:eastAsia="Verdana" w:hAnsi="Verdana" w:cs="Verdana"/>
          <w:sz w:val="20"/>
          <w:szCs w:val="20"/>
          <w:highlight w:val="white"/>
        </w:rPr>
      </w:pPr>
      <w:r w:rsidRPr="00455CD8">
        <w:rPr>
          <w:rFonts w:ascii="Verdana" w:eastAsia="Verdana" w:hAnsi="Verdana" w:cs="Verdana"/>
          <w:sz w:val="20"/>
          <w:szCs w:val="20"/>
        </w:rPr>
        <w:t xml:space="preserve">Estado de la vigencia: </w:t>
      </w:r>
      <w:r w:rsidRPr="00455CD8">
        <w:rPr>
          <w:rFonts w:ascii="Verdana" w:eastAsia="Verdana" w:hAnsi="Verdana" w:cs="Verdana"/>
          <w:sz w:val="20"/>
          <w:szCs w:val="20"/>
          <w:highlight w:val="white"/>
        </w:rPr>
        <w:t xml:space="preserve">Derogada por el artículo </w:t>
      </w:r>
      <w:r w:rsidR="004F1BF5" w:rsidRPr="00455CD8">
        <w:rPr>
          <w:rFonts w:ascii="Verdana" w:eastAsia="Verdana" w:hAnsi="Verdana" w:cs="Verdana"/>
          <w:sz w:val="20"/>
          <w:szCs w:val="20"/>
          <w:highlight w:val="white"/>
        </w:rPr>
        <w:t>47</w:t>
      </w:r>
      <w:r w:rsidRPr="00455CD8">
        <w:rPr>
          <w:rFonts w:ascii="Verdana" w:eastAsia="Verdana" w:hAnsi="Verdana" w:cs="Verdana"/>
          <w:sz w:val="20"/>
          <w:szCs w:val="20"/>
          <w:highlight w:val="white"/>
        </w:rPr>
        <w:t xml:space="preserve"> de la Resolución 2111 de 2011</w:t>
      </w:r>
    </w:p>
    <w:p w14:paraId="00000005" w14:textId="77777777" w:rsidR="004F1BF5" w:rsidRPr="00455CD8" w:rsidRDefault="004F1BF5">
      <w:pPr>
        <w:spacing w:line="240" w:lineRule="auto"/>
        <w:rPr>
          <w:rFonts w:ascii="Verdana" w:eastAsia="Verdana" w:hAnsi="Verdana" w:cs="Verdana"/>
          <w:sz w:val="20"/>
          <w:szCs w:val="20"/>
          <w:highlight w:val="white"/>
        </w:rPr>
      </w:pPr>
    </w:p>
    <w:p w14:paraId="00000006" w14:textId="77777777" w:rsidR="004F1BF5" w:rsidRPr="00455CD8" w:rsidRDefault="00000000">
      <w:pPr>
        <w:spacing w:line="240" w:lineRule="auto"/>
        <w:rPr>
          <w:rFonts w:ascii="Verdana" w:eastAsia="Verdana" w:hAnsi="Verdana" w:cs="Verdana"/>
          <w:sz w:val="20"/>
          <w:szCs w:val="20"/>
        </w:rPr>
      </w:pPr>
      <w:r w:rsidRPr="00455CD8">
        <w:rPr>
          <w:rFonts w:ascii="Verdana" w:eastAsia="Verdana" w:hAnsi="Verdana" w:cs="Verdana"/>
          <w:sz w:val="20"/>
          <w:szCs w:val="20"/>
        </w:rPr>
        <w:t>Fecha de publicación en Diario Oficial:</w:t>
      </w:r>
      <w:r w:rsidRPr="00455CD8">
        <w:rPr>
          <w:rFonts w:ascii="Verdana" w:eastAsia="Verdana" w:hAnsi="Verdana" w:cs="Verdana"/>
          <w:sz w:val="20"/>
          <w:szCs w:val="20"/>
          <w:highlight w:val="white"/>
        </w:rPr>
        <w:t xml:space="preserve"> 26 de abril de 2010</w:t>
      </w:r>
    </w:p>
    <w:p w14:paraId="00000007" w14:textId="32A961E3" w:rsidR="004F1BF5" w:rsidRPr="00455CD8" w:rsidRDefault="00000000">
      <w:pPr>
        <w:spacing w:line="240" w:lineRule="auto"/>
        <w:rPr>
          <w:rFonts w:ascii="Verdana" w:eastAsia="Verdana" w:hAnsi="Verdana" w:cs="Verdana"/>
          <w:sz w:val="20"/>
          <w:szCs w:val="20"/>
        </w:rPr>
      </w:pPr>
      <w:r w:rsidRPr="00455CD8">
        <w:rPr>
          <w:rFonts w:ascii="Verdana" w:eastAsia="Verdana" w:hAnsi="Verdana" w:cs="Verdana"/>
          <w:sz w:val="20"/>
          <w:szCs w:val="20"/>
        </w:rPr>
        <w:t>Número del Diario Oficial:</w:t>
      </w:r>
      <w:r w:rsidR="00455CD8" w:rsidRPr="00455CD8">
        <w:rPr>
          <w:rFonts w:ascii="Verdana" w:eastAsia="Verdana" w:hAnsi="Verdana" w:cs="Verdana"/>
          <w:sz w:val="20"/>
          <w:szCs w:val="20"/>
        </w:rPr>
        <w:t xml:space="preserve"> </w:t>
      </w:r>
      <w:r w:rsidRPr="00455CD8">
        <w:rPr>
          <w:rFonts w:ascii="Verdana" w:eastAsia="Verdana" w:hAnsi="Verdana" w:cs="Verdana"/>
          <w:sz w:val="20"/>
          <w:szCs w:val="20"/>
          <w:highlight w:val="white"/>
        </w:rPr>
        <w:t xml:space="preserve">47.692 </w:t>
      </w:r>
    </w:p>
    <w:p w14:paraId="00000008" w14:textId="77777777" w:rsidR="004F1BF5" w:rsidRDefault="004F1BF5">
      <w:pPr>
        <w:spacing w:line="240" w:lineRule="auto"/>
        <w:rPr>
          <w:rFonts w:ascii="Verdana" w:eastAsia="Verdana" w:hAnsi="Verdana" w:cs="Verdana"/>
        </w:rPr>
      </w:pPr>
    </w:p>
    <w:p w14:paraId="00000009" w14:textId="77777777" w:rsidR="004F1BF5" w:rsidRDefault="00000000">
      <w:pPr>
        <w:spacing w:after="160" w:line="240" w:lineRule="auto"/>
        <w:jc w:val="center"/>
        <w:rPr>
          <w:rFonts w:ascii="Verdana" w:eastAsia="Verdana" w:hAnsi="Verdana" w:cs="Verdana"/>
          <w:b/>
          <w:bCs/>
        </w:rPr>
      </w:pPr>
      <w:r>
        <w:rPr>
          <w:rFonts w:ascii="Verdana" w:eastAsia="Verdana" w:hAnsi="Verdana" w:cs="Verdana"/>
          <w:b/>
          <w:bCs/>
        </w:rPr>
        <w:t>RESOLUCIÓN 1583 2010</w:t>
      </w:r>
    </w:p>
    <w:p w14:paraId="0000000A" w14:textId="77777777" w:rsidR="004F1BF5" w:rsidRDefault="00000000">
      <w:pPr>
        <w:spacing w:after="160" w:line="240" w:lineRule="auto"/>
        <w:jc w:val="center"/>
        <w:rPr>
          <w:rFonts w:ascii="Verdana" w:eastAsia="Verdana" w:hAnsi="Verdana" w:cs="Verdana"/>
        </w:rPr>
      </w:pPr>
      <w:r>
        <w:rPr>
          <w:rFonts w:ascii="Verdana" w:eastAsia="Verdana" w:hAnsi="Verdana" w:cs="Verdana"/>
        </w:rPr>
        <w:t>(15 de abril)</w:t>
      </w:r>
    </w:p>
    <w:p w14:paraId="0000000B" w14:textId="77777777" w:rsidR="004F1BF5"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4F1BF5" w:rsidRDefault="00000000">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la cual se reglamenta el Comité de Abastecimiento Estratégico.</w:t>
      </w:r>
    </w:p>
    <w:p w14:paraId="0000000D" w14:textId="77777777" w:rsidR="004F1BF5"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E" w14:textId="1A6C5F20" w:rsidR="004F1BF5"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las facultades constitucionales y legales, en especial las conferidas en el artículo </w:t>
      </w:r>
      <w:r w:rsidR="004F1BF5">
        <w:rPr>
          <w:rFonts w:ascii="Verdana" w:eastAsia="Verdana" w:hAnsi="Verdana" w:cs="Verdana"/>
          <w:highlight w:val="white"/>
        </w:rPr>
        <w:t>78</w:t>
      </w:r>
      <w:r>
        <w:rPr>
          <w:rFonts w:ascii="Verdana" w:eastAsia="Verdana" w:hAnsi="Verdana" w:cs="Verdana"/>
          <w:highlight w:val="white"/>
        </w:rPr>
        <w:t xml:space="preserve"> de la Ley 489 de 1998, y</w:t>
      </w:r>
    </w:p>
    <w:p w14:paraId="0000000F" w14:textId="77777777" w:rsidR="004F1BF5"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0" w14:textId="0B966B24" w:rsidR="004F1BF5"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4F1BF5">
        <w:rPr>
          <w:rFonts w:ascii="Verdana" w:eastAsia="Verdana" w:hAnsi="Verdana" w:cs="Verdana"/>
        </w:rPr>
        <w:t>209</w:t>
      </w:r>
      <w:r>
        <w:rPr>
          <w:rFonts w:ascii="Verdana" w:eastAsia="Verdana" w:hAnsi="Verdana" w:cs="Verdana"/>
        </w:rPr>
        <w:t xml:space="preserve"> de la Constitución Política ordena que la función administrativa deba estar al servicio de los intereses generales y que se desarrolla con fundamento en los principios de igualdad, moralidad, eficacia, economía, celeridad, imparcialidad y publicidad, mediante la descentralización, delegación y desconcentración de funciones.</w:t>
      </w:r>
    </w:p>
    <w:p w14:paraId="00000011" w14:textId="0CF20D76" w:rsidR="004F1BF5" w:rsidRDefault="00000000">
      <w:pPr>
        <w:spacing w:after="280" w:line="426" w:lineRule="auto"/>
        <w:jc w:val="both"/>
        <w:rPr>
          <w:rFonts w:ascii="Verdana" w:eastAsia="Verdana" w:hAnsi="Verdana" w:cs="Verdana"/>
        </w:rPr>
      </w:pPr>
      <w:r>
        <w:rPr>
          <w:rFonts w:ascii="Verdana" w:eastAsia="Verdana" w:hAnsi="Verdana" w:cs="Verdana"/>
        </w:rPr>
        <w:t xml:space="preserve">Que mediante Decreto </w:t>
      </w:r>
      <w:r w:rsidR="004F1BF5">
        <w:rPr>
          <w:rFonts w:ascii="Verdana" w:eastAsia="Verdana" w:hAnsi="Verdana" w:cs="Verdana"/>
        </w:rPr>
        <w:t>117</w:t>
      </w:r>
      <w:r>
        <w:rPr>
          <w:rFonts w:ascii="Verdana" w:eastAsia="Verdana" w:hAnsi="Verdana" w:cs="Verdana"/>
        </w:rPr>
        <w:t xml:space="preserve"> de enero 21 de 2010 se aprobó la estructura del Instituto Colombiano del Bienestar Familiar Cecilia de la Fuente de Lleras y se determinaron las funciones de sus dependencias.</w:t>
      </w:r>
    </w:p>
    <w:p w14:paraId="00000012" w14:textId="06AA08F5" w:rsidR="004F1BF5" w:rsidRDefault="00000000">
      <w:pPr>
        <w:spacing w:after="280" w:line="426" w:lineRule="auto"/>
        <w:jc w:val="both"/>
        <w:rPr>
          <w:rFonts w:ascii="Verdana" w:eastAsia="Verdana" w:hAnsi="Verdana" w:cs="Verdana"/>
        </w:rPr>
      </w:pPr>
      <w:r>
        <w:rPr>
          <w:rFonts w:ascii="Verdana" w:eastAsia="Verdana" w:hAnsi="Verdana" w:cs="Verdana"/>
        </w:rPr>
        <w:t xml:space="preserve">Que en el numeral 18 del artículo </w:t>
      </w:r>
      <w:r w:rsidR="004F1BF5">
        <w:rPr>
          <w:rFonts w:ascii="Verdana" w:eastAsia="Verdana" w:hAnsi="Verdana" w:cs="Verdana"/>
        </w:rPr>
        <w:t>33</w:t>
      </w:r>
      <w:r>
        <w:rPr>
          <w:rFonts w:ascii="Verdana" w:eastAsia="Verdana" w:hAnsi="Verdana" w:cs="Verdana"/>
        </w:rPr>
        <w:t xml:space="preserve"> del Decreto 117 de 2010 se dispone que el Comité de Abastecimiento Estratégico conocerá del resultado de la evaluación que se realice en el trámite de los procesos de selección contractual.</w:t>
      </w:r>
    </w:p>
    <w:p w14:paraId="00000013" w14:textId="044378F6" w:rsidR="004F1BF5" w:rsidRDefault="00000000">
      <w:pPr>
        <w:spacing w:after="280" w:line="426" w:lineRule="auto"/>
        <w:jc w:val="both"/>
        <w:rPr>
          <w:rFonts w:ascii="Verdana" w:eastAsia="Verdana" w:hAnsi="Verdana" w:cs="Verdana"/>
        </w:rPr>
      </w:pPr>
      <w:r>
        <w:rPr>
          <w:rFonts w:ascii="Verdana" w:eastAsia="Verdana" w:hAnsi="Verdana" w:cs="Verdana"/>
        </w:rPr>
        <w:t xml:space="preserve">Que en el parágrafo del artículo </w:t>
      </w:r>
      <w:r w:rsidR="004F1BF5">
        <w:rPr>
          <w:rFonts w:ascii="Verdana" w:eastAsia="Verdana" w:hAnsi="Verdana" w:cs="Verdana"/>
        </w:rPr>
        <w:t>36</w:t>
      </w:r>
      <w:r>
        <w:rPr>
          <w:rFonts w:ascii="Verdana" w:eastAsia="Verdana" w:hAnsi="Verdana" w:cs="Verdana"/>
        </w:rPr>
        <w:t xml:space="preserve"> del Decreto 117 de 2010 se establece que el </w:t>
      </w:r>
      <w:proofErr w:type="gramStart"/>
      <w:r>
        <w:rPr>
          <w:rFonts w:ascii="Verdana" w:eastAsia="Verdana" w:hAnsi="Verdana" w:cs="Verdana"/>
        </w:rPr>
        <w:t>Director General</w:t>
      </w:r>
      <w:proofErr w:type="gramEnd"/>
      <w:r>
        <w:rPr>
          <w:rFonts w:ascii="Verdana" w:eastAsia="Verdana" w:hAnsi="Verdana" w:cs="Verdana"/>
        </w:rPr>
        <w:t xml:space="preserve"> podrá crear Comités permanentes o transitorios especiales para </w:t>
      </w:r>
      <w:r>
        <w:rPr>
          <w:rFonts w:ascii="Verdana" w:eastAsia="Verdana" w:hAnsi="Verdana" w:cs="Verdana"/>
        </w:rPr>
        <w:lastRenderedPageBreak/>
        <w:t>el estudio, análisis y asesoría en temas de interés del Instituto Colombiano de Bienestar Familiar Cecilia de la Fuente de Lleras.</w:t>
      </w:r>
    </w:p>
    <w:p w14:paraId="00000014" w14:textId="77777777" w:rsidR="004F1BF5" w:rsidRDefault="00000000">
      <w:pPr>
        <w:spacing w:after="280" w:line="426"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w:t>
      </w:r>
      <w:proofErr w:type="gramStart"/>
      <w:r>
        <w:rPr>
          <w:rFonts w:ascii="Verdana" w:eastAsia="Verdana" w:hAnsi="Verdana" w:cs="Verdana"/>
        </w:rPr>
        <w:t>en razón de</w:t>
      </w:r>
      <w:proofErr w:type="gramEnd"/>
      <w:r>
        <w:rPr>
          <w:rFonts w:ascii="Verdana" w:eastAsia="Verdana" w:hAnsi="Verdana" w:cs="Verdana"/>
        </w:rPr>
        <w:t xml:space="preserve"> lo anterior, se estima necesario reglamentar la integración y funcionamiento del Comité de Abastecimiento Estratégico.</w:t>
      </w:r>
    </w:p>
    <w:p w14:paraId="00000015" w14:textId="77777777" w:rsidR="004F1BF5"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0000016" w14:textId="77777777" w:rsidR="004F1BF5"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7" w14:textId="77777777" w:rsidR="004F1BF5" w:rsidRDefault="00000000">
      <w:pPr>
        <w:spacing w:after="280" w:line="426" w:lineRule="auto"/>
        <w:jc w:val="both"/>
        <w:rPr>
          <w:rFonts w:ascii="Verdana" w:eastAsia="Verdana" w:hAnsi="Verdana" w:cs="Verdana"/>
        </w:rPr>
      </w:pPr>
      <w:r>
        <w:rPr>
          <w:rFonts w:ascii="Verdana" w:eastAsia="Verdana" w:hAnsi="Verdana" w:cs="Verdana"/>
          <w:b/>
          <w:bCs/>
        </w:rPr>
        <w:t>ARTÍCULO 1o. OBJETO.</w:t>
      </w:r>
      <w:r>
        <w:rPr>
          <w:rFonts w:ascii="Verdana" w:eastAsia="Verdana" w:hAnsi="Verdana" w:cs="Verdana"/>
        </w:rPr>
        <w:t xml:space="preserve">  El Comité de Abastecimiento Estratégico tendrá por objeto asesorar a todas las dependencias de la Sede de la Dirección General y Regionales del Instituto, en las políticas de adquisición de bienes y servicios y selección de proveedores, con el fin de propender por la racionalización de los recursos y procurar economías de escala al interior de la entidad.</w:t>
      </w:r>
    </w:p>
    <w:p w14:paraId="00000018" w14:textId="77777777" w:rsidR="004F1BF5" w:rsidRDefault="00000000">
      <w:pPr>
        <w:spacing w:after="280" w:line="426" w:lineRule="auto"/>
        <w:jc w:val="both"/>
        <w:rPr>
          <w:rFonts w:ascii="Verdana" w:eastAsia="Verdana" w:hAnsi="Verdana" w:cs="Verdana"/>
        </w:rPr>
      </w:pPr>
      <w:r>
        <w:rPr>
          <w:rFonts w:ascii="Verdana" w:eastAsia="Verdana" w:hAnsi="Verdana" w:cs="Verdana"/>
          <w:b/>
          <w:bCs/>
        </w:rPr>
        <w:t>ARTÍCULO 2o. INTEGRACIÓN DEL COMITÉ.</w:t>
      </w:r>
      <w:r>
        <w:rPr>
          <w:rFonts w:ascii="Verdana" w:eastAsia="Verdana" w:hAnsi="Verdana" w:cs="Verdana"/>
        </w:rPr>
        <w:t xml:space="preserve">  El Comité de Abastecimiento Estratégico estará conformado por:</w:t>
      </w:r>
    </w:p>
    <w:p w14:paraId="00000019" w14:textId="77777777" w:rsidR="004F1BF5" w:rsidRDefault="00000000">
      <w:pPr>
        <w:spacing w:after="280" w:line="426" w:lineRule="auto"/>
        <w:jc w:val="both"/>
        <w:rPr>
          <w:rFonts w:ascii="Verdana" w:eastAsia="Verdana" w:hAnsi="Verdana" w:cs="Verdana"/>
        </w:rPr>
      </w:pPr>
      <w:r>
        <w:rPr>
          <w:rFonts w:ascii="Verdana" w:eastAsia="Verdana" w:hAnsi="Verdana" w:cs="Verdana"/>
        </w:rPr>
        <w:t xml:space="preserve">1 </w:t>
      </w:r>
      <w:proofErr w:type="gramStart"/>
      <w:r>
        <w:rPr>
          <w:rFonts w:ascii="Verdana" w:eastAsia="Verdana" w:hAnsi="Verdana" w:cs="Verdana"/>
        </w:rPr>
        <w:t>El</w:t>
      </w:r>
      <w:proofErr w:type="gramEnd"/>
      <w:r>
        <w:rPr>
          <w:rFonts w:ascii="Verdana" w:eastAsia="Verdana" w:hAnsi="Verdana" w:cs="Verdana"/>
        </w:rPr>
        <w:t xml:space="preserve"> Director de Logística y Abastecimiento Estratégico, quien lo presidirá.</w:t>
      </w:r>
    </w:p>
    <w:p w14:paraId="0000001A" w14:textId="77777777" w:rsidR="004F1BF5" w:rsidRDefault="00000000">
      <w:pPr>
        <w:spacing w:after="280" w:line="426" w:lineRule="auto"/>
        <w:jc w:val="both"/>
        <w:rPr>
          <w:rFonts w:ascii="Verdana" w:eastAsia="Verdana" w:hAnsi="Verdana" w:cs="Verdana"/>
        </w:rPr>
      </w:pPr>
      <w:r>
        <w:rPr>
          <w:rFonts w:ascii="Verdana" w:eastAsia="Verdana" w:hAnsi="Verdana" w:cs="Verdana"/>
        </w:rPr>
        <w:t>2. Un asesor jurídico de la Dirección General.</w:t>
      </w:r>
    </w:p>
    <w:p w14:paraId="0000001B" w14:textId="77777777" w:rsidR="004F1BF5" w:rsidRDefault="00000000">
      <w:pPr>
        <w:spacing w:after="280" w:line="426" w:lineRule="auto"/>
        <w:jc w:val="both"/>
        <w:rPr>
          <w:rFonts w:ascii="Verdana" w:eastAsia="Verdana" w:hAnsi="Verdana" w:cs="Verdana"/>
        </w:rPr>
      </w:pPr>
      <w:r>
        <w:rPr>
          <w:rFonts w:ascii="Verdana" w:eastAsia="Verdana" w:hAnsi="Verdana" w:cs="Verdana"/>
        </w:rPr>
        <w:t xml:space="preserve">3. El </w:t>
      </w:r>
      <w:proofErr w:type="gramStart"/>
      <w:r>
        <w:rPr>
          <w:rFonts w:ascii="Verdana" w:eastAsia="Verdana" w:hAnsi="Verdana" w:cs="Verdana"/>
        </w:rPr>
        <w:t>Subdirector</w:t>
      </w:r>
      <w:proofErr w:type="gramEnd"/>
      <w:r>
        <w:rPr>
          <w:rFonts w:ascii="Verdana" w:eastAsia="Verdana" w:hAnsi="Verdana" w:cs="Verdana"/>
        </w:rPr>
        <w:t xml:space="preserve"> de Abastecimiento.</w:t>
      </w:r>
    </w:p>
    <w:p w14:paraId="0000001C" w14:textId="77777777" w:rsidR="004F1BF5" w:rsidRDefault="00000000">
      <w:pPr>
        <w:spacing w:after="280" w:line="426" w:lineRule="auto"/>
        <w:jc w:val="both"/>
        <w:rPr>
          <w:rFonts w:ascii="Verdana" w:eastAsia="Verdana" w:hAnsi="Verdana" w:cs="Verdana"/>
        </w:rPr>
      </w:pPr>
      <w:r>
        <w:rPr>
          <w:rFonts w:ascii="Verdana" w:eastAsia="Verdana" w:hAnsi="Verdana" w:cs="Verdana"/>
        </w:rPr>
        <w:t xml:space="preserve">4. El </w:t>
      </w:r>
      <w:proofErr w:type="gramStart"/>
      <w:r>
        <w:rPr>
          <w:rFonts w:ascii="Verdana" w:eastAsia="Verdana" w:hAnsi="Verdana" w:cs="Verdana"/>
        </w:rPr>
        <w:t>Jefe</w:t>
      </w:r>
      <w:proofErr w:type="gramEnd"/>
      <w:r>
        <w:rPr>
          <w:rFonts w:ascii="Verdana" w:eastAsia="Verdana" w:hAnsi="Verdana" w:cs="Verdana"/>
        </w:rPr>
        <w:t xml:space="preserve"> de la Oficina Asesora Jurídica.</w:t>
      </w:r>
    </w:p>
    <w:p w14:paraId="0000001D" w14:textId="77777777" w:rsidR="004F1BF5" w:rsidRDefault="00000000">
      <w:pPr>
        <w:spacing w:after="280" w:line="426" w:lineRule="auto"/>
        <w:jc w:val="both"/>
        <w:rPr>
          <w:rFonts w:ascii="Verdana" w:eastAsia="Verdana" w:hAnsi="Verdana" w:cs="Verdana"/>
        </w:rPr>
      </w:pPr>
      <w:r>
        <w:rPr>
          <w:rFonts w:ascii="Verdana" w:eastAsia="Verdana" w:hAnsi="Verdana" w:cs="Verdana"/>
        </w:rPr>
        <w:t xml:space="preserve">5. El </w:t>
      </w:r>
      <w:proofErr w:type="gramStart"/>
      <w:r>
        <w:rPr>
          <w:rFonts w:ascii="Verdana" w:eastAsia="Verdana" w:hAnsi="Verdana" w:cs="Verdana"/>
        </w:rPr>
        <w:t>Director</w:t>
      </w:r>
      <w:proofErr w:type="gramEnd"/>
      <w:r>
        <w:rPr>
          <w:rFonts w:ascii="Verdana" w:eastAsia="Verdana" w:hAnsi="Verdana" w:cs="Verdana"/>
        </w:rPr>
        <w:t xml:space="preserve"> o jefe del área en la que se origina el contrato o convenio.</w:t>
      </w:r>
    </w:p>
    <w:p w14:paraId="0000001E" w14:textId="77777777" w:rsidR="004F1BF5" w:rsidRDefault="00000000">
      <w:pPr>
        <w:spacing w:after="280" w:line="426" w:lineRule="auto"/>
        <w:jc w:val="both"/>
        <w:rPr>
          <w:rFonts w:ascii="Verdana" w:eastAsia="Verdana" w:hAnsi="Verdana" w:cs="Verdana"/>
        </w:rPr>
      </w:pPr>
      <w:r>
        <w:rPr>
          <w:rFonts w:ascii="Verdana" w:eastAsia="Verdana" w:hAnsi="Verdana" w:cs="Verdana"/>
        </w:rPr>
        <w:t>Lo anterior sin perjuicio del apoyo que deba solicitarse de las demás áreas de la Sede de la Dirección General.</w:t>
      </w:r>
    </w:p>
    <w:p w14:paraId="0000001F" w14:textId="77777777" w:rsidR="004F1BF5" w:rsidRDefault="00000000">
      <w:pPr>
        <w:spacing w:after="280" w:line="426" w:lineRule="auto"/>
        <w:jc w:val="both"/>
        <w:rPr>
          <w:rFonts w:ascii="Verdana" w:eastAsia="Verdana" w:hAnsi="Verdana" w:cs="Verdana"/>
        </w:rPr>
      </w:pPr>
      <w:r>
        <w:rPr>
          <w:rFonts w:ascii="Verdana" w:eastAsia="Verdana" w:hAnsi="Verdana" w:cs="Verdana"/>
          <w:b/>
          <w:bCs/>
        </w:rPr>
        <w:lastRenderedPageBreak/>
        <w:t xml:space="preserve">ARTÍCULO 3o. FUNCIONES DEL COMITÉ DE ABASTECIMIENTO ESTRATÉGICO. </w:t>
      </w:r>
      <w:r>
        <w:rPr>
          <w:rFonts w:ascii="Verdana" w:eastAsia="Verdana" w:hAnsi="Verdana" w:cs="Verdana"/>
        </w:rPr>
        <w:t xml:space="preserve"> El Comité de Abastecimiento Estratégico tendrá las siguientes funciones:</w:t>
      </w:r>
    </w:p>
    <w:p w14:paraId="00000020" w14:textId="77777777" w:rsidR="004F1BF5" w:rsidRDefault="00000000">
      <w:pPr>
        <w:spacing w:after="280" w:line="426" w:lineRule="auto"/>
        <w:jc w:val="both"/>
        <w:rPr>
          <w:rFonts w:ascii="Verdana" w:eastAsia="Verdana" w:hAnsi="Verdana" w:cs="Verdana"/>
        </w:rPr>
      </w:pPr>
      <w:r>
        <w:rPr>
          <w:rFonts w:ascii="Verdana" w:eastAsia="Verdana" w:hAnsi="Verdana" w:cs="Verdana"/>
        </w:rPr>
        <w:t>1. Efectuar la revisión del Plan de Compras y el Plan de Abastecimiento Estratégico del Instituto y formular las recomendaciones que correspondan.</w:t>
      </w:r>
    </w:p>
    <w:p w14:paraId="00000021" w14:textId="77777777" w:rsidR="004F1BF5" w:rsidRDefault="00000000">
      <w:pPr>
        <w:spacing w:after="280" w:line="426" w:lineRule="auto"/>
        <w:jc w:val="both"/>
        <w:rPr>
          <w:rFonts w:ascii="Verdana" w:eastAsia="Verdana" w:hAnsi="Verdana" w:cs="Verdana"/>
        </w:rPr>
      </w:pPr>
      <w:r>
        <w:rPr>
          <w:rFonts w:ascii="Verdana" w:eastAsia="Verdana" w:hAnsi="Verdana" w:cs="Verdana"/>
        </w:rPr>
        <w:t>2. Asesorar a la Dirección General y a los servidores públicos delegatarios en relación con la adquisición de bienes y servicios en sus aspectos técnicos y administrativos.</w:t>
      </w:r>
    </w:p>
    <w:p w14:paraId="00000022" w14:textId="77777777" w:rsidR="004F1BF5" w:rsidRDefault="00000000">
      <w:pPr>
        <w:spacing w:after="280" w:line="426" w:lineRule="auto"/>
        <w:jc w:val="both"/>
        <w:rPr>
          <w:rFonts w:ascii="Verdana" w:eastAsia="Verdana" w:hAnsi="Verdana" w:cs="Verdana"/>
        </w:rPr>
      </w:pPr>
      <w:r>
        <w:rPr>
          <w:rFonts w:ascii="Verdana" w:eastAsia="Verdana" w:hAnsi="Verdana" w:cs="Verdana"/>
        </w:rPr>
        <w:t>3. Definir estrategias que permitan una óptima cobertura del abastecimiento en la entidad y garantizar la racionalización de los recursos.</w:t>
      </w:r>
    </w:p>
    <w:p w14:paraId="00000023" w14:textId="77777777" w:rsidR="004F1BF5" w:rsidRDefault="00000000">
      <w:pPr>
        <w:spacing w:after="280" w:line="426" w:lineRule="auto"/>
        <w:jc w:val="both"/>
        <w:rPr>
          <w:rFonts w:ascii="Verdana" w:eastAsia="Verdana" w:hAnsi="Verdana" w:cs="Verdana"/>
        </w:rPr>
      </w:pPr>
      <w:r>
        <w:rPr>
          <w:rFonts w:ascii="Verdana" w:eastAsia="Verdana" w:hAnsi="Verdana" w:cs="Verdana"/>
        </w:rPr>
        <w:t>4. Efectuar recomendaciones para obtener economías de escala frente a las contrataciones que adelante el Instituto.</w:t>
      </w:r>
    </w:p>
    <w:p w14:paraId="00000024" w14:textId="77777777" w:rsidR="004F1BF5" w:rsidRDefault="00000000">
      <w:pPr>
        <w:spacing w:after="280" w:line="426" w:lineRule="auto"/>
        <w:jc w:val="both"/>
        <w:rPr>
          <w:rFonts w:ascii="Verdana" w:eastAsia="Verdana" w:hAnsi="Verdana" w:cs="Verdana"/>
        </w:rPr>
      </w:pPr>
      <w:r>
        <w:rPr>
          <w:rFonts w:ascii="Verdana" w:eastAsia="Verdana" w:hAnsi="Verdana" w:cs="Verdana"/>
        </w:rPr>
        <w:t>5. Efectuar recomendaciones frente a la tercerización de servicios.</w:t>
      </w:r>
    </w:p>
    <w:p w14:paraId="00000025" w14:textId="77777777" w:rsidR="004F1BF5" w:rsidRDefault="00000000">
      <w:pPr>
        <w:spacing w:after="280" w:line="426" w:lineRule="auto"/>
        <w:jc w:val="both"/>
        <w:rPr>
          <w:rFonts w:ascii="Verdana" w:eastAsia="Verdana" w:hAnsi="Verdana" w:cs="Verdana"/>
        </w:rPr>
      </w:pPr>
      <w:r>
        <w:rPr>
          <w:rFonts w:ascii="Verdana" w:eastAsia="Verdana" w:hAnsi="Verdana" w:cs="Verdana"/>
        </w:rPr>
        <w:t>6. Sin perjuicio de las funciones del Comité de Contratación, emitir recomendaciones en relación con el resultado de la evaluación de las propuestas que se presenten dentro de los procesos de selección contractual que se adelanten en la Sede de la Dirección General, cuya cuantía sea igual o superior al diez por ciento (10%) de la menor cuantía del Instituto.</w:t>
      </w:r>
    </w:p>
    <w:p w14:paraId="00000026" w14:textId="77777777" w:rsidR="004F1BF5" w:rsidRDefault="00000000">
      <w:pPr>
        <w:spacing w:after="280" w:line="426" w:lineRule="auto"/>
        <w:jc w:val="both"/>
        <w:rPr>
          <w:rFonts w:ascii="Verdana" w:eastAsia="Verdana" w:hAnsi="Verdana" w:cs="Verdana"/>
        </w:rPr>
      </w:pPr>
      <w:r>
        <w:rPr>
          <w:rFonts w:ascii="Verdana" w:eastAsia="Verdana" w:hAnsi="Verdana" w:cs="Verdana"/>
        </w:rPr>
        <w:t>7. Las demás que le sean asignadas por la Dirección General del ICBF, de acuerdo con su naturaleza.</w:t>
      </w:r>
    </w:p>
    <w:p w14:paraId="00000027" w14:textId="77777777" w:rsidR="004F1BF5" w:rsidRDefault="00000000">
      <w:pPr>
        <w:spacing w:after="280" w:line="426" w:lineRule="auto"/>
        <w:jc w:val="both"/>
        <w:rPr>
          <w:rFonts w:ascii="Verdana" w:eastAsia="Verdana" w:hAnsi="Verdana" w:cs="Verdana"/>
        </w:rPr>
      </w:pPr>
      <w:r>
        <w:rPr>
          <w:rFonts w:ascii="Verdana" w:eastAsia="Verdana" w:hAnsi="Verdana" w:cs="Verdana"/>
          <w:b/>
          <w:bCs/>
        </w:rPr>
        <w:t xml:space="preserve">ARTÍCULO 4o. REUNIONES. </w:t>
      </w:r>
      <w:r>
        <w:rPr>
          <w:rFonts w:ascii="Verdana" w:eastAsia="Verdana" w:hAnsi="Verdana" w:cs="Verdana"/>
        </w:rPr>
        <w:t xml:space="preserve"> El Comité de Abastecimiento Estratégico se reunirá por lo menos una (1) vez a la semana, previa convocatoria de su </w:t>
      </w:r>
      <w:proofErr w:type="gramStart"/>
      <w:r>
        <w:rPr>
          <w:rFonts w:ascii="Verdana" w:eastAsia="Verdana" w:hAnsi="Verdana" w:cs="Verdana"/>
        </w:rPr>
        <w:t>Presidente</w:t>
      </w:r>
      <w:proofErr w:type="gramEnd"/>
      <w:r>
        <w:rPr>
          <w:rFonts w:ascii="Verdana" w:eastAsia="Verdana" w:hAnsi="Verdana" w:cs="Verdana"/>
        </w:rPr>
        <w:t>.</w:t>
      </w:r>
    </w:p>
    <w:p w14:paraId="00000028" w14:textId="77777777" w:rsidR="004F1BF5"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5o. QUÓRUM DELIBERATORIO Y DECISORIO.</w:t>
      </w:r>
      <w:r>
        <w:rPr>
          <w:rFonts w:ascii="Verdana" w:eastAsia="Verdana" w:hAnsi="Verdana" w:cs="Verdana"/>
        </w:rPr>
        <w:t xml:space="preserve">  Se constituirá quórum </w:t>
      </w:r>
      <w:proofErr w:type="spellStart"/>
      <w:r>
        <w:rPr>
          <w:rFonts w:ascii="Verdana" w:eastAsia="Verdana" w:hAnsi="Verdana" w:cs="Verdana"/>
        </w:rPr>
        <w:t>deliberatorio</w:t>
      </w:r>
      <w:proofErr w:type="spellEnd"/>
      <w:r>
        <w:rPr>
          <w:rFonts w:ascii="Verdana" w:eastAsia="Verdana" w:hAnsi="Verdana" w:cs="Verdana"/>
        </w:rPr>
        <w:t xml:space="preserve"> y decisorio con la participación de por lo menos tres (3) de los miembros del Comité.</w:t>
      </w:r>
    </w:p>
    <w:p w14:paraId="00000029" w14:textId="77777777" w:rsidR="004F1BF5" w:rsidRDefault="00000000">
      <w:pPr>
        <w:spacing w:after="280" w:line="426" w:lineRule="auto"/>
        <w:jc w:val="both"/>
        <w:rPr>
          <w:rFonts w:ascii="Verdana" w:eastAsia="Verdana" w:hAnsi="Verdana" w:cs="Verdana"/>
        </w:rPr>
      </w:pPr>
      <w:r>
        <w:rPr>
          <w:rFonts w:ascii="Verdana" w:eastAsia="Verdana" w:hAnsi="Verdana" w:cs="Verdana"/>
          <w:b/>
          <w:bCs/>
        </w:rPr>
        <w:t>ARTÍCULO 6o. SECRETARÍA TÉCNICA.</w:t>
      </w:r>
      <w:r>
        <w:rPr>
          <w:rFonts w:ascii="Verdana" w:eastAsia="Verdana" w:hAnsi="Verdana" w:cs="Verdana"/>
        </w:rPr>
        <w:t xml:space="preserve">  La Secretaría Técnica del Comité de Abastecimiento Estratégico estará a cargo de un delegado de la Dirección de Logística y Abastecimiento Estratégico.</w:t>
      </w:r>
    </w:p>
    <w:p w14:paraId="0000002A" w14:textId="62EBC278" w:rsidR="004F1BF5" w:rsidRDefault="00000000">
      <w:pPr>
        <w:spacing w:after="280" w:line="426" w:lineRule="auto"/>
        <w:jc w:val="both"/>
        <w:rPr>
          <w:rFonts w:ascii="Verdana" w:eastAsia="Verdana" w:hAnsi="Verdana" w:cs="Verdana"/>
        </w:rPr>
      </w:pPr>
      <w:r>
        <w:rPr>
          <w:rFonts w:ascii="Verdana" w:eastAsia="Verdana" w:hAnsi="Verdana" w:cs="Verdana"/>
          <w:b/>
          <w:bCs/>
        </w:rPr>
        <w:t>ARTÍCULO 7o. VIGENCIA.</w:t>
      </w:r>
      <w:r>
        <w:rPr>
          <w:rFonts w:ascii="Verdana" w:eastAsia="Verdana" w:hAnsi="Verdana" w:cs="Verdana"/>
        </w:rPr>
        <w:t xml:space="preserve"> [Resolución derogada por el artículo </w:t>
      </w:r>
      <w:r w:rsidR="004F1BF5">
        <w:rPr>
          <w:rFonts w:ascii="Verdana" w:eastAsia="Verdana" w:hAnsi="Verdana" w:cs="Verdana"/>
        </w:rPr>
        <w:t>47</w:t>
      </w:r>
      <w:r>
        <w:rPr>
          <w:rFonts w:ascii="Verdana" w:eastAsia="Verdana" w:hAnsi="Verdana" w:cs="Verdana"/>
        </w:rPr>
        <w:t xml:space="preserve"> de la Resolución 2111 de 2011] El presente acto rige a partir de la fecha de su expedición.</w:t>
      </w:r>
    </w:p>
    <w:p w14:paraId="0000002B" w14:textId="77777777" w:rsidR="004F1BF5" w:rsidRDefault="00000000">
      <w:pPr>
        <w:shd w:val="clear" w:color="auto" w:fill="FFFFFF"/>
        <w:spacing w:after="240" w:line="426" w:lineRule="auto"/>
        <w:jc w:val="center"/>
        <w:rPr>
          <w:rFonts w:ascii="Verdana" w:eastAsia="Verdana" w:hAnsi="Verdana" w:cs="Verdana"/>
          <w:b/>
          <w:bCs/>
        </w:rPr>
      </w:pPr>
      <w:r>
        <w:rPr>
          <w:rFonts w:ascii="Verdana" w:eastAsia="Verdana" w:hAnsi="Verdana" w:cs="Verdana"/>
          <w:b/>
          <w:bCs/>
        </w:rPr>
        <w:t>PUBLÍQUESE, COMUNÍQUESE Y CÚMPLASE</w:t>
      </w:r>
    </w:p>
    <w:p w14:paraId="0000002C" w14:textId="77777777" w:rsidR="004F1BF5" w:rsidRDefault="00000000">
      <w:pPr>
        <w:spacing w:after="280" w:line="426" w:lineRule="auto"/>
        <w:jc w:val="center"/>
        <w:rPr>
          <w:rFonts w:ascii="Verdana" w:eastAsia="Verdana" w:hAnsi="Verdana" w:cs="Verdana"/>
        </w:rPr>
      </w:pPr>
      <w:r>
        <w:rPr>
          <w:rFonts w:ascii="Verdana" w:eastAsia="Verdana" w:hAnsi="Verdana" w:cs="Verdana"/>
        </w:rPr>
        <w:t>Dada en Bogotá D. C., a los 15 días de abril de 2010</w:t>
      </w:r>
    </w:p>
    <w:p w14:paraId="0000002D" w14:textId="77777777" w:rsidR="004F1BF5"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2E" w14:textId="77777777" w:rsidR="004F1BF5" w:rsidRDefault="00000000">
      <w:pPr>
        <w:shd w:val="clear" w:color="auto" w:fill="FFFFFF"/>
        <w:spacing w:after="240" w:line="426" w:lineRule="auto"/>
        <w:jc w:val="center"/>
        <w:rPr>
          <w:rFonts w:ascii="Verdana" w:eastAsia="Verdana" w:hAnsi="Verdana" w:cs="Verdana"/>
        </w:rPr>
      </w:pPr>
      <w:r>
        <w:rPr>
          <w:rFonts w:ascii="Verdana" w:eastAsia="Verdana" w:hAnsi="Verdana" w:cs="Verdana"/>
        </w:rPr>
        <w:t>LA DIRECTORA GENERAL</w:t>
      </w:r>
    </w:p>
    <w:p w14:paraId="0000002F" w14:textId="77777777" w:rsidR="004F1BF5" w:rsidRDefault="004F1BF5">
      <w:pPr>
        <w:spacing w:after="280" w:line="426" w:lineRule="auto"/>
        <w:jc w:val="center"/>
        <w:rPr>
          <w:rFonts w:ascii="Verdana" w:eastAsia="Verdana" w:hAnsi="Verdana" w:cs="Verdana"/>
        </w:rPr>
      </w:pPr>
    </w:p>
    <w:p w14:paraId="00000030" w14:textId="77777777" w:rsidR="004F1BF5" w:rsidRDefault="004F1BF5">
      <w:pPr>
        <w:rPr>
          <w:rFonts w:ascii="Verdana" w:eastAsia="Verdana" w:hAnsi="Verdana" w:cs="Verdana"/>
        </w:rPr>
      </w:pPr>
    </w:p>
    <w:sectPr w:rsidR="004F1BF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7C928A9-7559-4883-ADA7-56E9594E198E}"/>
    <w:embedBold r:id="rId2" w:fontKey="{A7DB595B-8AC5-438C-A42F-D86678417971}"/>
  </w:font>
  <w:font w:name="Calibri">
    <w:panose1 w:val="020F0502020204030204"/>
    <w:charset w:val="00"/>
    <w:family w:val="swiss"/>
    <w:pitch w:val="variable"/>
    <w:sig w:usb0="E4002EFF" w:usb1="C200247B" w:usb2="00000009" w:usb3="00000000" w:csb0="000001FF" w:csb1="00000000"/>
    <w:embedRegular r:id="rId3" w:fontKey="{9D54E801-53ED-4930-BBAD-94C38CD43F38}"/>
  </w:font>
  <w:font w:name="Cambria">
    <w:panose1 w:val="02040503050406030204"/>
    <w:charset w:val="00"/>
    <w:family w:val="roman"/>
    <w:pitch w:val="variable"/>
    <w:sig w:usb0="E00006FF" w:usb1="420024FF" w:usb2="02000000" w:usb3="00000000" w:csb0="0000019F" w:csb1="00000000"/>
    <w:embedRegular r:id="rId4" w:fontKey="{94B8A7EC-EC06-4F8B-9E4D-79AE500A5A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BF5"/>
    <w:rsid w:val="00126A24"/>
    <w:rsid w:val="00455CD8"/>
    <w:rsid w:val="004F1BF5"/>
    <w:rsid w:val="009E33EF"/>
    <w:rsid w:val="00BC46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644F4"/>
  <w15:docId w15:val="{4CAFF03E-DC8F-4279-9129-98524B0C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A88DA-19D0-4FBB-BB1C-D315D928376D}"/>
</file>

<file path=customXml/itemProps2.xml><?xml version="1.0" encoding="utf-8"?>
<ds:datastoreItem xmlns:ds="http://schemas.openxmlformats.org/officeDocument/2006/customXml" ds:itemID="{8172CDB5-33EA-4A09-9314-D1C977FE8935}"/>
</file>

<file path=customXml/itemProps3.xml><?xml version="1.0" encoding="utf-8"?>
<ds:datastoreItem xmlns:ds="http://schemas.openxmlformats.org/officeDocument/2006/customXml" ds:itemID="{C29447AB-0B1D-4305-9609-AF8E683297A0}"/>
</file>

<file path=docProps/app.xml><?xml version="1.0" encoding="utf-8"?>
<Properties xmlns="http://schemas.openxmlformats.org/officeDocument/2006/extended-properties" xmlns:vt="http://schemas.openxmlformats.org/officeDocument/2006/docPropsVTypes">
  <Template>Normal</Template>
  <TotalTime>1</TotalTime>
  <Pages>1</Pages>
  <Words>738</Words>
  <Characters>4065</Characters>
  <Application>Microsoft Office Word</Application>
  <DocSecurity>0</DocSecurity>
  <Lines>33</Lines>
  <Paragraphs>9</Paragraphs>
  <ScaleCrop>false</ScaleCrop>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2026-01-29T21:49:00Z</dcterms:created>
  <dcterms:modified xsi:type="dcterms:W3CDTF">2026-04-15T15:54:00Z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